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4"/>
          <w:szCs w:val="24"/>
          <w:color w:val="auto"/>
        </w:rPr>
      </w:pPr>
    </w:p>
    <w:p>
      <w:pPr>
        <w:spacing w:after="0" w:line="357"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UNITED STATES</w:t>
      </w:r>
    </w:p>
    <w:p>
      <w:pPr>
        <w:spacing w:after="0" w:line="36"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8"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1384935</wp:posOffset>
            </wp:positionH>
            <wp:positionV relativeFrom="paragraph">
              <wp:posOffset>53340</wp:posOffset>
            </wp:positionV>
            <wp:extent cx="43719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371975" cy="8890"/>
                    </a:xfrm>
                    <a:prstGeom prst="rect">
                      <a:avLst/>
                    </a:prstGeom>
                    <a:noFill/>
                  </pic:spPr>
                </pic:pic>
              </a:graphicData>
            </a:graphic>
          </wp:anchor>
        </w:drawing>
      </w:r>
    </w:p>
    <w:p>
      <w:pPr>
        <w:spacing w:after="0" w:line="14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1393825</wp:posOffset>
            </wp:positionH>
            <wp:positionV relativeFrom="paragraph">
              <wp:posOffset>73025</wp:posOffset>
            </wp:positionV>
            <wp:extent cx="435483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354830" cy="8255"/>
                    </a:xfrm>
                    <a:prstGeom prst="rect">
                      <a:avLst/>
                    </a:prstGeom>
                    <a:noFill/>
                  </pic:spPr>
                </pic:pic>
              </a:graphicData>
            </a:graphic>
          </wp:anchor>
        </w:drawing>
      </w:r>
    </w:p>
    <w:p>
      <w:pPr>
        <w:spacing w:after="0" w:line="40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ind w:left="660" w:hanging="634"/>
        <w:spacing w:after="0" w:line="181" w:lineRule="auto"/>
        <w:tabs>
          <w:tab w:leader="none" w:pos="660" w:val="left"/>
        </w:tabs>
        <w:numPr>
          <w:ilvl w:val="0"/>
          <w:numId w:val="1"/>
        </w:numPr>
        <w:rPr>
          <w:rFonts w:ascii="MS PGothic" w:cs="MS PGothic" w:eastAsia="MS PGothic" w:hAnsi="MS PGothic"/>
          <w:sz w:val="42"/>
          <w:szCs w:val="42"/>
          <w:color w:val="auto"/>
          <w:vertAlign w:val="subscript"/>
        </w:rPr>
      </w:pPr>
      <w:r>
        <w:rPr>
          <w:rFonts w:ascii="Arial" w:cs="Arial" w:eastAsia="Arial" w:hAnsi="Arial"/>
          <w:sz w:val="19"/>
          <w:szCs w:val="19"/>
          <w:b w:val="1"/>
          <w:bCs w:val="1"/>
          <w:color w:val="auto"/>
        </w:rPr>
        <w:t>QUARTERLY REPORT PURSUANT TO SECTION 13 OR 15(d) OF THE SECURITIES EXCHANGE ACT OF 1934</w:t>
      </w:r>
    </w:p>
    <w:p>
      <w:pPr>
        <w:spacing w:after="0" w:line="133"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For the quarterly period ended March 31, 2024</w:t>
      </w:r>
    </w:p>
    <w:p>
      <w:pPr>
        <w:spacing w:after="0" w:line="2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27" w:lineRule="exact"/>
        <w:rPr>
          <w:sz w:val="24"/>
          <w:szCs w:val="24"/>
          <w:color w:val="auto"/>
        </w:rPr>
      </w:pPr>
    </w:p>
    <w:p>
      <w:pPr>
        <w:ind w:left="660" w:hanging="634"/>
        <w:spacing w:after="0"/>
        <w:tabs>
          <w:tab w:leader="none" w:pos="660" w:val="left"/>
        </w:tabs>
        <w:numPr>
          <w:ilvl w:val="0"/>
          <w:numId w:val="2"/>
        </w:numPr>
        <w:rPr>
          <w:rFonts w:ascii="MS PGothic" w:cs="MS PGothic" w:eastAsia="MS PGothic" w:hAnsi="MS PGothic"/>
          <w:sz w:val="22"/>
          <w:szCs w:val="22"/>
          <w:color w:val="auto"/>
        </w:rPr>
      </w:pPr>
      <w:r>
        <w:rPr>
          <w:rFonts w:ascii="Arial" w:cs="Arial" w:eastAsia="Arial" w:hAnsi="Arial"/>
          <w:sz w:val="20"/>
          <w:szCs w:val="20"/>
          <w:b w:val="1"/>
          <w:bCs w:val="1"/>
          <w:color w:val="auto"/>
        </w:rPr>
        <w:t>TRANSITION REPORT PURSUANT TO SECTION 13 OR 15(d) OF THE SECURITIES EXCHANGE ACT OF 1934</w:t>
      </w:r>
    </w:p>
    <w:p>
      <w:pPr>
        <w:spacing w:after="0" w:line="124" w:lineRule="exact"/>
        <w:rPr>
          <w:sz w:val="24"/>
          <w:szCs w:val="24"/>
          <w:color w:val="auto"/>
        </w:rPr>
      </w:pPr>
    </w:p>
    <w:p>
      <w:pPr>
        <w:ind w:left="3400"/>
        <w:spacing w:after="0"/>
        <w:rPr>
          <w:sz w:val="20"/>
          <w:szCs w:val="20"/>
          <w:color w:val="auto"/>
        </w:rPr>
      </w:pPr>
      <w:r>
        <w:rPr>
          <w:rFonts w:ascii="Arial" w:cs="Arial" w:eastAsia="Arial" w:hAnsi="Arial"/>
          <w:sz w:val="18"/>
          <w:szCs w:val="18"/>
          <w:b w:val="1"/>
          <w:bCs w:val="1"/>
          <w:color w:val="auto"/>
        </w:rPr>
        <w:t>For the transition period from ________ to ________</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001-31719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1359535</wp:posOffset>
            </wp:positionH>
            <wp:positionV relativeFrom="paragraph">
              <wp:posOffset>57785</wp:posOffset>
            </wp:positionV>
            <wp:extent cx="4423410" cy="7200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423410" cy="7200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1"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MOLINA HEALTHCARE, INC.</w:t>
      </w:r>
    </w:p>
    <w:p>
      <w:pPr>
        <w:spacing w:after="0" w:line="49"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1359535</wp:posOffset>
            </wp:positionH>
            <wp:positionV relativeFrom="paragraph">
              <wp:posOffset>53340</wp:posOffset>
            </wp:positionV>
            <wp:extent cx="442341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423410" cy="8890"/>
                    </a:xfrm>
                    <a:prstGeom prst="rect">
                      <a:avLst/>
                    </a:prstGeom>
                    <a:noFill/>
                  </pic:spPr>
                </pic:pic>
              </a:graphicData>
            </a:graphic>
          </wp:anchor>
        </w:drawing>
      </w:r>
    </w:p>
    <w:p>
      <w:pPr>
        <w:spacing w:after="0" w:line="199" w:lineRule="exact"/>
        <w:rPr>
          <w:sz w:val="24"/>
          <w:szCs w:val="24"/>
          <w:color w:val="auto"/>
        </w:rPr>
      </w:pPr>
    </w:p>
    <w:tbl>
      <w:tblPr>
        <w:tblLayout w:type="fixed"/>
        <w:tblInd w:w="1900" w:type="dxa"/>
        <w:tblCellMar>
          <w:top w:w="0" w:type="dxa"/>
          <w:left w:w="0" w:type="dxa"/>
          <w:bottom w:w="0" w:type="dxa"/>
          <w:right w:w="0" w:type="dxa"/>
        </w:tblCellMar>
      </w:tblPr>
      <w:tr>
        <w:trPr>
          <w:trHeight w:val="223"/>
        </w:trPr>
        <w:tc>
          <w:tcPr>
            <w:tcW w:w="4100" w:type="dxa"/>
            <w:vAlign w:val="bottom"/>
          </w:tcPr>
          <w:p>
            <w:pPr>
              <w:jc w:val="center"/>
              <w:ind w:right="1344"/>
              <w:spacing w:after="0"/>
              <w:rPr>
                <w:sz w:val="20"/>
                <w:szCs w:val="20"/>
                <w:color w:val="auto"/>
              </w:rPr>
            </w:pPr>
            <w:r>
              <w:rPr>
                <w:rFonts w:ascii="Arial" w:cs="Arial" w:eastAsia="Arial" w:hAnsi="Arial"/>
                <w:sz w:val="16"/>
                <w:szCs w:val="16"/>
                <w:b w:val="1"/>
                <w:bCs w:val="1"/>
                <w:color w:val="auto"/>
              </w:rPr>
              <w:t>Delaware</w:t>
            </w:r>
          </w:p>
        </w:tc>
        <w:tc>
          <w:tcPr>
            <w:tcW w:w="2640" w:type="dxa"/>
            <w:vAlign w:val="bottom"/>
          </w:tcPr>
          <w:p>
            <w:pPr>
              <w:jc w:val="right"/>
              <w:ind w:right="104"/>
              <w:spacing w:after="0"/>
              <w:rPr>
                <w:sz w:val="20"/>
                <w:szCs w:val="20"/>
                <w:color w:val="auto"/>
              </w:rPr>
            </w:pPr>
            <w:r>
              <w:rPr>
                <w:rFonts w:ascii="Arial" w:cs="Arial" w:eastAsia="Arial" w:hAnsi="Arial"/>
                <w:sz w:val="16"/>
                <w:szCs w:val="16"/>
                <w:b w:val="1"/>
                <w:bCs w:val="1"/>
                <w:color w:val="auto"/>
              </w:rPr>
              <w:t>13-4204626</w:t>
            </w:r>
          </w:p>
        </w:tc>
      </w:tr>
      <w:tr>
        <w:trPr>
          <w:trHeight w:val="169"/>
        </w:trPr>
        <w:tc>
          <w:tcPr>
            <w:tcW w:w="4100" w:type="dxa"/>
            <w:vAlign w:val="bottom"/>
          </w:tcPr>
          <w:p>
            <w:pPr>
              <w:jc w:val="center"/>
              <w:ind w:right="1344"/>
              <w:spacing w:after="0"/>
              <w:rPr>
                <w:sz w:val="20"/>
                <w:szCs w:val="20"/>
                <w:color w:val="auto"/>
              </w:rPr>
            </w:pPr>
            <w:r>
              <w:rPr>
                <w:rFonts w:ascii="Arial" w:cs="Arial" w:eastAsia="Arial" w:hAnsi="Arial"/>
                <w:sz w:val="14"/>
                <w:szCs w:val="14"/>
                <w:b w:val="1"/>
                <w:bCs w:val="1"/>
                <w:color w:val="auto"/>
              </w:rPr>
              <w:t>(State or other jurisdiction of</w:t>
            </w:r>
          </w:p>
        </w:tc>
        <w:tc>
          <w:tcPr>
            <w:tcW w:w="2640" w:type="dxa"/>
            <w:vAlign w:val="bottom"/>
          </w:tcPr>
          <w:p>
            <w:pPr>
              <w:jc w:val="center"/>
              <w:ind w:left="1344"/>
              <w:spacing w:after="0"/>
              <w:rPr>
                <w:sz w:val="20"/>
                <w:szCs w:val="20"/>
                <w:color w:val="auto"/>
              </w:rPr>
            </w:pPr>
            <w:r>
              <w:rPr>
                <w:rFonts w:ascii="Arial" w:cs="Arial" w:eastAsia="Arial" w:hAnsi="Arial"/>
                <w:sz w:val="14"/>
                <w:szCs w:val="14"/>
                <w:b w:val="1"/>
                <w:bCs w:val="1"/>
                <w:color w:val="auto"/>
              </w:rPr>
              <w:t>(I.R.S. Employer</w:t>
            </w:r>
          </w:p>
        </w:tc>
      </w:tr>
      <w:tr>
        <w:trPr>
          <w:trHeight w:val="196"/>
        </w:trPr>
        <w:tc>
          <w:tcPr>
            <w:tcW w:w="4100" w:type="dxa"/>
            <w:vAlign w:val="bottom"/>
          </w:tcPr>
          <w:p>
            <w:pPr>
              <w:jc w:val="center"/>
              <w:ind w:right="1344"/>
              <w:spacing w:after="0"/>
              <w:rPr>
                <w:sz w:val="20"/>
                <w:szCs w:val="20"/>
                <w:color w:val="auto"/>
              </w:rPr>
            </w:pPr>
            <w:r>
              <w:rPr>
                <w:rFonts w:ascii="Arial" w:cs="Arial" w:eastAsia="Arial" w:hAnsi="Arial"/>
                <w:sz w:val="14"/>
                <w:szCs w:val="14"/>
                <w:b w:val="1"/>
                <w:bCs w:val="1"/>
                <w:color w:val="auto"/>
              </w:rPr>
              <w:t>incorporation or organization)</w:t>
            </w:r>
          </w:p>
        </w:tc>
        <w:tc>
          <w:tcPr>
            <w:tcW w:w="2640" w:type="dxa"/>
            <w:vAlign w:val="bottom"/>
          </w:tcPr>
          <w:p>
            <w:pPr>
              <w:jc w:val="center"/>
              <w:ind w:left="1344"/>
              <w:spacing w:after="0"/>
              <w:rPr>
                <w:sz w:val="20"/>
                <w:szCs w:val="20"/>
                <w:color w:val="auto"/>
              </w:rPr>
            </w:pPr>
            <w:r>
              <w:rPr>
                <w:rFonts w:ascii="Arial" w:cs="Arial" w:eastAsia="Arial" w:hAnsi="Arial"/>
                <w:sz w:val="14"/>
                <w:szCs w:val="14"/>
                <w:b w:val="1"/>
                <w:bCs w:val="1"/>
                <w:color w:val="auto"/>
              </w:rPr>
              <w:t>Identification No.)</w:t>
            </w:r>
          </w:p>
        </w:tc>
      </w:tr>
      <w:tr>
        <w:trPr>
          <w:trHeight w:val="262"/>
        </w:trPr>
        <w:tc>
          <w:tcPr>
            <w:tcW w:w="4100" w:type="dxa"/>
            <w:vAlign w:val="bottom"/>
          </w:tcPr>
          <w:p>
            <w:pPr>
              <w:jc w:val="center"/>
              <w:ind w:right="1344"/>
              <w:spacing w:after="0"/>
              <w:rPr>
                <w:sz w:val="20"/>
                <w:szCs w:val="20"/>
                <w:color w:val="auto"/>
              </w:rPr>
            </w:pPr>
            <w:r>
              <w:rPr>
                <w:rFonts w:ascii="Arial" w:cs="Arial" w:eastAsia="Arial" w:hAnsi="Arial"/>
                <w:sz w:val="16"/>
                <w:szCs w:val="16"/>
                <w:b w:val="1"/>
                <w:bCs w:val="1"/>
                <w:color w:val="auto"/>
              </w:rPr>
              <w:t>200 Oceangate, Suite 100</w:t>
            </w:r>
          </w:p>
        </w:tc>
        <w:tc>
          <w:tcPr>
            <w:tcW w:w="2640" w:type="dxa"/>
            <w:vAlign w:val="bottom"/>
          </w:tcPr>
          <w:p>
            <w:pPr>
              <w:spacing w:after="0"/>
              <w:rPr>
                <w:sz w:val="22"/>
                <w:szCs w:val="22"/>
                <w:color w:val="auto"/>
              </w:rPr>
            </w:pPr>
          </w:p>
        </w:tc>
      </w:tr>
      <w:tr>
        <w:trPr>
          <w:trHeight w:val="221"/>
        </w:trPr>
        <w:tc>
          <w:tcPr>
            <w:tcW w:w="4100" w:type="dxa"/>
            <w:vAlign w:val="bottom"/>
          </w:tcPr>
          <w:p>
            <w:pPr>
              <w:jc w:val="center"/>
              <w:ind w:right="1364"/>
              <w:spacing w:after="0"/>
              <w:rPr>
                <w:sz w:val="20"/>
                <w:szCs w:val="20"/>
                <w:color w:val="auto"/>
              </w:rPr>
            </w:pPr>
            <w:r>
              <w:rPr>
                <w:rFonts w:ascii="Arial" w:cs="Arial" w:eastAsia="Arial" w:hAnsi="Arial"/>
                <w:sz w:val="16"/>
                <w:szCs w:val="16"/>
                <w:b w:val="1"/>
                <w:bCs w:val="1"/>
                <w:color w:val="auto"/>
                <w:w w:val="99"/>
              </w:rPr>
              <w:t>Long Beach, California</w:t>
            </w:r>
          </w:p>
        </w:tc>
        <w:tc>
          <w:tcPr>
            <w:tcW w:w="2640" w:type="dxa"/>
            <w:vAlign w:val="bottom"/>
          </w:tcPr>
          <w:p>
            <w:pPr>
              <w:jc w:val="right"/>
              <w:ind w:right="304"/>
              <w:spacing w:after="0"/>
              <w:rPr>
                <w:sz w:val="20"/>
                <w:szCs w:val="20"/>
                <w:color w:val="auto"/>
              </w:rPr>
            </w:pPr>
            <w:r>
              <w:rPr>
                <w:rFonts w:ascii="Arial" w:cs="Arial" w:eastAsia="Arial" w:hAnsi="Arial"/>
                <w:sz w:val="16"/>
                <w:szCs w:val="16"/>
                <w:b w:val="1"/>
                <w:bCs w:val="1"/>
                <w:color w:val="auto"/>
              </w:rPr>
              <w:t>90802</w:t>
            </w:r>
          </w:p>
        </w:tc>
      </w:tr>
      <w:tr>
        <w:trPr>
          <w:trHeight w:val="196"/>
        </w:trPr>
        <w:tc>
          <w:tcPr>
            <w:tcW w:w="4100" w:type="dxa"/>
            <w:vAlign w:val="bottom"/>
          </w:tcPr>
          <w:p>
            <w:pPr>
              <w:jc w:val="center"/>
              <w:ind w:right="1344"/>
              <w:spacing w:after="0"/>
              <w:rPr>
                <w:sz w:val="20"/>
                <w:szCs w:val="20"/>
                <w:color w:val="auto"/>
              </w:rPr>
            </w:pPr>
            <w:r>
              <w:rPr>
                <w:rFonts w:ascii="Arial" w:cs="Arial" w:eastAsia="Arial" w:hAnsi="Arial"/>
                <w:sz w:val="14"/>
                <w:szCs w:val="14"/>
                <w:b w:val="1"/>
                <w:bCs w:val="1"/>
                <w:color w:val="auto"/>
              </w:rPr>
              <w:t>(Address of principal executive offices)</w:t>
            </w:r>
          </w:p>
        </w:tc>
        <w:tc>
          <w:tcPr>
            <w:tcW w:w="2640" w:type="dxa"/>
            <w:vAlign w:val="bottom"/>
          </w:tcPr>
          <w:p>
            <w:pPr>
              <w:jc w:val="center"/>
              <w:ind w:left="1344"/>
              <w:spacing w:after="0"/>
              <w:rPr>
                <w:sz w:val="20"/>
                <w:szCs w:val="20"/>
                <w:color w:val="auto"/>
              </w:rPr>
            </w:pPr>
            <w:r>
              <w:rPr>
                <w:rFonts w:ascii="Arial" w:cs="Arial" w:eastAsia="Arial" w:hAnsi="Arial"/>
                <w:sz w:val="14"/>
                <w:szCs w:val="14"/>
                <w:b w:val="1"/>
                <w:bCs w:val="1"/>
                <w:color w:val="auto"/>
              </w:rPr>
              <w:t>(Zip Code)</w:t>
            </w:r>
          </w:p>
        </w:tc>
      </w:tr>
    </w:tbl>
    <w:p>
      <w:pPr>
        <w:spacing w:after="0" w:line="69"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(562) 435-3666</w:t>
      </w:r>
    </w:p>
    <w:p>
      <w:pPr>
        <w:spacing w:after="0" w:line="73"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1359535</wp:posOffset>
            </wp:positionH>
            <wp:positionV relativeFrom="paragraph">
              <wp:posOffset>132080</wp:posOffset>
            </wp:positionV>
            <wp:extent cx="442341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423410" cy="8890"/>
                    </a:xfrm>
                    <a:prstGeom prst="rect">
                      <a:avLst/>
                    </a:prstGeom>
                    <a:noFill/>
                  </pic:spPr>
                </pic:pic>
              </a:graphicData>
            </a:graphic>
          </wp:anchor>
        </w:drawing>
      </w:r>
    </w:p>
    <w:p>
      <w:pPr>
        <w:spacing w:after="0" w:line="296"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Securities registered pursuant to Section 12(b) of the Act:</w:t>
      </w:r>
    </w:p>
    <w:p>
      <w:pPr>
        <w:spacing w:after="0" w:line="148" w:lineRule="exact"/>
        <w:rPr>
          <w:sz w:val="24"/>
          <w:szCs w:val="24"/>
          <w:color w:val="auto"/>
        </w:rPr>
      </w:pPr>
    </w:p>
    <w:tbl>
      <w:tblPr>
        <w:tblLayout w:type="fixed"/>
        <w:tblInd w:w="950" w:type="dxa"/>
        <w:tblCellMar>
          <w:top w:w="0" w:type="dxa"/>
          <w:left w:w="0" w:type="dxa"/>
          <w:bottom w:w="0" w:type="dxa"/>
          <w:right w:w="0" w:type="dxa"/>
        </w:tblCellMar>
      </w:tblPr>
      <w:tr>
        <w:trPr>
          <w:trHeight w:val="255"/>
        </w:trPr>
        <w:tc>
          <w:tcPr>
            <w:tcW w:w="362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Title of each class</w:t>
            </w:r>
          </w:p>
        </w:tc>
        <w:tc>
          <w:tcPr>
            <w:tcW w:w="21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Trading Symbol(s)</w:t>
            </w:r>
          </w:p>
        </w:tc>
        <w:tc>
          <w:tcPr>
            <w:tcW w:w="362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Name of each exchange on which registered</w:t>
            </w:r>
          </w:p>
        </w:tc>
      </w:tr>
      <w:tr>
        <w:trPr>
          <w:trHeight w:val="233"/>
        </w:trPr>
        <w:tc>
          <w:tcPr>
            <w:tcW w:w="36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Common Stock, $0.001 Par Value</w:t>
            </w:r>
          </w:p>
        </w:tc>
        <w:tc>
          <w:tcPr>
            <w:tcW w:w="2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MOH</w:t>
            </w:r>
          </w:p>
        </w:tc>
        <w:tc>
          <w:tcPr>
            <w:tcW w:w="3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New York Stock Exchange</w:t>
            </w:r>
          </w:p>
        </w:tc>
      </w:tr>
    </w:tbl>
    <w:p>
      <w:pPr>
        <w:spacing w:after="0" w:line="148" w:lineRule="exact"/>
        <w:rPr>
          <w:sz w:val="24"/>
          <w:szCs w:val="24"/>
          <w:color w:val="auto"/>
        </w:rPr>
      </w:pPr>
    </w:p>
    <w:p>
      <w:pPr>
        <w:jc w:val="both"/>
        <w:ind w:right="440"/>
        <w:spacing w:after="0" w:line="205"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88" w:lineRule="exact"/>
        <w:rPr>
          <w:sz w:val="24"/>
          <w:szCs w:val="24"/>
          <w:color w:val="auto"/>
        </w:rPr>
      </w:pPr>
    </w:p>
    <w:p>
      <w:pPr>
        <w:ind w:right="460"/>
        <w:spacing w:after="0" w:line="213"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88" w:lineRule="exact"/>
        <w:rPr>
          <w:sz w:val="24"/>
          <w:szCs w:val="24"/>
          <w:color w:val="auto"/>
        </w:rPr>
      </w:pPr>
    </w:p>
    <w:p>
      <w:pPr>
        <w:spacing w:after="0" w:line="275"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70" w:lineRule="exact"/>
        <w:rPr>
          <w:sz w:val="24"/>
          <w:szCs w:val="24"/>
          <w:color w:val="auto"/>
        </w:rPr>
      </w:pPr>
    </w:p>
    <w:p>
      <w:pPr>
        <w:ind w:left="180"/>
        <w:spacing w:after="0" w:line="184" w:lineRule="exact"/>
        <w:tabs>
          <w:tab w:leader="none" w:pos="2000" w:val="left"/>
          <w:tab w:leader="none" w:pos="3400" w:val="left"/>
          <w:tab w:leader="none" w:pos="5120" w:val="left"/>
          <w:tab w:leader="none" w:pos="7160" w:val="left"/>
        </w:tabs>
        <w:rPr>
          <w:sz w:val="20"/>
          <w:szCs w:val="20"/>
          <w:color w:val="auto"/>
        </w:rPr>
      </w:pPr>
      <w:r>
        <w:rPr>
          <w:rFonts w:ascii="Arial" w:cs="Arial" w:eastAsia="Arial" w:hAnsi="Arial"/>
          <w:sz w:val="16"/>
          <w:szCs w:val="16"/>
          <w:color w:val="auto"/>
        </w:rPr>
        <w:t>L</w:t>
      </w:r>
      <w:r>
        <w:rPr>
          <w:rFonts w:ascii="Arial" w:cs="Arial" w:eastAsia="Arial" w:hAnsi="Arial"/>
          <w:sz w:val="14"/>
          <w:szCs w:val="14"/>
          <w:color w:val="auto"/>
        </w:rPr>
        <w:t>arge Accelerated Filer</w:t>
      </w:r>
      <w:r>
        <w:rPr>
          <w:rFonts w:ascii="Arial" w:cs="Arial" w:eastAsia="Arial" w:hAnsi="Arial"/>
          <w:sz w:val="16"/>
          <w:szCs w:val="16"/>
          <w:color w:val="auto"/>
        </w:rPr>
        <w:t xml:space="preserve"> </w:t>
      </w:r>
      <w:r>
        <w:rPr>
          <w:rFonts w:ascii="MS PGothic" w:cs="MS PGothic" w:eastAsia="MS PGothic" w:hAnsi="MS PGothic"/>
          <w:sz w:val="14"/>
          <w:szCs w:val="14"/>
          <w:color w:val="auto"/>
        </w:rPr>
        <w:t>☒</w:t>
      </w:r>
      <w:r>
        <w:rPr>
          <w:sz w:val="20"/>
          <w:szCs w:val="20"/>
          <w:color w:val="auto"/>
        </w:rPr>
        <w:tab/>
      </w:r>
      <w:r>
        <w:rPr>
          <w:rFonts w:ascii="Arial" w:cs="Arial" w:eastAsia="Arial" w:hAnsi="Arial"/>
          <w:sz w:val="14"/>
          <w:szCs w:val="14"/>
          <w:color w:val="auto"/>
        </w:rPr>
        <w:t xml:space="preserve">Accelerated Filer </w:t>
      </w:r>
      <w:r>
        <w:rPr>
          <w:rFonts w:ascii="MS PGothic" w:cs="MS PGothic" w:eastAsia="MS PGothic" w:hAnsi="MS PGothic"/>
          <w:sz w:val="14"/>
          <w:szCs w:val="14"/>
          <w:color w:val="auto"/>
        </w:rPr>
        <w:t>☐</w:t>
      </w:r>
      <w:r>
        <w:rPr>
          <w:rFonts w:ascii="Arial" w:cs="Arial" w:eastAsia="Arial" w:hAnsi="Arial"/>
          <w:sz w:val="14"/>
          <w:szCs w:val="14"/>
          <w:color w:val="auto"/>
        </w:rPr>
        <w:tab/>
        <w:t xml:space="preserve">Non-Accelerated Filer </w:t>
      </w:r>
      <w:r>
        <w:rPr>
          <w:rFonts w:ascii="MS PGothic" w:cs="MS PGothic" w:eastAsia="MS PGothic" w:hAnsi="MS PGothic"/>
          <w:sz w:val="14"/>
          <w:szCs w:val="14"/>
          <w:color w:val="auto"/>
        </w:rPr>
        <w:t>☐</w:t>
      </w:r>
      <w:r>
        <w:rPr>
          <w:rFonts w:ascii="Arial" w:cs="Arial" w:eastAsia="Arial" w:hAnsi="Arial"/>
          <w:sz w:val="14"/>
          <w:szCs w:val="14"/>
          <w:color w:val="auto"/>
        </w:rPr>
        <w:tab/>
        <w:t xml:space="preserve">Smaller reporting company </w:t>
      </w:r>
      <w:r>
        <w:rPr>
          <w:rFonts w:ascii="MS PGothic" w:cs="MS PGothic" w:eastAsia="MS PGothic" w:hAnsi="MS PGothic"/>
          <w:sz w:val="14"/>
          <w:szCs w:val="14"/>
          <w:color w:val="auto"/>
        </w:rPr>
        <w:t>☐</w:t>
      </w:r>
      <w:r>
        <w:rPr>
          <w:rFonts w:ascii="Arial" w:cs="Arial" w:eastAsia="Arial" w:hAnsi="Arial"/>
          <w:sz w:val="14"/>
          <w:szCs w:val="14"/>
          <w:color w:val="auto"/>
        </w:rPr>
        <w:tab/>
        <w:t xml:space="preserve">Emerging growth company </w:t>
      </w:r>
      <w:r>
        <w:rPr>
          <w:rFonts w:ascii="MS PGothic" w:cs="MS PGothic" w:eastAsia="MS PGothic" w:hAnsi="MS PGothic"/>
          <w:sz w:val="14"/>
          <w:szCs w:val="14"/>
          <w:color w:val="auto"/>
        </w:rPr>
        <w:t>☐</w:t>
      </w:r>
    </w:p>
    <w:p>
      <w:pPr>
        <w:spacing w:after="0" w:line="139" w:lineRule="exact"/>
        <w:rPr>
          <w:sz w:val="24"/>
          <w:szCs w:val="24"/>
          <w:color w:val="auto"/>
        </w:rPr>
      </w:pPr>
    </w:p>
    <w:p>
      <w:pPr>
        <w:ind w:right="120"/>
        <w:spacing w:after="0" w:line="227"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52" w:lineRule="exact"/>
        <w:rPr>
          <w:sz w:val="24"/>
          <w:szCs w:val="24"/>
          <w:color w:val="auto"/>
        </w:rPr>
      </w:pPr>
    </w:p>
    <w:p>
      <w:pPr>
        <w:spacing w:after="0" w:line="184" w:lineRule="exact"/>
        <w:tabs>
          <w:tab w:leader="none" w:pos="8840" w:val="left"/>
        </w:tabs>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p>
    <w:p>
      <w:pPr>
        <w:spacing w:after="0" w:line="176" w:lineRule="exact"/>
        <w:rPr>
          <w:sz w:val="24"/>
          <w:szCs w:val="24"/>
          <w:color w:val="auto"/>
        </w:rPr>
      </w:pPr>
    </w:p>
    <w:p>
      <w:pPr>
        <w:spacing w:after="0"/>
        <w:rPr>
          <w:sz w:val="20"/>
          <w:szCs w:val="20"/>
          <w:color w:val="auto"/>
        </w:rPr>
      </w:pPr>
      <w:r>
        <w:rPr>
          <w:rFonts w:ascii="Arial" w:cs="Arial" w:eastAsia="Arial" w:hAnsi="Arial"/>
          <w:sz w:val="16"/>
          <w:szCs w:val="16"/>
          <w:color w:val="auto"/>
        </w:rPr>
        <w:t>The number of shares of the issuer’s Common Stock, $0.001 par value, outstanding as of April 19, 2024, was approximately 58.6 million.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642620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bookmarkStart w:id="1" w:name="page2"/>
    <w:bookmarkEnd w:id="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22"/>
          <w:szCs w:val="22"/>
          <w:b w:val="1"/>
          <w:bCs w:val="1"/>
          <w:color w:val="0F7C7F"/>
        </w:rPr>
        <w:t>MOLINA HEALTHCARE, INC. FORM 10-Q</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color w:val="828282"/>
        </w:rPr>
        <w:t>FOR THE QUARTERLY PERIOD ENDED MARCH 31, 2024</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828282"/>
        </w:rPr>
        <w:t>TABLE OF CONTENTS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960" w:type="dxa"/>
            <w:vAlign w:val="bottom"/>
            <w:gridSpan w:val="11"/>
          </w:tcPr>
          <w:p>
            <w:pPr>
              <w:ind w:left="20"/>
              <w:spacing w:after="0"/>
              <w:rPr>
                <w:sz w:val="20"/>
                <w:szCs w:val="20"/>
                <w:color w:val="auto"/>
              </w:rPr>
            </w:pPr>
            <w:r>
              <w:rPr>
                <w:rFonts w:ascii="Arial" w:cs="Arial" w:eastAsia="Arial" w:hAnsi="Arial"/>
                <w:sz w:val="16"/>
                <w:szCs w:val="16"/>
                <w:b w:val="1"/>
                <w:bCs w:val="1"/>
                <w:color w:val="auto"/>
              </w:rPr>
              <w:t>ITEM NUMBER</w:t>
            </w:r>
          </w:p>
        </w:tc>
        <w:tc>
          <w:tcPr>
            <w:tcW w:w="3840" w:type="dxa"/>
            <w:vAlign w:val="bottom"/>
          </w:tcPr>
          <w:p>
            <w:pPr>
              <w:spacing w:after="0"/>
              <w:rPr>
                <w:sz w:val="16"/>
                <w:szCs w:val="16"/>
                <w:color w:val="auto"/>
              </w:rPr>
            </w:pPr>
          </w:p>
        </w:tc>
        <w:tc>
          <w:tcPr>
            <w:tcW w:w="440" w:type="dxa"/>
            <w:vAlign w:val="bottom"/>
            <w:gridSpan w:val="4"/>
          </w:tcPr>
          <w:p>
            <w:pPr>
              <w:jc w:val="right"/>
              <w:ind w:right="40"/>
              <w:spacing w:after="0"/>
              <w:rPr>
                <w:sz w:val="20"/>
                <w:szCs w:val="20"/>
                <w:color w:val="auto"/>
              </w:rPr>
            </w:pPr>
            <w:r>
              <w:rPr>
                <w:rFonts w:ascii="Arial" w:cs="Arial" w:eastAsia="Arial" w:hAnsi="Arial"/>
                <w:sz w:val="16"/>
                <w:szCs w:val="16"/>
                <w:b w:val="1"/>
                <w:bCs w:val="1"/>
                <w:color w:val="0F7C7F"/>
                <w:w w:val="99"/>
              </w:rPr>
              <w:t>Page</w:t>
            </w:r>
          </w:p>
        </w:tc>
      </w:tr>
      <w:tr>
        <w:trPr>
          <w:trHeight w:val="297"/>
        </w:trPr>
        <w:tc>
          <w:tcPr>
            <w:tcW w:w="6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580" w:type="dxa"/>
            <w:vAlign w:val="bottom"/>
            <w:gridSpan w:val="3"/>
          </w:tcPr>
          <w:p>
            <w:pPr>
              <w:jc w:val="center"/>
              <w:ind w:right="420"/>
              <w:spacing w:after="0"/>
              <w:rPr>
                <w:sz w:val="20"/>
                <w:szCs w:val="20"/>
                <w:color w:val="auto"/>
              </w:rPr>
            </w:pPr>
            <w:r>
              <w:rPr>
                <w:rFonts w:ascii="Arial" w:cs="Arial" w:eastAsia="Arial" w:hAnsi="Arial"/>
                <w:sz w:val="16"/>
                <w:szCs w:val="16"/>
                <w:b w:val="1"/>
                <w:bCs w:val="1"/>
                <w:color w:val="auto"/>
                <w:w w:val="99"/>
              </w:rPr>
              <w:t>PART I</w:t>
            </w:r>
          </w:p>
        </w:tc>
        <w:tc>
          <w:tcPr>
            <w:tcW w:w="3840" w:type="dxa"/>
            <w:vAlign w:val="bottom"/>
          </w:tcPr>
          <w:p>
            <w:pPr>
              <w:spacing w:after="0"/>
              <w:rPr>
                <w:sz w:val="24"/>
                <w:szCs w:val="24"/>
                <w:color w:val="auto"/>
              </w:rPr>
            </w:pPr>
          </w:p>
        </w:tc>
        <w:tc>
          <w:tcPr>
            <w:tcW w:w="220" w:type="dxa"/>
            <w:vAlign w:val="bottom"/>
            <w:tcBorders>
              <w:top w:val="single" w:sz="8" w:color="0F7C7F"/>
            </w:tcBorders>
          </w:tcPr>
          <w:p>
            <w:pPr>
              <w:spacing w:after="0"/>
              <w:rPr>
                <w:sz w:val="24"/>
                <w:szCs w:val="24"/>
                <w:color w:val="auto"/>
              </w:rPr>
            </w:pPr>
          </w:p>
        </w:tc>
        <w:tc>
          <w:tcPr>
            <w:tcW w:w="80" w:type="dxa"/>
            <w:vAlign w:val="bottom"/>
            <w:tcBorders>
              <w:top w:val="single" w:sz="8" w:color="0F7C7F"/>
            </w:tcBorders>
          </w:tcPr>
          <w:p>
            <w:pPr>
              <w:spacing w:after="0"/>
              <w:rPr>
                <w:sz w:val="24"/>
                <w:szCs w:val="24"/>
                <w:color w:val="auto"/>
              </w:rPr>
            </w:pPr>
          </w:p>
        </w:tc>
        <w:tc>
          <w:tcPr>
            <w:tcW w:w="100" w:type="dxa"/>
            <w:vAlign w:val="bottom"/>
            <w:tcBorders>
              <w:top w:val="single" w:sz="8" w:color="0F7C7F"/>
            </w:tcBorders>
          </w:tcPr>
          <w:p>
            <w:pPr>
              <w:spacing w:after="0"/>
              <w:rPr>
                <w:sz w:val="24"/>
                <w:szCs w:val="24"/>
                <w:color w:val="auto"/>
              </w:rPr>
            </w:pPr>
          </w:p>
        </w:tc>
        <w:tc>
          <w:tcPr>
            <w:tcW w:w="40" w:type="dxa"/>
            <w:vAlign w:val="bottom"/>
          </w:tcPr>
          <w:p>
            <w:pPr>
              <w:spacing w:after="0"/>
              <w:rPr>
                <w:sz w:val="24"/>
                <w:szCs w:val="24"/>
                <w:color w:val="auto"/>
              </w:rPr>
            </w:pPr>
          </w:p>
        </w:tc>
      </w:tr>
      <w:tr>
        <w:trPr>
          <w:trHeight w:val="223"/>
        </w:trPr>
        <w:tc>
          <w:tcPr>
            <w:tcW w:w="600" w:type="dxa"/>
            <w:vAlign w:val="bottom"/>
          </w:tcPr>
          <w:p>
            <w:pPr>
              <w:ind w:left="20"/>
              <w:spacing w:after="0"/>
              <w:rPr>
                <w:sz w:val="20"/>
                <w:szCs w:val="20"/>
                <w:color w:val="auto"/>
              </w:rPr>
            </w:pPr>
            <w:r>
              <w:rPr>
                <w:rFonts w:ascii="Arial" w:cs="Arial" w:eastAsia="Arial" w:hAnsi="Arial"/>
                <w:sz w:val="16"/>
                <w:szCs w:val="16"/>
                <w:color w:val="auto"/>
              </w:rPr>
              <w:t>1.</w:t>
            </w:r>
          </w:p>
        </w:tc>
        <w:tc>
          <w:tcPr>
            <w:tcW w:w="6360" w:type="dxa"/>
            <w:vAlign w:val="bottom"/>
            <w:gridSpan w:val="10"/>
          </w:tcPr>
          <w:p>
            <w:pPr>
              <w:spacing w:after="0"/>
              <w:rPr>
                <w:sz w:val="20"/>
                <w:szCs w:val="20"/>
                <w:color w:val="auto"/>
              </w:rPr>
            </w:pPr>
            <w:r>
              <w:rPr>
                <w:rFonts w:ascii="Arial" w:cs="Arial" w:eastAsia="Arial" w:hAnsi="Arial"/>
                <w:sz w:val="16"/>
                <w:szCs w:val="16"/>
                <w:color w:val="0F7C7F"/>
              </w:rPr>
              <w:t>Financial Statements</w:t>
            </w:r>
          </w:p>
        </w:tc>
        <w:tc>
          <w:tcPr>
            <w:tcW w:w="4240" w:type="dxa"/>
            <w:vAlign w:val="bottom"/>
            <w:gridSpan w:val="4"/>
          </w:tcPr>
          <w:p>
            <w:pPr>
              <w:jc w:val="right"/>
              <w:spacing w:after="0"/>
              <w:rPr>
                <w:sz w:val="20"/>
                <w:szCs w:val="20"/>
                <w:color w:val="auto"/>
              </w:rPr>
            </w:pPr>
            <w:r>
              <w:rPr>
                <w:rFonts w:ascii="Arial" w:cs="Arial" w:eastAsia="Arial" w:hAnsi="Arial"/>
                <w:sz w:val="16"/>
                <w:szCs w:val="16"/>
                <w:color w:val="0F7C7F"/>
              </w:rPr>
              <w:t>3</w:t>
            </w:r>
          </w:p>
        </w:tc>
        <w:tc>
          <w:tcPr>
            <w:tcW w:w="40" w:type="dxa"/>
            <w:vAlign w:val="bottom"/>
          </w:tcPr>
          <w:p>
            <w:pPr>
              <w:spacing w:after="0"/>
              <w:rPr>
                <w:sz w:val="19"/>
                <w:szCs w:val="19"/>
                <w:color w:val="auto"/>
              </w:rPr>
            </w:pPr>
          </w:p>
        </w:tc>
      </w:tr>
      <w:tr>
        <w:trPr>
          <w:trHeight w:val="20"/>
        </w:trPr>
        <w:tc>
          <w:tcPr>
            <w:tcW w:w="600" w:type="dxa"/>
            <w:vAlign w:val="bottom"/>
          </w:tcPr>
          <w:p>
            <w:pPr>
              <w:spacing w:after="0" w:line="20" w:lineRule="exact"/>
              <w:rPr>
                <w:sz w:val="1"/>
                <w:szCs w:val="1"/>
                <w:color w:val="auto"/>
              </w:rPr>
            </w:pPr>
          </w:p>
        </w:tc>
        <w:tc>
          <w:tcPr>
            <w:tcW w:w="560" w:type="dxa"/>
            <w:vAlign w:val="bottom"/>
            <w:shd w:val="clear" w:color="auto" w:fill="0F7C7F"/>
          </w:tcPr>
          <w:p>
            <w:pPr>
              <w:spacing w:after="0" w:line="20" w:lineRule="exact"/>
              <w:rPr>
                <w:sz w:val="1"/>
                <w:szCs w:val="1"/>
                <w:color w:val="auto"/>
              </w:rPr>
            </w:pPr>
          </w:p>
        </w:tc>
        <w:tc>
          <w:tcPr>
            <w:tcW w:w="200" w:type="dxa"/>
            <w:vAlign w:val="bottom"/>
            <w:shd w:val="clear" w:color="auto" w:fill="0F7C7F"/>
          </w:tcPr>
          <w:p>
            <w:pPr>
              <w:spacing w:after="0" w:line="20" w:lineRule="exact"/>
              <w:rPr>
                <w:sz w:val="1"/>
                <w:szCs w:val="1"/>
                <w:color w:val="auto"/>
              </w:rPr>
            </w:pPr>
          </w:p>
        </w:tc>
        <w:tc>
          <w:tcPr>
            <w:tcW w:w="140" w:type="dxa"/>
            <w:vAlign w:val="bottom"/>
            <w:shd w:val="clear" w:color="auto" w:fill="0F7C7F"/>
          </w:tcPr>
          <w:p>
            <w:pPr>
              <w:spacing w:after="0" w:line="20" w:lineRule="exact"/>
              <w:rPr>
                <w:sz w:val="1"/>
                <w:szCs w:val="1"/>
                <w:color w:val="auto"/>
              </w:rPr>
            </w:pPr>
          </w:p>
        </w:tc>
        <w:tc>
          <w:tcPr>
            <w:tcW w:w="360" w:type="dxa"/>
            <w:vAlign w:val="bottom"/>
            <w:shd w:val="clear" w:color="auto" w:fill="0F7C7F"/>
          </w:tcPr>
          <w:p>
            <w:pPr>
              <w:spacing w:after="0" w:line="20" w:lineRule="exact"/>
              <w:rPr>
                <w:sz w:val="1"/>
                <w:szCs w:val="1"/>
                <w:color w:val="auto"/>
              </w:rPr>
            </w:pPr>
          </w:p>
        </w:tc>
        <w:tc>
          <w:tcPr>
            <w:tcW w:w="80" w:type="dxa"/>
            <w:vAlign w:val="bottom"/>
            <w:shd w:val="clear" w:color="auto" w:fill="0F7C7F"/>
          </w:tcPr>
          <w:p>
            <w:pPr>
              <w:spacing w:after="0" w:line="20" w:lineRule="exact"/>
              <w:rPr>
                <w:sz w:val="1"/>
                <w:szCs w:val="1"/>
                <w:color w:val="auto"/>
              </w:rPr>
            </w:pPr>
          </w:p>
        </w:tc>
        <w:tc>
          <w:tcPr>
            <w:tcW w:w="160" w:type="dxa"/>
            <w:vAlign w:val="bottom"/>
            <w:shd w:val="clear" w:color="auto" w:fill="0F7C7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40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F7C7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600" w:type="dxa"/>
            <w:vAlign w:val="bottom"/>
          </w:tcPr>
          <w:p>
            <w:pPr>
              <w:ind w:left="20"/>
              <w:spacing w:after="0"/>
              <w:rPr>
                <w:sz w:val="20"/>
                <w:szCs w:val="20"/>
                <w:color w:val="auto"/>
              </w:rPr>
            </w:pPr>
            <w:r>
              <w:rPr>
                <w:rFonts w:ascii="Arial" w:cs="Arial" w:eastAsia="Arial" w:hAnsi="Arial"/>
                <w:sz w:val="16"/>
                <w:szCs w:val="16"/>
                <w:color w:val="auto"/>
              </w:rPr>
              <w:t>2.</w:t>
            </w:r>
          </w:p>
        </w:tc>
        <w:tc>
          <w:tcPr>
            <w:tcW w:w="6360" w:type="dxa"/>
            <w:vAlign w:val="bottom"/>
            <w:gridSpan w:val="10"/>
          </w:tcPr>
          <w:p>
            <w:pPr>
              <w:spacing w:after="0"/>
              <w:rPr>
                <w:sz w:val="20"/>
                <w:szCs w:val="20"/>
                <w:color w:val="auto"/>
              </w:rPr>
            </w:pPr>
            <w:r>
              <w:rPr>
                <w:rFonts w:ascii="Arial" w:cs="Arial" w:eastAsia="Arial" w:hAnsi="Arial"/>
                <w:sz w:val="16"/>
                <w:szCs w:val="16"/>
                <w:color w:val="0F7C7F"/>
              </w:rPr>
              <w:t>Management’s Discussion and Analysis of Financial Condition and Results of Operations</w:t>
            </w:r>
          </w:p>
        </w:tc>
        <w:tc>
          <w:tcPr>
            <w:tcW w:w="4240" w:type="dxa"/>
            <w:vAlign w:val="bottom"/>
            <w:gridSpan w:val="4"/>
          </w:tcPr>
          <w:p>
            <w:pPr>
              <w:jc w:val="right"/>
              <w:spacing w:after="0"/>
              <w:rPr>
                <w:sz w:val="20"/>
                <w:szCs w:val="20"/>
                <w:color w:val="auto"/>
              </w:rPr>
            </w:pPr>
            <w:r>
              <w:rPr>
                <w:rFonts w:ascii="Arial" w:cs="Arial" w:eastAsia="Arial" w:hAnsi="Arial"/>
                <w:sz w:val="16"/>
                <w:szCs w:val="16"/>
                <w:color w:val="0F7C7F"/>
              </w:rPr>
              <w:t>21</w:t>
            </w:r>
          </w:p>
        </w:tc>
        <w:tc>
          <w:tcPr>
            <w:tcW w:w="40" w:type="dxa"/>
            <w:vAlign w:val="bottom"/>
          </w:tcPr>
          <w:p>
            <w:pPr>
              <w:spacing w:after="0"/>
              <w:rPr>
                <w:sz w:val="21"/>
                <w:szCs w:val="21"/>
                <w:color w:val="auto"/>
              </w:rPr>
            </w:pPr>
          </w:p>
        </w:tc>
      </w:tr>
      <w:tr>
        <w:trPr>
          <w:trHeight w:val="20"/>
        </w:trPr>
        <w:tc>
          <w:tcPr>
            <w:tcW w:w="600" w:type="dxa"/>
            <w:vAlign w:val="bottom"/>
          </w:tcPr>
          <w:p>
            <w:pPr>
              <w:spacing w:after="0" w:line="20" w:lineRule="exact"/>
              <w:rPr>
                <w:sz w:val="1"/>
                <w:szCs w:val="1"/>
                <w:color w:val="auto"/>
              </w:rPr>
            </w:pPr>
          </w:p>
        </w:tc>
        <w:tc>
          <w:tcPr>
            <w:tcW w:w="560" w:type="dxa"/>
            <w:vAlign w:val="bottom"/>
            <w:shd w:val="clear" w:color="auto" w:fill="0F7C7F"/>
          </w:tcPr>
          <w:p>
            <w:pPr>
              <w:spacing w:after="0" w:line="20" w:lineRule="exact"/>
              <w:rPr>
                <w:sz w:val="1"/>
                <w:szCs w:val="1"/>
                <w:color w:val="auto"/>
              </w:rPr>
            </w:pPr>
          </w:p>
        </w:tc>
        <w:tc>
          <w:tcPr>
            <w:tcW w:w="200" w:type="dxa"/>
            <w:vAlign w:val="bottom"/>
            <w:shd w:val="clear" w:color="auto" w:fill="0F7C7F"/>
          </w:tcPr>
          <w:p>
            <w:pPr>
              <w:spacing w:after="0" w:line="20" w:lineRule="exact"/>
              <w:rPr>
                <w:sz w:val="1"/>
                <w:szCs w:val="1"/>
                <w:color w:val="auto"/>
              </w:rPr>
            </w:pPr>
          </w:p>
        </w:tc>
        <w:tc>
          <w:tcPr>
            <w:tcW w:w="140" w:type="dxa"/>
            <w:vAlign w:val="bottom"/>
            <w:shd w:val="clear" w:color="auto" w:fill="0F7C7F"/>
          </w:tcPr>
          <w:p>
            <w:pPr>
              <w:spacing w:after="0" w:line="20" w:lineRule="exact"/>
              <w:rPr>
                <w:sz w:val="1"/>
                <w:szCs w:val="1"/>
                <w:color w:val="auto"/>
              </w:rPr>
            </w:pPr>
          </w:p>
        </w:tc>
        <w:tc>
          <w:tcPr>
            <w:tcW w:w="360" w:type="dxa"/>
            <w:vAlign w:val="bottom"/>
            <w:shd w:val="clear" w:color="auto" w:fill="0F7C7F"/>
          </w:tcPr>
          <w:p>
            <w:pPr>
              <w:spacing w:after="0" w:line="20" w:lineRule="exact"/>
              <w:rPr>
                <w:sz w:val="1"/>
                <w:szCs w:val="1"/>
                <w:color w:val="auto"/>
              </w:rPr>
            </w:pPr>
          </w:p>
        </w:tc>
        <w:tc>
          <w:tcPr>
            <w:tcW w:w="80" w:type="dxa"/>
            <w:vAlign w:val="bottom"/>
            <w:shd w:val="clear" w:color="auto" w:fill="0F7C7F"/>
          </w:tcPr>
          <w:p>
            <w:pPr>
              <w:spacing w:after="0" w:line="20" w:lineRule="exact"/>
              <w:rPr>
                <w:sz w:val="1"/>
                <w:szCs w:val="1"/>
                <w:color w:val="auto"/>
              </w:rPr>
            </w:pPr>
          </w:p>
        </w:tc>
        <w:tc>
          <w:tcPr>
            <w:tcW w:w="440" w:type="dxa"/>
            <w:vAlign w:val="bottom"/>
            <w:gridSpan w:val="2"/>
            <w:shd w:val="clear" w:color="auto" w:fill="0F7C7F"/>
          </w:tcPr>
          <w:p>
            <w:pPr>
              <w:spacing w:after="0" w:line="20" w:lineRule="exact"/>
              <w:rPr>
                <w:sz w:val="1"/>
                <w:szCs w:val="1"/>
                <w:color w:val="auto"/>
              </w:rPr>
            </w:pPr>
          </w:p>
        </w:tc>
        <w:tc>
          <w:tcPr>
            <w:tcW w:w="2460" w:type="dxa"/>
            <w:vAlign w:val="bottom"/>
            <w:shd w:val="clear" w:color="auto" w:fill="0F7C7F"/>
          </w:tcPr>
          <w:p>
            <w:pPr>
              <w:spacing w:after="0" w:line="20" w:lineRule="exact"/>
              <w:rPr>
                <w:sz w:val="1"/>
                <w:szCs w:val="1"/>
                <w:color w:val="auto"/>
              </w:rPr>
            </w:pPr>
          </w:p>
        </w:tc>
        <w:tc>
          <w:tcPr>
            <w:tcW w:w="120" w:type="dxa"/>
            <w:vAlign w:val="bottom"/>
            <w:shd w:val="clear" w:color="auto" w:fill="0F7C7F"/>
          </w:tcPr>
          <w:p>
            <w:pPr>
              <w:spacing w:after="0" w:line="20" w:lineRule="exact"/>
              <w:rPr>
                <w:sz w:val="1"/>
                <w:szCs w:val="1"/>
                <w:color w:val="auto"/>
              </w:rPr>
            </w:pPr>
          </w:p>
        </w:tc>
        <w:tc>
          <w:tcPr>
            <w:tcW w:w="2000" w:type="dxa"/>
            <w:vAlign w:val="bottom"/>
            <w:shd w:val="clear" w:color="auto" w:fill="0F7C7F"/>
          </w:tcPr>
          <w:p>
            <w:pPr>
              <w:spacing w:after="0" w:line="20" w:lineRule="exact"/>
              <w:rPr>
                <w:sz w:val="1"/>
                <w:szCs w:val="1"/>
                <w:color w:val="auto"/>
              </w:rPr>
            </w:pPr>
          </w:p>
        </w:tc>
        <w:tc>
          <w:tcPr>
            <w:tcW w:w="4060" w:type="dxa"/>
            <w:vAlign w:val="bottom"/>
            <w:gridSpan w:val="2"/>
          </w:tcPr>
          <w:p>
            <w:pPr>
              <w:spacing w:after="0" w:line="20" w:lineRule="exact"/>
              <w:rPr>
                <w:sz w:val="1"/>
                <w:szCs w:val="1"/>
                <w:color w:val="auto"/>
              </w:rPr>
            </w:pPr>
          </w:p>
        </w:tc>
        <w:tc>
          <w:tcPr>
            <w:tcW w:w="180" w:type="dxa"/>
            <w:vAlign w:val="bottom"/>
            <w:gridSpan w:val="2"/>
            <w:shd w:val="clear" w:color="auto" w:fill="0F7C7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600" w:type="dxa"/>
            <w:vAlign w:val="bottom"/>
          </w:tcPr>
          <w:p>
            <w:pPr>
              <w:ind w:left="20"/>
              <w:spacing w:after="0"/>
              <w:rPr>
                <w:sz w:val="20"/>
                <w:szCs w:val="20"/>
                <w:color w:val="auto"/>
              </w:rPr>
            </w:pPr>
            <w:r>
              <w:rPr>
                <w:rFonts w:ascii="Arial" w:cs="Arial" w:eastAsia="Arial" w:hAnsi="Arial"/>
                <w:sz w:val="16"/>
                <w:szCs w:val="16"/>
                <w:color w:val="auto"/>
              </w:rPr>
              <w:t>3.</w:t>
            </w:r>
          </w:p>
        </w:tc>
        <w:tc>
          <w:tcPr>
            <w:tcW w:w="4240" w:type="dxa"/>
            <w:vAlign w:val="bottom"/>
            <w:gridSpan w:val="8"/>
          </w:tcPr>
          <w:p>
            <w:pPr>
              <w:spacing w:after="0"/>
              <w:rPr>
                <w:sz w:val="20"/>
                <w:szCs w:val="20"/>
                <w:color w:val="auto"/>
              </w:rPr>
            </w:pPr>
            <w:r>
              <w:rPr>
                <w:rFonts w:ascii="Arial" w:cs="Arial" w:eastAsia="Arial" w:hAnsi="Arial"/>
                <w:sz w:val="16"/>
                <w:szCs w:val="16"/>
                <w:color w:val="0F7C7F"/>
              </w:rPr>
              <w:t>Quantitative and Qualitative Disclosures About Market Risk</w:t>
            </w:r>
          </w:p>
        </w:tc>
        <w:tc>
          <w:tcPr>
            <w:tcW w:w="2120" w:type="dxa"/>
            <w:vAlign w:val="bottom"/>
            <w:gridSpan w:val="2"/>
          </w:tcPr>
          <w:p>
            <w:pPr>
              <w:spacing w:after="0"/>
              <w:rPr>
                <w:sz w:val="21"/>
                <w:szCs w:val="21"/>
                <w:color w:val="auto"/>
              </w:rPr>
            </w:pPr>
          </w:p>
        </w:tc>
        <w:tc>
          <w:tcPr>
            <w:tcW w:w="4240" w:type="dxa"/>
            <w:vAlign w:val="bottom"/>
            <w:gridSpan w:val="4"/>
          </w:tcPr>
          <w:p>
            <w:pPr>
              <w:jc w:val="right"/>
              <w:spacing w:after="0"/>
              <w:rPr>
                <w:sz w:val="20"/>
                <w:szCs w:val="20"/>
                <w:color w:val="auto"/>
              </w:rPr>
            </w:pPr>
            <w:r>
              <w:rPr>
                <w:rFonts w:ascii="Arial" w:cs="Arial" w:eastAsia="Arial" w:hAnsi="Arial"/>
                <w:sz w:val="16"/>
                <w:szCs w:val="16"/>
                <w:color w:val="0F7C7F"/>
              </w:rPr>
              <w:t>33</w:t>
            </w:r>
          </w:p>
        </w:tc>
        <w:tc>
          <w:tcPr>
            <w:tcW w:w="40" w:type="dxa"/>
            <w:vAlign w:val="bottom"/>
          </w:tcPr>
          <w:p>
            <w:pPr>
              <w:spacing w:after="0"/>
              <w:rPr>
                <w:sz w:val="21"/>
                <w:szCs w:val="21"/>
                <w:color w:val="auto"/>
              </w:rPr>
            </w:pPr>
          </w:p>
        </w:tc>
      </w:tr>
      <w:tr>
        <w:trPr>
          <w:trHeight w:val="20"/>
        </w:trPr>
        <w:tc>
          <w:tcPr>
            <w:tcW w:w="600" w:type="dxa"/>
            <w:vAlign w:val="bottom"/>
          </w:tcPr>
          <w:p>
            <w:pPr>
              <w:spacing w:after="0" w:line="20" w:lineRule="exact"/>
              <w:rPr>
                <w:sz w:val="1"/>
                <w:szCs w:val="1"/>
                <w:color w:val="auto"/>
              </w:rPr>
            </w:pPr>
          </w:p>
        </w:tc>
        <w:tc>
          <w:tcPr>
            <w:tcW w:w="560" w:type="dxa"/>
            <w:vAlign w:val="bottom"/>
            <w:shd w:val="clear" w:color="auto" w:fill="0F7C7F"/>
          </w:tcPr>
          <w:p>
            <w:pPr>
              <w:spacing w:after="0" w:line="20" w:lineRule="exact"/>
              <w:rPr>
                <w:sz w:val="1"/>
                <w:szCs w:val="1"/>
                <w:color w:val="auto"/>
              </w:rPr>
            </w:pPr>
          </w:p>
        </w:tc>
        <w:tc>
          <w:tcPr>
            <w:tcW w:w="200" w:type="dxa"/>
            <w:vAlign w:val="bottom"/>
            <w:shd w:val="clear" w:color="auto" w:fill="0F7C7F"/>
          </w:tcPr>
          <w:p>
            <w:pPr>
              <w:spacing w:after="0" w:line="20" w:lineRule="exact"/>
              <w:rPr>
                <w:sz w:val="1"/>
                <w:szCs w:val="1"/>
                <w:color w:val="auto"/>
              </w:rPr>
            </w:pPr>
          </w:p>
        </w:tc>
        <w:tc>
          <w:tcPr>
            <w:tcW w:w="140" w:type="dxa"/>
            <w:vAlign w:val="bottom"/>
            <w:shd w:val="clear" w:color="auto" w:fill="0F7C7F"/>
          </w:tcPr>
          <w:p>
            <w:pPr>
              <w:spacing w:after="0" w:line="20" w:lineRule="exact"/>
              <w:rPr>
                <w:sz w:val="1"/>
                <w:szCs w:val="1"/>
                <w:color w:val="auto"/>
              </w:rPr>
            </w:pPr>
          </w:p>
        </w:tc>
        <w:tc>
          <w:tcPr>
            <w:tcW w:w="360" w:type="dxa"/>
            <w:vAlign w:val="bottom"/>
            <w:shd w:val="clear" w:color="auto" w:fill="0F7C7F"/>
          </w:tcPr>
          <w:p>
            <w:pPr>
              <w:spacing w:after="0" w:line="20" w:lineRule="exact"/>
              <w:rPr>
                <w:sz w:val="1"/>
                <w:szCs w:val="1"/>
                <w:color w:val="auto"/>
              </w:rPr>
            </w:pPr>
          </w:p>
        </w:tc>
        <w:tc>
          <w:tcPr>
            <w:tcW w:w="80" w:type="dxa"/>
            <w:vAlign w:val="bottom"/>
            <w:shd w:val="clear" w:color="auto" w:fill="0F7C7F"/>
          </w:tcPr>
          <w:p>
            <w:pPr>
              <w:spacing w:after="0" w:line="20" w:lineRule="exact"/>
              <w:rPr>
                <w:sz w:val="1"/>
                <w:szCs w:val="1"/>
                <w:color w:val="auto"/>
              </w:rPr>
            </w:pPr>
          </w:p>
        </w:tc>
        <w:tc>
          <w:tcPr>
            <w:tcW w:w="440" w:type="dxa"/>
            <w:vAlign w:val="bottom"/>
            <w:gridSpan w:val="2"/>
            <w:shd w:val="clear" w:color="auto" w:fill="0F7C7F"/>
          </w:tcPr>
          <w:p>
            <w:pPr>
              <w:spacing w:after="0" w:line="20" w:lineRule="exact"/>
              <w:rPr>
                <w:sz w:val="1"/>
                <w:szCs w:val="1"/>
                <w:color w:val="auto"/>
              </w:rPr>
            </w:pPr>
          </w:p>
        </w:tc>
        <w:tc>
          <w:tcPr>
            <w:tcW w:w="2460" w:type="dxa"/>
            <w:vAlign w:val="bottom"/>
            <w:shd w:val="clear" w:color="auto" w:fill="0F7C7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4060" w:type="dxa"/>
            <w:vAlign w:val="bottom"/>
            <w:gridSpan w:val="2"/>
          </w:tcPr>
          <w:p>
            <w:pPr>
              <w:spacing w:after="0" w:line="20" w:lineRule="exact"/>
              <w:rPr>
                <w:sz w:val="1"/>
                <w:szCs w:val="1"/>
                <w:color w:val="auto"/>
              </w:rPr>
            </w:pPr>
          </w:p>
        </w:tc>
        <w:tc>
          <w:tcPr>
            <w:tcW w:w="180" w:type="dxa"/>
            <w:vAlign w:val="bottom"/>
            <w:gridSpan w:val="2"/>
            <w:shd w:val="clear" w:color="auto" w:fill="0F7C7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600" w:type="dxa"/>
            <w:vAlign w:val="bottom"/>
          </w:tcPr>
          <w:p>
            <w:pPr>
              <w:ind w:left="20"/>
              <w:spacing w:after="0"/>
              <w:rPr>
                <w:sz w:val="20"/>
                <w:szCs w:val="20"/>
                <w:color w:val="auto"/>
              </w:rPr>
            </w:pPr>
            <w:r>
              <w:rPr>
                <w:rFonts w:ascii="Arial" w:cs="Arial" w:eastAsia="Arial" w:hAnsi="Arial"/>
                <w:sz w:val="16"/>
                <w:szCs w:val="16"/>
                <w:color w:val="auto"/>
              </w:rPr>
              <w:t>4.</w:t>
            </w:r>
          </w:p>
        </w:tc>
        <w:tc>
          <w:tcPr>
            <w:tcW w:w="4240" w:type="dxa"/>
            <w:vAlign w:val="bottom"/>
            <w:gridSpan w:val="8"/>
          </w:tcPr>
          <w:p>
            <w:pPr>
              <w:spacing w:after="0"/>
              <w:rPr>
                <w:sz w:val="20"/>
                <w:szCs w:val="20"/>
                <w:color w:val="auto"/>
              </w:rPr>
            </w:pPr>
            <w:r>
              <w:rPr>
                <w:rFonts w:ascii="Arial" w:cs="Arial" w:eastAsia="Arial" w:hAnsi="Arial"/>
                <w:sz w:val="16"/>
                <w:szCs w:val="16"/>
                <w:color w:val="0F7C7F"/>
              </w:rPr>
              <w:t>Controls and Procedures</w:t>
            </w:r>
          </w:p>
        </w:tc>
        <w:tc>
          <w:tcPr>
            <w:tcW w:w="2120" w:type="dxa"/>
            <w:vAlign w:val="bottom"/>
            <w:gridSpan w:val="2"/>
          </w:tcPr>
          <w:p>
            <w:pPr>
              <w:spacing w:after="0"/>
              <w:rPr>
                <w:sz w:val="21"/>
                <w:szCs w:val="21"/>
                <w:color w:val="auto"/>
              </w:rPr>
            </w:pPr>
          </w:p>
        </w:tc>
        <w:tc>
          <w:tcPr>
            <w:tcW w:w="4240" w:type="dxa"/>
            <w:vAlign w:val="bottom"/>
            <w:gridSpan w:val="4"/>
          </w:tcPr>
          <w:p>
            <w:pPr>
              <w:jc w:val="right"/>
              <w:spacing w:after="0"/>
              <w:rPr>
                <w:sz w:val="20"/>
                <w:szCs w:val="20"/>
                <w:color w:val="auto"/>
              </w:rPr>
            </w:pPr>
            <w:r>
              <w:rPr>
                <w:rFonts w:ascii="Arial" w:cs="Arial" w:eastAsia="Arial" w:hAnsi="Arial"/>
                <w:sz w:val="16"/>
                <w:szCs w:val="16"/>
                <w:color w:val="0F7C7F"/>
              </w:rPr>
              <w:t>33</w:t>
            </w:r>
          </w:p>
        </w:tc>
        <w:tc>
          <w:tcPr>
            <w:tcW w:w="40" w:type="dxa"/>
            <w:vAlign w:val="bottom"/>
          </w:tcPr>
          <w:p>
            <w:pPr>
              <w:spacing w:after="0"/>
              <w:rPr>
                <w:sz w:val="21"/>
                <w:szCs w:val="21"/>
                <w:color w:val="auto"/>
              </w:rPr>
            </w:pPr>
          </w:p>
        </w:tc>
      </w:tr>
      <w:tr>
        <w:trPr>
          <w:trHeight w:val="297"/>
        </w:trPr>
        <w:tc>
          <w:tcPr>
            <w:tcW w:w="600" w:type="dxa"/>
            <w:vAlign w:val="bottom"/>
          </w:tcPr>
          <w:p>
            <w:pPr>
              <w:spacing w:after="0"/>
              <w:rPr>
                <w:sz w:val="24"/>
                <w:szCs w:val="24"/>
                <w:color w:val="auto"/>
              </w:rPr>
            </w:pPr>
          </w:p>
        </w:tc>
        <w:tc>
          <w:tcPr>
            <w:tcW w:w="560" w:type="dxa"/>
            <w:vAlign w:val="bottom"/>
            <w:tcBorders>
              <w:top w:val="single" w:sz="8" w:color="0F7C7F"/>
            </w:tcBorders>
          </w:tcPr>
          <w:p>
            <w:pPr>
              <w:spacing w:after="0"/>
              <w:rPr>
                <w:sz w:val="24"/>
                <w:szCs w:val="24"/>
                <w:color w:val="auto"/>
              </w:rPr>
            </w:pPr>
          </w:p>
        </w:tc>
        <w:tc>
          <w:tcPr>
            <w:tcW w:w="200" w:type="dxa"/>
            <w:vAlign w:val="bottom"/>
            <w:tcBorders>
              <w:top w:val="single" w:sz="8" w:color="0F7C7F"/>
            </w:tcBorders>
          </w:tcPr>
          <w:p>
            <w:pPr>
              <w:spacing w:after="0"/>
              <w:rPr>
                <w:sz w:val="24"/>
                <w:szCs w:val="24"/>
                <w:color w:val="auto"/>
              </w:rPr>
            </w:pPr>
          </w:p>
        </w:tc>
        <w:tc>
          <w:tcPr>
            <w:tcW w:w="140" w:type="dxa"/>
            <w:vAlign w:val="bottom"/>
            <w:tcBorders>
              <w:top w:val="single" w:sz="8" w:color="0F7C7F"/>
            </w:tcBorders>
          </w:tcPr>
          <w:p>
            <w:pPr>
              <w:spacing w:after="0"/>
              <w:rPr>
                <w:sz w:val="24"/>
                <w:szCs w:val="24"/>
                <w:color w:val="auto"/>
              </w:rPr>
            </w:pPr>
          </w:p>
        </w:tc>
        <w:tc>
          <w:tcPr>
            <w:tcW w:w="360" w:type="dxa"/>
            <w:vAlign w:val="bottom"/>
            <w:tcBorders>
              <w:top w:val="single" w:sz="8" w:color="0F7C7F"/>
            </w:tcBorders>
          </w:tcPr>
          <w:p>
            <w:pPr>
              <w:spacing w:after="0"/>
              <w:rPr>
                <w:sz w:val="24"/>
                <w:szCs w:val="24"/>
                <w:color w:val="auto"/>
              </w:rPr>
            </w:pPr>
          </w:p>
        </w:tc>
        <w:tc>
          <w:tcPr>
            <w:tcW w:w="80" w:type="dxa"/>
            <w:vAlign w:val="bottom"/>
            <w:tcBorders>
              <w:top w:val="single" w:sz="8" w:color="0F7C7F"/>
            </w:tcBorders>
          </w:tcPr>
          <w:p>
            <w:pPr>
              <w:spacing w:after="0"/>
              <w:rPr>
                <w:sz w:val="24"/>
                <w:szCs w:val="24"/>
                <w:color w:val="auto"/>
              </w:rPr>
            </w:pPr>
          </w:p>
        </w:tc>
        <w:tc>
          <w:tcPr>
            <w:tcW w:w="160" w:type="dxa"/>
            <w:vAlign w:val="bottom"/>
            <w:tcBorders>
              <w:top w:val="single" w:sz="8" w:color="0F7C7F"/>
            </w:tcBorders>
          </w:tcPr>
          <w:p>
            <w:pPr>
              <w:spacing w:after="0"/>
              <w:rPr>
                <w:sz w:val="24"/>
                <w:szCs w:val="24"/>
                <w:color w:val="auto"/>
              </w:rPr>
            </w:pPr>
          </w:p>
        </w:tc>
        <w:tc>
          <w:tcPr>
            <w:tcW w:w="280" w:type="dxa"/>
            <w:vAlign w:val="bottom"/>
            <w:tcBorders>
              <w:top w:val="single" w:sz="8" w:color="0F7C7F"/>
            </w:tcBorders>
          </w:tcPr>
          <w:p>
            <w:pPr>
              <w:spacing w:after="0"/>
              <w:rPr>
                <w:sz w:val="24"/>
                <w:szCs w:val="24"/>
                <w:color w:val="auto"/>
              </w:rPr>
            </w:pPr>
          </w:p>
        </w:tc>
        <w:tc>
          <w:tcPr>
            <w:tcW w:w="4580" w:type="dxa"/>
            <w:vAlign w:val="bottom"/>
            <w:gridSpan w:val="3"/>
          </w:tcPr>
          <w:p>
            <w:pPr>
              <w:jc w:val="center"/>
              <w:ind w:right="420"/>
              <w:spacing w:after="0"/>
              <w:rPr>
                <w:sz w:val="20"/>
                <w:szCs w:val="20"/>
                <w:color w:val="auto"/>
              </w:rPr>
            </w:pPr>
            <w:r>
              <w:rPr>
                <w:rFonts w:ascii="Arial" w:cs="Arial" w:eastAsia="Arial" w:hAnsi="Arial"/>
                <w:sz w:val="16"/>
                <w:szCs w:val="16"/>
                <w:b w:val="1"/>
                <w:bCs w:val="1"/>
                <w:color w:val="auto"/>
                <w:w w:val="98"/>
              </w:rPr>
              <w:t>PART II</w:t>
            </w:r>
          </w:p>
        </w:tc>
        <w:tc>
          <w:tcPr>
            <w:tcW w:w="3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Borders>
              <w:top w:val="single" w:sz="8" w:color="0F7C7F"/>
            </w:tcBorders>
          </w:tcPr>
          <w:p>
            <w:pPr>
              <w:spacing w:after="0"/>
              <w:rPr>
                <w:sz w:val="24"/>
                <w:szCs w:val="24"/>
                <w:color w:val="auto"/>
              </w:rPr>
            </w:pPr>
          </w:p>
        </w:tc>
        <w:tc>
          <w:tcPr>
            <w:tcW w:w="100" w:type="dxa"/>
            <w:vAlign w:val="bottom"/>
            <w:tcBorders>
              <w:top w:val="single" w:sz="8" w:color="0F7C7F"/>
            </w:tcBorders>
          </w:tcPr>
          <w:p>
            <w:pPr>
              <w:spacing w:after="0"/>
              <w:rPr>
                <w:sz w:val="24"/>
                <w:szCs w:val="24"/>
                <w:color w:val="auto"/>
              </w:rPr>
            </w:pPr>
          </w:p>
        </w:tc>
        <w:tc>
          <w:tcPr>
            <w:tcW w:w="40" w:type="dxa"/>
            <w:vAlign w:val="bottom"/>
          </w:tcPr>
          <w:p>
            <w:pPr>
              <w:spacing w:after="0"/>
              <w:rPr>
                <w:sz w:val="24"/>
                <w:szCs w:val="24"/>
                <w:color w:val="auto"/>
              </w:rPr>
            </w:pPr>
          </w:p>
        </w:tc>
      </w:tr>
      <w:tr>
        <w:trPr>
          <w:trHeight w:val="223"/>
        </w:trPr>
        <w:tc>
          <w:tcPr>
            <w:tcW w:w="600" w:type="dxa"/>
            <w:vAlign w:val="bottom"/>
          </w:tcPr>
          <w:p>
            <w:pPr>
              <w:ind w:left="20"/>
              <w:spacing w:after="0"/>
              <w:rPr>
                <w:sz w:val="20"/>
                <w:szCs w:val="20"/>
                <w:color w:val="auto"/>
              </w:rPr>
            </w:pPr>
            <w:r>
              <w:rPr>
                <w:rFonts w:ascii="Arial" w:cs="Arial" w:eastAsia="Arial" w:hAnsi="Arial"/>
                <w:sz w:val="16"/>
                <w:szCs w:val="16"/>
                <w:color w:val="auto"/>
              </w:rPr>
              <w:t>1.</w:t>
            </w:r>
          </w:p>
        </w:tc>
        <w:tc>
          <w:tcPr>
            <w:tcW w:w="1340" w:type="dxa"/>
            <w:vAlign w:val="bottom"/>
            <w:gridSpan w:val="5"/>
          </w:tcPr>
          <w:p>
            <w:pPr>
              <w:spacing w:after="0"/>
              <w:rPr>
                <w:sz w:val="20"/>
                <w:szCs w:val="20"/>
                <w:color w:val="auto"/>
              </w:rPr>
            </w:pPr>
            <w:r>
              <w:rPr>
                <w:rFonts w:ascii="Arial" w:cs="Arial" w:eastAsia="Arial" w:hAnsi="Arial"/>
                <w:sz w:val="16"/>
                <w:szCs w:val="16"/>
                <w:color w:val="0F7C7F"/>
                <w:w w:val="99"/>
              </w:rPr>
              <w:t>Legal Proceedings</w:t>
            </w:r>
          </w:p>
        </w:tc>
        <w:tc>
          <w:tcPr>
            <w:tcW w:w="5020" w:type="dxa"/>
            <w:vAlign w:val="bottom"/>
            <w:gridSpan w:val="5"/>
          </w:tcPr>
          <w:p>
            <w:pPr>
              <w:spacing w:after="0"/>
              <w:rPr>
                <w:sz w:val="19"/>
                <w:szCs w:val="19"/>
                <w:color w:val="auto"/>
              </w:rPr>
            </w:pPr>
          </w:p>
        </w:tc>
        <w:tc>
          <w:tcPr>
            <w:tcW w:w="4240" w:type="dxa"/>
            <w:vAlign w:val="bottom"/>
            <w:gridSpan w:val="4"/>
          </w:tcPr>
          <w:p>
            <w:pPr>
              <w:jc w:val="right"/>
              <w:spacing w:after="0"/>
              <w:rPr>
                <w:sz w:val="20"/>
                <w:szCs w:val="20"/>
                <w:color w:val="auto"/>
              </w:rPr>
            </w:pPr>
            <w:r>
              <w:rPr>
                <w:rFonts w:ascii="Arial" w:cs="Arial" w:eastAsia="Arial" w:hAnsi="Arial"/>
                <w:sz w:val="16"/>
                <w:szCs w:val="16"/>
                <w:color w:val="0F7C7F"/>
              </w:rPr>
              <w:t>33</w:t>
            </w:r>
          </w:p>
        </w:tc>
        <w:tc>
          <w:tcPr>
            <w:tcW w:w="40" w:type="dxa"/>
            <w:vAlign w:val="bottom"/>
          </w:tcPr>
          <w:p>
            <w:pPr>
              <w:spacing w:after="0"/>
              <w:rPr>
                <w:sz w:val="19"/>
                <w:szCs w:val="19"/>
                <w:color w:val="auto"/>
              </w:rPr>
            </w:pPr>
          </w:p>
        </w:tc>
      </w:tr>
      <w:tr>
        <w:trPr>
          <w:trHeight w:val="20"/>
        </w:trPr>
        <w:tc>
          <w:tcPr>
            <w:tcW w:w="600" w:type="dxa"/>
            <w:vAlign w:val="bottom"/>
          </w:tcPr>
          <w:p>
            <w:pPr>
              <w:spacing w:after="0" w:line="20" w:lineRule="exact"/>
              <w:rPr>
                <w:sz w:val="1"/>
                <w:szCs w:val="1"/>
                <w:color w:val="auto"/>
              </w:rPr>
            </w:pPr>
          </w:p>
        </w:tc>
        <w:tc>
          <w:tcPr>
            <w:tcW w:w="560" w:type="dxa"/>
            <w:vAlign w:val="bottom"/>
            <w:shd w:val="clear" w:color="auto" w:fill="0F7C7F"/>
          </w:tcPr>
          <w:p>
            <w:pPr>
              <w:spacing w:after="0" w:line="20" w:lineRule="exact"/>
              <w:rPr>
                <w:sz w:val="1"/>
                <w:szCs w:val="1"/>
                <w:color w:val="auto"/>
              </w:rPr>
            </w:pPr>
          </w:p>
        </w:tc>
        <w:tc>
          <w:tcPr>
            <w:tcW w:w="200" w:type="dxa"/>
            <w:vAlign w:val="bottom"/>
            <w:shd w:val="clear" w:color="auto" w:fill="0F7C7F"/>
          </w:tcPr>
          <w:p>
            <w:pPr>
              <w:spacing w:after="0" w:line="20" w:lineRule="exact"/>
              <w:rPr>
                <w:sz w:val="1"/>
                <w:szCs w:val="1"/>
                <w:color w:val="auto"/>
              </w:rPr>
            </w:pPr>
          </w:p>
        </w:tc>
        <w:tc>
          <w:tcPr>
            <w:tcW w:w="140" w:type="dxa"/>
            <w:vAlign w:val="bottom"/>
            <w:shd w:val="clear" w:color="auto" w:fill="0F7C7F"/>
          </w:tcPr>
          <w:p>
            <w:pPr>
              <w:spacing w:after="0" w:line="20" w:lineRule="exact"/>
              <w:rPr>
                <w:sz w:val="1"/>
                <w:szCs w:val="1"/>
                <w:color w:val="auto"/>
              </w:rPr>
            </w:pPr>
          </w:p>
        </w:tc>
        <w:tc>
          <w:tcPr>
            <w:tcW w:w="360" w:type="dxa"/>
            <w:vAlign w:val="bottom"/>
            <w:shd w:val="clear" w:color="auto" w:fill="0F7C7F"/>
          </w:tcPr>
          <w:p>
            <w:pPr>
              <w:spacing w:after="0" w:line="20" w:lineRule="exact"/>
              <w:rPr>
                <w:sz w:val="1"/>
                <w:szCs w:val="1"/>
                <w:color w:val="auto"/>
              </w:rPr>
            </w:pPr>
          </w:p>
        </w:tc>
        <w:tc>
          <w:tcPr>
            <w:tcW w:w="80" w:type="dxa"/>
            <w:vAlign w:val="bottom"/>
            <w:shd w:val="clear" w:color="auto" w:fill="0F7C7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F7C7F"/>
          </w:tcPr>
          <w:p>
            <w:pPr>
              <w:spacing w:after="0" w:line="20" w:lineRule="exact"/>
              <w:rPr>
                <w:sz w:val="1"/>
                <w:szCs w:val="1"/>
                <w:color w:val="auto"/>
              </w:rPr>
            </w:pPr>
          </w:p>
        </w:tc>
        <w:tc>
          <w:tcPr>
            <w:tcW w:w="100" w:type="dxa"/>
            <w:vAlign w:val="bottom"/>
            <w:shd w:val="clear" w:color="auto" w:fill="0F7C7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600" w:type="dxa"/>
            <w:vAlign w:val="bottom"/>
          </w:tcPr>
          <w:p>
            <w:pPr>
              <w:ind w:left="20"/>
              <w:spacing w:after="0"/>
              <w:rPr>
                <w:sz w:val="20"/>
                <w:szCs w:val="20"/>
                <w:color w:val="auto"/>
              </w:rPr>
            </w:pPr>
            <w:r>
              <w:rPr>
                <w:rFonts w:ascii="Arial" w:cs="Arial" w:eastAsia="Arial" w:hAnsi="Arial"/>
                <w:sz w:val="16"/>
                <w:szCs w:val="16"/>
                <w:color w:val="auto"/>
              </w:rPr>
              <w:t>1A.</w:t>
            </w:r>
          </w:p>
        </w:tc>
        <w:tc>
          <w:tcPr>
            <w:tcW w:w="900" w:type="dxa"/>
            <w:vAlign w:val="bottom"/>
            <w:gridSpan w:val="3"/>
          </w:tcPr>
          <w:p>
            <w:pPr>
              <w:spacing w:after="0"/>
              <w:rPr>
                <w:sz w:val="20"/>
                <w:szCs w:val="20"/>
                <w:color w:val="auto"/>
              </w:rPr>
            </w:pPr>
            <w:r>
              <w:rPr>
                <w:rFonts w:ascii="Arial" w:cs="Arial" w:eastAsia="Arial" w:hAnsi="Arial"/>
                <w:sz w:val="16"/>
                <w:szCs w:val="16"/>
                <w:color w:val="0F7C7F"/>
                <w:w w:val="98"/>
              </w:rPr>
              <w:t>Risk Factors</w:t>
            </w:r>
          </w:p>
        </w:tc>
        <w:tc>
          <w:tcPr>
            <w:tcW w:w="440" w:type="dxa"/>
            <w:vAlign w:val="bottom"/>
            <w:gridSpan w:val="2"/>
          </w:tcPr>
          <w:p>
            <w:pPr>
              <w:spacing w:after="0"/>
              <w:rPr>
                <w:sz w:val="21"/>
                <w:szCs w:val="21"/>
                <w:color w:val="auto"/>
              </w:rPr>
            </w:pPr>
          </w:p>
        </w:tc>
        <w:tc>
          <w:tcPr>
            <w:tcW w:w="5020" w:type="dxa"/>
            <w:vAlign w:val="bottom"/>
            <w:gridSpan w:val="5"/>
          </w:tcPr>
          <w:p>
            <w:pPr>
              <w:spacing w:after="0"/>
              <w:rPr>
                <w:sz w:val="21"/>
                <w:szCs w:val="21"/>
                <w:color w:val="auto"/>
              </w:rPr>
            </w:pPr>
          </w:p>
        </w:tc>
        <w:tc>
          <w:tcPr>
            <w:tcW w:w="4240" w:type="dxa"/>
            <w:vAlign w:val="bottom"/>
            <w:gridSpan w:val="4"/>
          </w:tcPr>
          <w:p>
            <w:pPr>
              <w:jc w:val="right"/>
              <w:spacing w:after="0"/>
              <w:rPr>
                <w:sz w:val="20"/>
                <w:szCs w:val="20"/>
                <w:color w:val="auto"/>
              </w:rPr>
            </w:pPr>
            <w:r>
              <w:rPr>
                <w:rFonts w:ascii="Arial" w:cs="Arial" w:eastAsia="Arial" w:hAnsi="Arial"/>
                <w:sz w:val="16"/>
                <w:szCs w:val="16"/>
                <w:color w:val="0F7C7F"/>
              </w:rPr>
              <w:t>34</w:t>
            </w:r>
          </w:p>
        </w:tc>
        <w:tc>
          <w:tcPr>
            <w:tcW w:w="40" w:type="dxa"/>
            <w:vAlign w:val="bottom"/>
          </w:tcPr>
          <w:p>
            <w:pPr>
              <w:spacing w:after="0"/>
              <w:rPr>
                <w:sz w:val="21"/>
                <w:szCs w:val="21"/>
                <w:color w:val="auto"/>
              </w:rPr>
            </w:pPr>
          </w:p>
        </w:tc>
      </w:tr>
      <w:tr>
        <w:trPr>
          <w:trHeight w:val="20"/>
        </w:trPr>
        <w:tc>
          <w:tcPr>
            <w:tcW w:w="600" w:type="dxa"/>
            <w:vAlign w:val="bottom"/>
          </w:tcPr>
          <w:p>
            <w:pPr>
              <w:spacing w:after="0" w:line="20" w:lineRule="exact"/>
              <w:rPr>
                <w:sz w:val="1"/>
                <w:szCs w:val="1"/>
                <w:color w:val="auto"/>
              </w:rPr>
            </w:pPr>
          </w:p>
        </w:tc>
        <w:tc>
          <w:tcPr>
            <w:tcW w:w="560" w:type="dxa"/>
            <w:vAlign w:val="bottom"/>
            <w:shd w:val="clear" w:color="auto" w:fill="0F7C7F"/>
          </w:tcPr>
          <w:p>
            <w:pPr>
              <w:spacing w:after="0" w:line="20" w:lineRule="exact"/>
              <w:rPr>
                <w:sz w:val="1"/>
                <w:szCs w:val="1"/>
                <w:color w:val="auto"/>
              </w:rPr>
            </w:pPr>
          </w:p>
        </w:tc>
        <w:tc>
          <w:tcPr>
            <w:tcW w:w="200" w:type="dxa"/>
            <w:vAlign w:val="bottom"/>
            <w:shd w:val="clear" w:color="auto" w:fill="0F7C7F"/>
          </w:tcPr>
          <w:p>
            <w:pPr>
              <w:spacing w:after="0" w:line="20" w:lineRule="exact"/>
              <w:rPr>
                <w:sz w:val="1"/>
                <w:szCs w:val="1"/>
                <w:color w:val="auto"/>
              </w:rPr>
            </w:pPr>
          </w:p>
        </w:tc>
        <w:tc>
          <w:tcPr>
            <w:tcW w:w="140" w:type="dxa"/>
            <w:vAlign w:val="bottom"/>
            <w:shd w:val="clear" w:color="auto" w:fill="0F7C7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100" w:type="dxa"/>
            <w:vAlign w:val="bottom"/>
            <w:gridSpan w:val="5"/>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4060" w:type="dxa"/>
            <w:vAlign w:val="bottom"/>
            <w:gridSpan w:val="2"/>
          </w:tcPr>
          <w:p>
            <w:pPr>
              <w:spacing w:after="0" w:line="20" w:lineRule="exact"/>
              <w:rPr>
                <w:sz w:val="1"/>
                <w:szCs w:val="1"/>
                <w:color w:val="auto"/>
              </w:rPr>
            </w:pPr>
          </w:p>
        </w:tc>
        <w:tc>
          <w:tcPr>
            <w:tcW w:w="180" w:type="dxa"/>
            <w:vAlign w:val="bottom"/>
            <w:gridSpan w:val="2"/>
            <w:shd w:val="clear" w:color="auto" w:fill="0F7C7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600" w:type="dxa"/>
            <w:vAlign w:val="bottom"/>
          </w:tcPr>
          <w:p>
            <w:pPr>
              <w:ind w:left="20"/>
              <w:spacing w:after="0"/>
              <w:rPr>
                <w:sz w:val="20"/>
                <w:szCs w:val="20"/>
                <w:color w:val="auto"/>
              </w:rPr>
            </w:pPr>
            <w:r>
              <w:rPr>
                <w:rFonts w:ascii="Arial" w:cs="Arial" w:eastAsia="Arial" w:hAnsi="Arial"/>
                <w:sz w:val="16"/>
                <w:szCs w:val="16"/>
                <w:color w:val="auto"/>
              </w:rPr>
              <w:t>2.</w:t>
            </w:r>
          </w:p>
        </w:tc>
        <w:tc>
          <w:tcPr>
            <w:tcW w:w="4360" w:type="dxa"/>
            <w:vAlign w:val="bottom"/>
            <w:gridSpan w:val="9"/>
          </w:tcPr>
          <w:p>
            <w:pPr>
              <w:spacing w:after="0"/>
              <w:rPr>
                <w:sz w:val="20"/>
                <w:szCs w:val="20"/>
                <w:color w:val="auto"/>
              </w:rPr>
            </w:pPr>
            <w:r>
              <w:rPr>
                <w:rFonts w:ascii="Arial" w:cs="Arial" w:eastAsia="Arial" w:hAnsi="Arial"/>
                <w:sz w:val="16"/>
                <w:szCs w:val="16"/>
                <w:color w:val="0F7C7F"/>
              </w:rPr>
              <w:t>Unregistered Sales of Equity Securities and Use of Proceeds</w:t>
            </w:r>
          </w:p>
        </w:tc>
        <w:tc>
          <w:tcPr>
            <w:tcW w:w="2000" w:type="dxa"/>
            <w:vAlign w:val="bottom"/>
          </w:tcPr>
          <w:p>
            <w:pPr>
              <w:spacing w:after="0"/>
              <w:rPr>
                <w:sz w:val="21"/>
                <w:szCs w:val="21"/>
                <w:color w:val="auto"/>
              </w:rPr>
            </w:pPr>
          </w:p>
        </w:tc>
        <w:tc>
          <w:tcPr>
            <w:tcW w:w="4240" w:type="dxa"/>
            <w:vAlign w:val="bottom"/>
            <w:gridSpan w:val="4"/>
          </w:tcPr>
          <w:p>
            <w:pPr>
              <w:jc w:val="right"/>
              <w:spacing w:after="0"/>
              <w:rPr>
                <w:sz w:val="20"/>
                <w:szCs w:val="20"/>
                <w:color w:val="auto"/>
              </w:rPr>
            </w:pPr>
            <w:r>
              <w:rPr>
                <w:rFonts w:ascii="Arial" w:cs="Arial" w:eastAsia="Arial" w:hAnsi="Arial"/>
                <w:sz w:val="16"/>
                <w:szCs w:val="16"/>
                <w:color w:val="0F7C7F"/>
              </w:rPr>
              <w:t>34</w:t>
            </w:r>
          </w:p>
        </w:tc>
        <w:tc>
          <w:tcPr>
            <w:tcW w:w="40" w:type="dxa"/>
            <w:vAlign w:val="bottom"/>
          </w:tcPr>
          <w:p>
            <w:pPr>
              <w:spacing w:after="0"/>
              <w:rPr>
                <w:sz w:val="21"/>
                <w:szCs w:val="21"/>
                <w:color w:val="auto"/>
              </w:rPr>
            </w:pPr>
          </w:p>
        </w:tc>
      </w:tr>
      <w:tr>
        <w:trPr>
          <w:trHeight w:val="20"/>
        </w:trPr>
        <w:tc>
          <w:tcPr>
            <w:tcW w:w="600" w:type="dxa"/>
            <w:vAlign w:val="bottom"/>
          </w:tcPr>
          <w:p>
            <w:pPr>
              <w:spacing w:after="0" w:line="20" w:lineRule="exact"/>
              <w:rPr>
                <w:sz w:val="1"/>
                <w:szCs w:val="1"/>
                <w:color w:val="auto"/>
              </w:rPr>
            </w:pPr>
          </w:p>
        </w:tc>
        <w:tc>
          <w:tcPr>
            <w:tcW w:w="560" w:type="dxa"/>
            <w:vAlign w:val="bottom"/>
            <w:shd w:val="clear" w:color="auto" w:fill="0F7C7F"/>
          </w:tcPr>
          <w:p>
            <w:pPr>
              <w:spacing w:after="0" w:line="20" w:lineRule="exact"/>
              <w:rPr>
                <w:sz w:val="1"/>
                <w:szCs w:val="1"/>
                <w:color w:val="auto"/>
              </w:rPr>
            </w:pPr>
          </w:p>
        </w:tc>
        <w:tc>
          <w:tcPr>
            <w:tcW w:w="200" w:type="dxa"/>
            <w:vAlign w:val="bottom"/>
            <w:shd w:val="clear" w:color="auto" w:fill="0F7C7F"/>
          </w:tcPr>
          <w:p>
            <w:pPr>
              <w:spacing w:after="0" w:line="20" w:lineRule="exact"/>
              <w:rPr>
                <w:sz w:val="1"/>
                <w:szCs w:val="1"/>
                <w:color w:val="auto"/>
              </w:rPr>
            </w:pPr>
          </w:p>
        </w:tc>
        <w:tc>
          <w:tcPr>
            <w:tcW w:w="140" w:type="dxa"/>
            <w:vAlign w:val="bottom"/>
            <w:shd w:val="clear" w:color="auto" w:fill="0F7C7F"/>
          </w:tcPr>
          <w:p>
            <w:pPr>
              <w:spacing w:after="0" w:line="20" w:lineRule="exact"/>
              <w:rPr>
                <w:sz w:val="1"/>
                <w:szCs w:val="1"/>
                <w:color w:val="auto"/>
              </w:rPr>
            </w:pPr>
          </w:p>
        </w:tc>
        <w:tc>
          <w:tcPr>
            <w:tcW w:w="360" w:type="dxa"/>
            <w:vAlign w:val="bottom"/>
            <w:shd w:val="clear" w:color="auto" w:fill="0F7C7F"/>
          </w:tcPr>
          <w:p>
            <w:pPr>
              <w:spacing w:after="0" w:line="20" w:lineRule="exact"/>
              <w:rPr>
                <w:sz w:val="1"/>
                <w:szCs w:val="1"/>
                <w:color w:val="auto"/>
              </w:rPr>
            </w:pPr>
          </w:p>
        </w:tc>
        <w:tc>
          <w:tcPr>
            <w:tcW w:w="80" w:type="dxa"/>
            <w:vAlign w:val="bottom"/>
            <w:shd w:val="clear" w:color="auto" w:fill="0F7C7F"/>
          </w:tcPr>
          <w:p>
            <w:pPr>
              <w:spacing w:after="0" w:line="20" w:lineRule="exact"/>
              <w:rPr>
                <w:sz w:val="1"/>
                <w:szCs w:val="1"/>
                <w:color w:val="auto"/>
              </w:rPr>
            </w:pPr>
          </w:p>
        </w:tc>
        <w:tc>
          <w:tcPr>
            <w:tcW w:w="160" w:type="dxa"/>
            <w:vAlign w:val="bottom"/>
            <w:shd w:val="clear" w:color="auto" w:fill="0F7C7F"/>
          </w:tcPr>
          <w:p>
            <w:pPr>
              <w:spacing w:after="0" w:line="20" w:lineRule="exact"/>
              <w:rPr>
                <w:sz w:val="1"/>
                <w:szCs w:val="1"/>
                <w:color w:val="auto"/>
              </w:rPr>
            </w:pPr>
          </w:p>
        </w:tc>
        <w:tc>
          <w:tcPr>
            <w:tcW w:w="280" w:type="dxa"/>
            <w:vAlign w:val="bottom"/>
            <w:shd w:val="clear" w:color="auto" w:fill="0F7C7F"/>
          </w:tcPr>
          <w:p>
            <w:pPr>
              <w:spacing w:after="0" w:line="20" w:lineRule="exact"/>
              <w:rPr>
                <w:sz w:val="1"/>
                <w:szCs w:val="1"/>
                <w:color w:val="auto"/>
              </w:rPr>
            </w:pPr>
          </w:p>
        </w:tc>
        <w:tc>
          <w:tcPr>
            <w:tcW w:w="2460" w:type="dxa"/>
            <w:vAlign w:val="bottom"/>
            <w:shd w:val="clear" w:color="auto" w:fill="0F7C7F"/>
          </w:tcPr>
          <w:p>
            <w:pPr>
              <w:spacing w:after="0" w:line="20" w:lineRule="exact"/>
              <w:rPr>
                <w:sz w:val="1"/>
                <w:szCs w:val="1"/>
                <w:color w:val="auto"/>
              </w:rPr>
            </w:pPr>
          </w:p>
        </w:tc>
        <w:tc>
          <w:tcPr>
            <w:tcW w:w="120" w:type="dxa"/>
            <w:vAlign w:val="bottom"/>
            <w:shd w:val="clear" w:color="auto" w:fill="0F7C7F"/>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F7C7F"/>
          </w:tcPr>
          <w:p>
            <w:pPr>
              <w:spacing w:after="0" w:line="20" w:lineRule="exact"/>
              <w:rPr>
                <w:sz w:val="1"/>
                <w:szCs w:val="1"/>
                <w:color w:val="auto"/>
              </w:rPr>
            </w:pPr>
          </w:p>
        </w:tc>
        <w:tc>
          <w:tcPr>
            <w:tcW w:w="100" w:type="dxa"/>
            <w:vAlign w:val="bottom"/>
            <w:shd w:val="clear" w:color="auto" w:fill="0F7C7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88"/>
        </w:trPr>
        <w:tc>
          <w:tcPr>
            <w:tcW w:w="600" w:type="dxa"/>
            <w:vAlign w:val="bottom"/>
          </w:tcPr>
          <w:p>
            <w:pPr>
              <w:ind w:left="20"/>
              <w:spacing w:after="0"/>
              <w:rPr>
                <w:sz w:val="20"/>
                <w:szCs w:val="20"/>
                <w:color w:val="auto"/>
              </w:rPr>
            </w:pPr>
            <w:r>
              <w:rPr>
                <w:rFonts w:ascii="Arial" w:cs="Arial" w:eastAsia="Arial" w:hAnsi="Arial"/>
                <w:sz w:val="16"/>
                <w:szCs w:val="16"/>
                <w:color w:val="auto"/>
              </w:rPr>
              <w:t>3.</w:t>
            </w:r>
          </w:p>
        </w:tc>
        <w:tc>
          <w:tcPr>
            <w:tcW w:w="4360" w:type="dxa"/>
            <w:vAlign w:val="bottom"/>
            <w:gridSpan w:val="9"/>
          </w:tcPr>
          <w:p>
            <w:pPr>
              <w:spacing w:after="0"/>
              <w:rPr>
                <w:sz w:val="20"/>
                <w:szCs w:val="20"/>
                <w:color w:val="auto"/>
              </w:rPr>
            </w:pPr>
            <w:r>
              <w:rPr>
                <w:rFonts w:ascii="Arial" w:cs="Arial" w:eastAsia="Arial" w:hAnsi="Arial"/>
                <w:sz w:val="16"/>
                <w:szCs w:val="16"/>
                <w:color w:val="auto"/>
              </w:rPr>
              <w:t>Defaults Upon Senior Securities</w:t>
            </w:r>
          </w:p>
        </w:tc>
        <w:tc>
          <w:tcPr>
            <w:tcW w:w="2000" w:type="dxa"/>
            <w:vAlign w:val="bottom"/>
          </w:tcPr>
          <w:p>
            <w:pPr>
              <w:spacing w:after="0"/>
              <w:rPr>
                <w:sz w:val="24"/>
                <w:szCs w:val="24"/>
                <w:color w:val="auto"/>
              </w:rPr>
            </w:pPr>
          </w:p>
        </w:tc>
        <w:tc>
          <w:tcPr>
            <w:tcW w:w="4280" w:type="dxa"/>
            <w:vAlign w:val="bottom"/>
            <w:gridSpan w:val="5"/>
          </w:tcPr>
          <w:p>
            <w:pPr>
              <w:jc w:val="right"/>
              <w:ind w:right="40"/>
              <w:spacing w:after="0"/>
              <w:rPr>
                <w:sz w:val="20"/>
                <w:szCs w:val="20"/>
                <w:color w:val="auto"/>
              </w:rPr>
            </w:pPr>
            <w:r>
              <w:rPr>
                <w:rFonts w:ascii="Arial" w:cs="Arial" w:eastAsia="Arial" w:hAnsi="Arial"/>
                <w:sz w:val="16"/>
                <w:szCs w:val="16"/>
                <w:color w:val="auto"/>
              </w:rPr>
              <w:t>Not Applicable.</w:t>
            </w:r>
          </w:p>
        </w:tc>
      </w:tr>
      <w:tr>
        <w:trPr>
          <w:trHeight w:val="270"/>
        </w:trPr>
        <w:tc>
          <w:tcPr>
            <w:tcW w:w="600" w:type="dxa"/>
            <w:vAlign w:val="bottom"/>
          </w:tcPr>
          <w:p>
            <w:pPr>
              <w:ind w:left="20"/>
              <w:spacing w:after="0"/>
              <w:rPr>
                <w:sz w:val="20"/>
                <w:szCs w:val="20"/>
                <w:color w:val="auto"/>
              </w:rPr>
            </w:pPr>
            <w:r>
              <w:rPr>
                <w:rFonts w:ascii="Arial" w:cs="Arial" w:eastAsia="Arial" w:hAnsi="Arial"/>
                <w:sz w:val="16"/>
                <w:szCs w:val="16"/>
                <w:color w:val="auto"/>
              </w:rPr>
              <w:t>4.</w:t>
            </w:r>
          </w:p>
        </w:tc>
        <w:tc>
          <w:tcPr>
            <w:tcW w:w="6360" w:type="dxa"/>
            <w:vAlign w:val="bottom"/>
            <w:gridSpan w:val="10"/>
          </w:tcPr>
          <w:p>
            <w:pPr>
              <w:spacing w:after="0"/>
              <w:rPr>
                <w:sz w:val="20"/>
                <w:szCs w:val="20"/>
                <w:color w:val="auto"/>
              </w:rPr>
            </w:pPr>
            <w:r>
              <w:rPr>
                <w:rFonts w:ascii="Arial" w:cs="Arial" w:eastAsia="Arial" w:hAnsi="Arial"/>
                <w:sz w:val="16"/>
                <w:szCs w:val="16"/>
                <w:color w:val="auto"/>
              </w:rPr>
              <w:t>Mine Safety Disclosures</w:t>
            </w:r>
          </w:p>
        </w:tc>
        <w:tc>
          <w:tcPr>
            <w:tcW w:w="4280" w:type="dxa"/>
            <w:vAlign w:val="bottom"/>
            <w:gridSpan w:val="5"/>
          </w:tcPr>
          <w:p>
            <w:pPr>
              <w:jc w:val="right"/>
              <w:ind w:right="40"/>
              <w:spacing w:after="0"/>
              <w:rPr>
                <w:sz w:val="20"/>
                <w:szCs w:val="20"/>
                <w:color w:val="auto"/>
              </w:rPr>
            </w:pPr>
            <w:r>
              <w:rPr>
                <w:rFonts w:ascii="Arial" w:cs="Arial" w:eastAsia="Arial" w:hAnsi="Arial"/>
                <w:sz w:val="16"/>
                <w:szCs w:val="16"/>
                <w:color w:val="auto"/>
              </w:rPr>
              <w:t>Not Applicable.</w:t>
            </w:r>
          </w:p>
        </w:tc>
      </w:tr>
      <w:tr>
        <w:trPr>
          <w:trHeight w:val="232"/>
        </w:trPr>
        <w:tc>
          <w:tcPr>
            <w:tcW w:w="600" w:type="dxa"/>
            <w:vAlign w:val="bottom"/>
          </w:tcPr>
          <w:p>
            <w:pPr>
              <w:ind w:left="20"/>
              <w:spacing w:after="0"/>
              <w:rPr>
                <w:sz w:val="20"/>
                <w:szCs w:val="20"/>
                <w:color w:val="auto"/>
              </w:rPr>
            </w:pPr>
            <w:r>
              <w:rPr>
                <w:rFonts w:ascii="Arial" w:cs="Arial" w:eastAsia="Arial" w:hAnsi="Arial"/>
                <w:sz w:val="16"/>
                <w:szCs w:val="16"/>
                <w:color w:val="auto"/>
              </w:rPr>
              <w:t>5.</w:t>
            </w:r>
          </w:p>
        </w:tc>
        <w:tc>
          <w:tcPr>
            <w:tcW w:w="1260" w:type="dxa"/>
            <w:vAlign w:val="bottom"/>
            <w:gridSpan w:val="4"/>
          </w:tcPr>
          <w:p>
            <w:pPr>
              <w:spacing w:after="0"/>
              <w:rPr>
                <w:sz w:val="20"/>
                <w:szCs w:val="20"/>
                <w:color w:val="auto"/>
              </w:rPr>
            </w:pPr>
            <w:r>
              <w:rPr>
                <w:rFonts w:ascii="Arial" w:cs="Arial" w:eastAsia="Arial" w:hAnsi="Arial"/>
                <w:sz w:val="16"/>
                <w:szCs w:val="16"/>
                <w:color w:val="0F7C7F"/>
                <w:w w:val="99"/>
              </w:rPr>
              <w:t>Other Information</w:t>
            </w:r>
          </w:p>
        </w:tc>
        <w:tc>
          <w:tcPr>
            <w:tcW w:w="5100" w:type="dxa"/>
            <w:vAlign w:val="bottom"/>
            <w:gridSpan w:val="6"/>
          </w:tcPr>
          <w:p>
            <w:pPr>
              <w:spacing w:after="0"/>
              <w:rPr>
                <w:sz w:val="20"/>
                <w:szCs w:val="20"/>
                <w:color w:val="auto"/>
              </w:rPr>
            </w:pPr>
          </w:p>
        </w:tc>
        <w:tc>
          <w:tcPr>
            <w:tcW w:w="4240" w:type="dxa"/>
            <w:vAlign w:val="bottom"/>
            <w:gridSpan w:val="4"/>
          </w:tcPr>
          <w:p>
            <w:pPr>
              <w:jc w:val="right"/>
              <w:spacing w:after="0"/>
              <w:rPr>
                <w:sz w:val="20"/>
                <w:szCs w:val="20"/>
                <w:color w:val="auto"/>
              </w:rPr>
            </w:pPr>
            <w:r>
              <w:rPr>
                <w:rFonts w:ascii="Arial" w:cs="Arial" w:eastAsia="Arial" w:hAnsi="Arial"/>
                <w:sz w:val="16"/>
                <w:szCs w:val="16"/>
                <w:color w:val="0F7C7F"/>
              </w:rPr>
              <w:t>34</w:t>
            </w:r>
          </w:p>
        </w:tc>
        <w:tc>
          <w:tcPr>
            <w:tcW w:w="40" w:type="dxa"/>
            <w:vAlign w:val="bottom"/>
          </w:tcPr>
          <w:p>
            <w:pPr>
              <w:spacing w:after="0"/>
              <w:rPr>
                <w:sz w:val="20"/>
                <w:szCs w:val="20"/>
                <w:color w:val="auto"/>
              </w:rPr>
            </w:pPr>
          </w:p>
        </w:tc>
      </w:tr>
      <w:tr>
        <w:trPr>
          <w:trHeight w:val="20"/>
        </w:trPr>
        <w:tc>
          <w:tcPr>
            <w:tcW w:w="600" w:type="dxa"/>
            <w:vAlign w:val="bottom"/>
          </w:tcPr>
          <w:p>
            <w:pPr>
              <w:spacing w:after="0" w:line="20" w:lineRule="exact"/>
              <w:rPr>
                <w:sz w:val="1"/>
                <w:szCs w:val="1"/>
                <w:color w:val="auto"/>
              </w:rPr>
            </w:pPr>
          </w:p>
        </w:tc>
        <w:tc>
          <w:tcPr>
            <w:tcW w:w="560" w:type="dxa"/>
            <w:vAlign w:val="bottom"/>
            <w:shd w:val="clear" w:color="auto" w:fill="0F7C7F"/>
          </w:tcPr>
          <w:p>
            <w:pPr>
              <w:spacing w:after="0" w:line="20" w:lineRule="exact"/>
              <w:rPr>
                <w:sz w:val="1"/>
                <w:szCs w:val="1"/>
                <w:color w:val="auto"/>
              </w:rPr>
            </w:pPr>
          </w:p>
        </w:tc>
        <w:tc>
          <w:tcPr>
            <w:tcW w:w="200" w:type="dxa"/>
            <w:vAlign w:val="bottom"/>
            <w:shd w:val="clear" w:color="auto" w:fill="0F7C7F"/>
          </w:tcPr>
          <w:p>
            <w:pPr>
              <w:spacing w:after="0" w:line="20" w:lineRule="exact"/>
              <w:rPr>
                <w:sz w:val="1"/>
                <w:szCs w:val="1"/>
                <w:color w:val="auto"/>
              </w:rPr>
            </w:pPr>
          </w:p>
        </w:tc>
        <w:tc>
          <w:tcPr>
            <w:tcW w:w="500" w:type="dxa"/>
            <w:vAlign w:val="bottom"/>
            <w:gridSpan w:val="2"/>
            <w:shd w:val="clear" w:color="auto" w:fill="0F7C7F"/>
          </w:tcPr>
          <w:p>
            <w:pPr>
              <w:spacing w:after="0" w:line="20" w:lineRule="exact"/>
              <w:rPr>
                <w:sz w:val="1"/>
                <w:szCs w:val="1"/>
                <w:color w:val="auto"/>
              </w:rPr>
            </w:pPr>
          </w:p>
        </w:tc>
        <w:tc>
          <w:tcPr>
            <w:tcW w:w="5100" w:type="dxa"/>
            <w:vAlign w:val="bottom"/>
            <w:gridSpan w:val="6"/>
          </w:tcPr>
          <w:p>
            <w:pPr>
              <w:spacing w:after="0" w:line="20" w:lineRule="exact"/>
              <w:rPr>
                <w:sz w:val="1"/>
                <w:szCs w:val="1"/>
                <w:color w:val="auto"/>
              </w:rPr>
            </w:pPr>
          </w:p>
        </w:tc>
        <w:tc>
          <w:tcPr>
            <w:tcW w:w="4060" w:type="dxa"/>
            <w:vAlign w:val="bottom"/>
            <w:gridSpan w:val="2"/>
          </w:tcPr>
          <w:p>
            <w:pPr>
              <w:spacing w:after="0" w:line="20" w:lineRule="exact"/>
              <w:rPr>
                <w:sz w:val="1"/>
                <w:szCs w:val="1"/>
                <w:color w:val="auto"/>
              </w:rPr>
            </w:pPr>
          </w:p>
        </w:tc>
        <w:tc>
          <w:tcPr>
            <w:tcW w:w="180" w:type="dxa"/>
            <w:vAlign w:val="bottom"/>
            <w:gridSpan w:val="2"/>
            <w:shd w:val="clear" w:color="auto" w:fill="0F7C7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600" w:type="dxa"/>
            <w:vAlign w:val="bottom"/>
          </w:tcPr>
          <w:p>
            <w:pPr>
              <w:ind w:left="20"/>
              <w:spacing w:after="0"/>
              <w:rPr>
                <w:sz w:val="20"/>
                <w:szCs w:val="20"/>
                <w:color w:val="auto"/>
              </w:rPr>
            </w:pPr>
            <w:r>
              <w:rPr>
                <w:rFonts w:ascii="Arial" w:cs="Arial" w:eastAsia="Arial" w:hAnsi="Arial"/>
                <w:sz w:val="16"/>
                <w:szCs w:val="16"/>
                <w:color w:val="auto"/>
              </w:rPr>
              <w:t>6.</w:t>
            </w:r>
          </w:p>
        </w:tc>
        <w:tc>
          <w:tcPr>
            <w:tcW w:w="560" w:type="dxa"/>
            <w:vAlign w:val="bottom"/>
          </w:tcPr>
          <w:p>
            <w:pPr>
              <w:spacing w:after="0"/>
              <w:rPr>
                <w:sz w:val="20"/>
                <w:szCs w:val="20"/>
                <w:color w:val="auto"/>
              </w:rPr>
            </w:pPr>
            <w:r>
              <w:rPr>
                <w:rFonts w:ascii="Arial" w:cs="Arial" w:eastAsia="Arial" w:hAnsi="Arial"/>
                <w:sz w:val="16"/>
                <w:szCs w:val="16"/>
                <w:color w:val="0F7C7F"/>
                <w:w w:val="96"/>
              </w:rPr>
              <w:t>Exhibits</w:t>
            </w:r>
          </w:p>
        </w:tc>
        <w:tc>
          <w:tcPr>
            <w:tcW w:w="700" w:type="dxa"/>
            <w:vAlign w:val="bottom"/>
            <w:gridSpan w:val="3"/>
          </w:tcPr>
          <w:p>
            <w:pPr>
              <w:spacing w:after="0"/>
              <w:rPr>
                <w:sz w:val="21"/>
                <w:szCs w:val="21"/>
                <w:color w:val="auto"/>
              </w:rPr>
            </w:pPr>
          </w:p>
        </w:tc>
        <w:tc>
          <w:tcPr>
            <w:tcW w:w="5100" w:type="dxa"/>
            <w:vAlign w:val="bottom"/>
            <w:gridSpan w:val="6"/>
          </w:tcPr>
          <w:p>
            <w:pPr>
              <w:spacing w:after="0"/>
              <w:rPr>
                <w:sz w:val="21"/>
                <w:szCs w:val="21"/>
                <w:color w:val="auto"/>
              </w:rPr>
            </w:pPr>
          </w:p>
        </w:tc>
        <w:tc>
          <w:tcPr>
            <w:tcW w:w="4240" w:type="dxa"/>
            <w:vAlign w:val="bottom"/>
            <w:gridSpan w:val="4"/>
          </w:tcPr>
          <w:p>
            <w:pPr>
              <w:jc w:val="right"/>
              <w:spacing w:after="0"/>
              <w:rPr>
                <w:sz w:val="20"/>
                <w:szCs w:val="20"/>
                <w:color w:val="auto"/>
              </w:rPr>
            </w:pPr>
            <w:r>
              <w:rPr>
                <w:rFonts w:ascii="Arial" w:cs="Arial" w:eastAsia="Arial" w:hAnsi="Arial"/>
                <w:sz w:val="16"/>
                <w:szCs w:val="16"/>
                <w:color w:val="0F7C7F"/>
              </w:rPr>
              <w:t>35</w:t>
            </w:r>
          </w:p>
        </w:tc>
        <w:tc>
          <w:tcPr>
            <w:tcW w:w="40" w:type="dxa"/>
            <w:vAlign w:val="bottom"/>
          </w:tcPr>
          <w:p>
            <w:pPr>
              <w:spacing w:after="0"/>
              <w:rPr>
                <w:sz w:val="21"/>
                <w:szCs w:val="21"/>
                <w:color w:val="auto"/>
              </w:rPr>
            </w:pPr>
          </w:p>
        </w:tc>
      </w:tr>
      <w:tr>
        <w:trPr>
          <w:trHeight w:val="20"/>
        </w:trPr>
        <w:tc>
          <w:tcPr>
            <w:tcW w:w="600" w:type="dxa"/>
            <w:vAlign w:val="bottom"/>
          </w:tcPr>
          <w:p>
            <w:pPr>
              <w:spacing w:after="0" w:line="20" w:lineRule="exact"/>
              <w:rPr>
                <w:sz w:val="1"/>
                <w:szCs w:val="1"/>
                <w:color w:val="auto"/>
              </w:rPr>
            </w:pPr>
          </w:p>
        </w:tc>
        <w:tc>
          <w:tcPr>
            <w:tcW w:w="560" w:type="dxa"/>
            <w:vAlign w:val="bottom"/>
            <w:shd w:val="clear" w:color="auto" w:fill="0F7C7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0" w:type="dxa"/>
            <w:vAlign w:val="bottom"/>
            <w:gridSpan w:val="8"/>
          </w:tcPr>
          <w:p>
            <w:pPr>
              <w:spacing w:after="0" w:line="20" w:lineRule="exact"/>
              <w:rPr>
                <w:sz w:val="1"/>
                <w:szCs w:val="1"/>
                <w:color w:val="auto"/>
              </w:rPr>
            </w:pPr>
          </w:p>
        </w:tc>
        <w:tc>
          <w:tcPr>
            <w:tcW w:w="4060" w:type="dxa"/>
            <w:vAlign w:val="bottom"/>
            <w:gridSpan w:val="2"/>
          </w:tcPr>
          <w:p>
            <w:pPr>
              <w:spacing w:after="0" w:line="20" w:lineRule="exact"/>
              <w:rPr>
                <w:sz w:val="1"/>
                <w:szCs w:val="1"/>
                <w:color w:val="auto"/>
              </w:rPr>
            </w:pPr>
          </w:p>
        </w:tc>
        <w:tc>
          <w:tcPr>
            <w:tcW w:w="180" w:type="dxa"/>
            <w:vAlign w:val="bottom"/>
            <w:gridSpan w:val="2"/>
            <w:shd w:val="clear" w:color="auto" w:fill="0F7C7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600" w:type="dxa"/>
            <w:vAlign w:val="bottom"/>
          </w:tcPr>
          <w:p>
            <w:pPr>
              <w:spacing w:after="0"/>
              <w:rPr>
                <w:sz w:val="21"/>
                <w:szCs w:val="21"/>
                <w:color w:val="auto"/>
              </w:rPr>
            </w:pPr>
          </w:p>
        </w:tc>
        <w:tc>
          <w:tcPr>
            <w:tcW w:w="6360" w:type="dxa"/>
            <w:vAlign w:val="bottom"/>
            <w:gridSpan w:val="10"/>
          </w:tcPr>
          <w:p>
            <w:pPr>
              <w:spacing w:after="0"/>
              <w:rPr>
                <w:sz w:val="20"/>
                <w:szCs w:val="20"/>
                <w:color w:val="auto"/>
              </w:rPr>
            </w:pPr>
            <w:r>
              <w:rPr>
                <w:rFonts w:ascii="Arial" w:cs="Arial" w:eastAsia="Arial" w:hAnsi="Arial"/>
                <w:sz w:val="16"/>
                <w:szCs w:val="16"/>
                <w:color w:val="0F7C7F"/>
              </w:rPr>
              <w:t>Signatures</w:t>
            </w:r>
          </w:p>
        </w:tc>
        <w:tc>
          <w:tcPr>
            <w:tcW w:w="4240" w:type="dxa"/>
            <w:vAlign w:val="bottom"/>
            <w:gridSpan w:val="4"/>
          </w:tcPr>
          <w:p>
            <w:pPr>
              <w:jc w:val="right"/>
              <w:spacing w:after="0"/>
              <w:rPr>
                <w:sz w:val="20"/>
                <w:szCs w:val="20"/>
                <w:color w:val="auto"/>
              </w:rPr>
            </w:pPr>
            <w:r>
              <w:rPr>
                <w:rFonts w:ascii="Arial" w:cs="Arial" w:eastAsia="Arial" w:hAnsi="Arial"/>
                <w:sz w:val="16"/>
                <w:szCs w:val="16"/>
                <w:color w:val="0F7C7F"/>
              </w:rPr>
              <w:t>36</w:t>
            </w:r>
          </w:p>
        </w:tc>
        <w:tc>
          <w:tcPr>
            <w:tcW w:w="40" w:type="dxa"/>
            <w:vAlign w:val="bottom"/>
          </w:tcPr>
          <w:p>
            <w:pPr>
              <w:spacing w:after="0"/>
              <w:rPr>
                <w:sz w:val="21"/>
                <w:szCs w:val="21"/>
                <w:color w:val="auto"/>
              </w:rPr>
            </w:pPr>
          </w:p>
        </w:tc>
      </w:tr>
      <w:tr>
        <w:trPr>
          <w:trHeight w:val="1566"/>
        </w:trPr>
        <w:tc>
          <w:tcPr>
            <w:tcW w:w="600" w:type="dxa"/>
            <w:vAlign w:val="bottom"/>
            <w:tcBorders>
              <w:bottom w:val="single" w:sz="8" w:color="9A9A9A"/>
            </w:tcBorders>
          </w:tcPr>
          <w:p>
            <w:pPr>
              <w:spacing w:after="0"/>
              <w:rPr>
                <w:sz w:val="24"/>
                <w:szCs w:val="24"/>
                <w:color w:val="auto"/>
              </w:rPr>
            </w:pPr>
          </w:p>
        </w:tc>
        <w:tc>
          <w:tcPr>
            <w:tcW w:w="560" w:type="dxa"/>
            <w:vAlign w:val="bottom"/>
            <w:tcBorders>
              <w:top w:val="single" w:sz="8" w:color="0F7C7F"/>
              <w:bottom w:val="single" w:sz="8" w:color="9A9A9A"/>
            </w:tcBorders>
          </w:tcPr>
          <w:p>
            <w:pPr>
              <w:spacing w:after="0"/>
              <w:rPr>
                <w:sz w:val="24"/>
                <w:szCs w:val="24"/>
                <w:color w:val="auto"/>
              </w:rPr>
            </w:pPr>
          </w:p>
        </w:tc>
        <w:tc>
          <w:tcPr>
            <w:tcW w:w="200" w:type="dxa"/>
            <w:vAlign w:val="bottom"/>
            <w:tcBorders>
              <w:top w:val="single" w:sz="8" w:color="0F7C7F"/>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4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00" w:type="dxa"/>
            <w:vAlign w:val="bottom"/>
            <w:tcBorders>
              <w:bottom w:val="single" w:sz="8" w:color="9A9A9A"/>
            </w:tcBorders>
          </w:tcPr>
          <w:p>
            <w:pPr>
              <w:spacing w:after="0"/>
              <w:rPr>
                <w:sz w:val="24"/>
                <w:szCs w:val="24"/>
                <w:color w:val="auto"/>
              </w:rPr>
            </w:pPr>
          </w:p>
        </w:tc>
        <w:tc>
          <w:tcPr>
            <w:tcW w:w="38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0" w:type="dxa"/>
            <w:vAlign w:val="bottom"/>
            <w:tcBorders>
              <w:top w:val="single" w:sz="8" w:color="0F7C7F"/>
              <w:bottom w:val="single" w:sz="8" w:color="9A9A9A"/>
            </w:tcBorders>
          </w:tcPr>
          <w:p>
            <w:pPr>
              <w:spacing w:after="0"/>
              <w:rPr>
                <w:sz w:val="24"/>
                <w:szCs w:val="24"/>
                <w:color w:val="auto"/>
              </w:rPr>
            </w:pPr>
          </w:p>
        </w:tc>
        <w:tc>
          <w:tcPr>
            <w:tcW w:w="100" w:type="dxa"/>
            <w:vAlign w:val="bottom"/>
            <w:tcBorders>
              <w:top w:val="single" w:sz="8" w:color="0F7C7F"/>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b w:val="1"/>
          <w:bCs w:val="1"/>
          <w:color w:val="0F7C7F"/>
        </w:rPr>
        <w:t>CONSOLIDATED STATEMENTS OF INCOME</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8060" w:type="dxa"/>
            <w:vAlign w:val="bottom"/>
          </w:tcPr>
          <w:p>
            <w:pPr>
              <w:spacing w:after="0"/>
              <w:rPr>
                <w:sz w:val="17"/>
                <w:szCs w:val="17"/>
                <w:color w:val="auto"/>
              </w:rPr>
            </w:pPr>
          </w:p>
        </w:tc>
        <w:tc>
          <w:tcPr>
            <w:tcW w:w="2680" w:type="dxa"/>
            <w:vAlign w:val="bottom"/>
            <w:tcBorders>
              <w:bottom w:val="single" w:sz="8" w:color="auto"/>
            </w:tcBorders>
            <w:gridSpan w:val="4"/>
          </w:tcPr>
          <w:p>
            <w:pPr>
              <w:jc w:val="center"/>
              <w:ind w:left="423"/>
              <w:spacing w:after="0"/>
              <w:rPr>
                <w:sz w:val="20"/>
                <w:szCs w:val="20"/>
                <w:color w:val="auto"/>
              </w:rPr>
            </w:pPr>
            <w:r>
              <w:rPr>
                <w:rFonts w:ascii="Arial" w:cs="Arial" w:eastAsia="Arial" w:hAnsi="Arial"/>
                <w:sz w:val="14"/>
                <w:szCs w:val="14"/>
                <w:b w:val="1"/>
                <w:bCs w:val="1"/>
                <w:color w:val="auto"/>
              </w:rPr>
              <w:t>Three Months Ended March 31,</w:t>
            </w:r>
          </w:p>
        </w:tc>
        <w:tc>
          <w:tcPr>
            <w:tcW w:w="500" w:type="dxa"/>
            <w:vAlign w:val="bottom"/>
            <w:tcBorders>
              <w:bottom w:val="single" w:sz="8" w:color="auto"/>
            </w:tcBorders>
          </w:tcPr>
          <w:p>
            <w:pPr>
              <w:spacing w:after="0"/>
              <w:rPr>
                <w:sz w:val="17"/>
                <w:szCs w:val="17"/>
                <w:color w:val="auto"/>
              </w:rPr>
            </w:pPr>
          </w:p>
        </w:tc>
      </w:tr>
      <w:tr>
        <w:trPr>
          <w:trHeight w:val="196"/>
        </w:trPr>
        <w:tc>
          <w:tcPr>
            <w:tcW w:w="8060" w:type="dxa"/>
            <w:vAlign w:val="bottom"/>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2024</w:t>
            </w:r>
          </w:p>
        </w:tc>
        <w:tc>
          <w:tcPr>
            <w:tcW w:w="5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Borders>
              <w:bottom w:val="single" w:sz="8" w:color="auto"/>
            </w:tcBorders>
          </w:tcPr>
          <w:p>
            <w:pPr>
              <w:jc w:val="right"/>
              <w:ind w:right="21"/>
              <w:spacing w:after="0"/>
              <w:rPr>
                <w:sz w:val="20"/>
                <w:szCs w:val="20"/>
                <w:color w:val="auto"/>
              </w:rPr>
            </w:pPr>
            <w:r>
              <w:rPr>
                <w:rFonts w:ascii="Arial" w:cs="Arial" w:eastAsia="Arial" w:hAnsi="Arial"/>
                <w:sz w:val="14"/>
                <w:szCs w:val="14"/>
                <w:b w:val="1"/>
                <w:bCs w:val="1"/>
                <w:color w:val="auto"/>
              </w:rPr>
              <w:t>2023</w:t>
            </w:r>
          </w:p>
        </w:tc>
        <w:tc>
          <w:tcPr>
            <w:tcW w:w="500" w:type="dxa"/>
            <w:vAlign w:val="bottom"/>
            <w:tcBorders>
              <w:bottom w:val="single" w:sz="8" w:color="auto"/>
            </w:tcBorders>
          </w:tcPr>
          <w:p>
            <w:pPr>
              <w:spacing w:after="0"/>
              <w:rPr>
                <w:sz w:val="17"/>
                <w:szCs w:val="17"/>
                <w:color w:val="auto"/>
              </w:rPr>
            </w:pPr>
          </w:p>
        </w:tc>
      </w:tr>
      <w:tr>
        <w:trPr>
          <w:trHeight w:val="188"/>
        </w:trPr>
        <w:tc>
          <w:tcPr>
            <w:tcW w:w="8060" w:type="dxa"/>
            <w:vAlign w:val="bottom"/>
          </w:tcPr>
          <w:p>
            <w:pPr>
              <w:spacing w:after="0"/>
              <w:rPr>
                <w:sz w:val="16"/>
                <w:szCs w:val="16"/>
                <w:color w:val="auto"/>
              </w:rPr>
            </w:pPr>
          </w:p>
        </w:tc>
        <w:tc>
          <w:tcPr>
            <w:tcW w:w="3180" w:type="dxa"/>
            <w:vAlign w:val="bottom"/>
            <w:gridSpan w:val="5"/>
          </w:tcPr>
          <w:p>
            <w:pPr>
              <w:jc w:val="center"/>
              <w:spacing w:after="0"/>
              <w:rPr>
                <w:sz w:val="20"/>
                <w:szCs w:val="20"/>
                <w:color w:val="auto"/>
              </w:rPr>
            </w:pPr>
            <w:r>
              <w:rPr>
                <w:rFonts w:ascii="Arial" w:cs="Arial" w:eastAsia="Arial" w:hAnsi="Arial"/>
                <w:sz w:val="14"/>
                <w:szCs w:val="14"/>
                <w:b w:val="1"/>
                <w:bCs w:val="1"/>
                <w:color w:val="auto"/>
              </w:rPr>
              <w:t>(In millions, except per-share amounts)</w:t>
            </w:r>
          </w:p>
        </w:tc>
      </w:tr>
      <w:tr>
        <w:trPr>
          <w:trHeight w:val="185"/>
        </w:trPr>
        <w:tc>
          <w:tcPr>
            <w:tcW w:w="80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700" w:type="dxa"/>
            <w:vAlign w:val="bottom"/>
            <w:gridSpan w:val="3"/>
          </w:tcPr>
          <w:p>
            <w:pPr>
              <w:jc w:val="center"/>
              <w:ind w:right="421"/>
              <w:spacing w:after="0"/>
              <w:rPr>
                <w:sz w:val="20"/>
                <w:szCs w:val="20"/>
                <w:color w:val="auto"/>
              </w:rPr>
            </w:pPr>
            <w:r>
              <w:rPr>
                <w:rFonts w:ascii="Arial" w:cs="Arial" w:eastAsia="Arial" w:hAnsi="Arial"/>
                <w:sz w:val="14"/>
                <w:szCs w:val="14"/>
                <w:b w:val="1"/>
                <w:bCs w:val="1"/>
                <w:color w:val="auto"/>
              </w:rPr>
              <w:t>(Unaudited)</w:t>
            </w:r>
          </w:p>
        </w:tc>
        <w:tc>
          <w:tcPr>
            <w:tcW w:w="500" w:type="dxa"/>
            <w:vAlign w:val="bottom"/>
          </w:tcPr>
          <w:p>
            <w:pPr>
              <w:spacing w:after="0"/>
              <w:rPr>
                <w:sz w:val="16"/>
                <w:szCs w:val="16"/>
                <w:color w:val="auto"/>
              </w:rPr>
            </w:pPr>
          </w:p>
        </w:tc>
      </w:tr>
      <w:tr>
        <w:trPr>
          <w:trHeight w:val="216"/>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w:t>
            </w:r>
          </w:p>
        </w:tc>
        <w:tc>
          <w:tcPr>
            <w:tcW w:w="9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r>
      <w:tr>
        <w:trPr>
          <w:trHeight w:val="215"/>
        </w:trPr>
        <w:tc>
          <w:tcPr>
            <w:tcW w:w="8060" w:type="dxa"/>
            <w:vAlign w:val="bottom"/>
          </w:tcPr>
          <w:p>
            <w:pPr>
              <w:ind w:left="220"/>
              <w:spacing w:after="0"/>
              <w:rPr>
                <w:sz w:val="20"/>
                <w:szCs w:val="20"/>
                <w:color w:val="auto"/>
              </w:rPr>
            </w:pPr>
            <w:r>
              <w:rPr>
                <w:rFonts w:ascii="Arial" w:cs="Arial" w:eastAsia="Arial" w:hAnsi="Arial"/>
                <w:sz w:val="16"/>
                <w:szCs w:val="16"/>
                <w:color w:val="auto"/>
              </w:rPr>
              <w:t>Premium revenue</w:t>
            </w:r>
          </w:p>
        </w:tc>
        <w:tc>
          <w:tcPr>
            <w:tcW w:w="980" w:type="dxa"/>
            <w:vAlign w:val="bottom"/>
          </w:tcPr>
          <w:p>
            <w:pPr>
              <w:jc w:val="right"/>
              <w:ind w:right="803"/>
              <w:spacing w:after="0"/>
              <w:rPr>
                <w:sz w:val="20"/>
                <w:szCs w:val="20"/>
                <w:color w:val="auto"/>
              </w:rPr>
            </w:pPr>
            <w:r>
              <w:rPr>
                <w:rFonts w:ascii="Arial" w:cs="Arial" w:eastAsia="Arial" w:hAnsi="Arial"/>
                <w:sz w:val="16"/>
                <w:szCs w:val="16"/>
                <w:color w:val="auto"/>
                <w:w w:val="89"/>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9,504</w:t>
            </w:r>
          </w:p>
        </w:tc>
        <w:tc>
          <w:tcPr>
            <w:tcW w:w="100" w:type="dxa"/>
            <w:vAlign w:val="bottom"/>
          </w:tcPr>
          <w:p>
            <w:pPr>
              <w:spacing w:after="0"/>
              <w:rPr>
                <w:sz w:val="18"/>
                <w:szCs w:val="18"/>
                <w:color w:val="auto"/>
              </w:rPr>
            </w:pPr>
          </w:p>
        </w:tc>
        <w:tc>
          <w:tcPr>
            <w:tcW w:w="1040" w:type="dxa"/>
            <w:vAlign w:val="bottom"/>
          </w:tcPr>
          <w:p>
            <w:pPr>
              <w:jc w:val="right"/>
              <w:ind w:right="861"/>
              <w:spacing w:after="0"/>
              <w:rPr>
                <w:sz w:val="20"/>
                <w:szCs w:val="20"/>
                <w:color w:val="auto"/>
              </w:rPr>
            </w:pPr>
            <w:r>
              <w:rPr>
                <w:rFonts w:ascii="Arial" w:cs="Arial" w:eastAsia="Arial" w:hAnsi="Arial"/>
                <w:sz w:val="16"/>
                <w:szCs w:val="16"/>
                <w:color w:val="auto"/>
                <w:w w:val="89"/>
              </w:rPr>
              <w:t>$</w:t>
            </w:r>
          </w:p>
        </w:tc>
        <w:tc>
          <w:tcPr>
            <w:tcW w:w="500" w:type="dxa"/>
            <w:vAlign w:val="bottom"/>
          </w:tcPr>
          <w:p>
            <w:pPr>
              <w:jc w:val="right"/>
              <w:spacing w:after="0"/>
              <w:rPr>
                <w:sz w:val="20"/>
                <w:szCs w:val="20"/>
                <w:color w:val="auto"/>
              </w:rPr>
            </w:pPr>
            <w:r>
              <w:rPr>
                <w:rFonts w:ascii="Arial" w:cs="Arial" w:eastAsia="Arial" w:hAnsi="Arial"/>
                <w:sz w:val="16"/>
                <w:szCs w:val="16"/>
                <w:color w:val="auto"/>
                <w:w w:val="99"/>
              </w:rPr>
              <w:t>7,885</w:t>
            </w:r>
          </w:p>
        </w:tc>
      </w:tr>
      <w:tr>
        <w:trPr>
          <w:trHeight w:val="217"/>
        </w:trPr>
        <w:tc>
          <w:tcPr>
            <w:tcW w:w="80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Premium tax revenue</w:t>
            </w:r>
          </w:p>
        </w:tc>
        <w:tc>
          <w:tcPr>
            <w:tcW w:w="9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297</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172</w:t>
            </w:r>
          </w:p>
        </w:tc>
      </w:tr>
      <w:tr>
        <w:trPr>
          <w:trHeight w:val="215"/>
        </w:trPr>
        <w:tc>
          <w:tcPr>
            <w:tcW w:w="8060" w:type="dxa"/>
            <w:vAlign w:val="bottom"/>
          </w:tcPr>
          <w:p>
            <w:pPr>
              <w:ind w:left="220"/>
              <w:spacing w:after="0"/>
              <w:rPr>
                <w:sz w:val="20"/>
                <w:szCs w:val="20"/>
                <w:color w:val="auto"/>
              </w:rPr>
            </w:pPr>
            <w:r>
              <w:rPr>
                <w:rFonts w:ascii="Arial" w:cs="Arial" w:eastAsia="Arial" w:hAnsi="Arial"/>
                <w:sz w:val="16"/>
                <w:szCs w:val="16"/>
                <w:color w:val="auto"/>
              </w:rPr>
              <w:t>Investment income</w:t>
            </w:r>
          </w:p>
        </w:tc>
        <w:tc>
          <w:tcPr>
            <w:tcW w:w="9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108</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71</w:t>
            </w:r>
          </w:p>
        </w:tc>
      </w:tr>
      <w:tr>
        <w:trPr>
          <w:trHeight w:val="217"/>
        </w:trPr>
        <w:tc>
          <w:tcPr>
            <w:tcW w:w="80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 revenue</w:t>
            </w:r>
          </w:p>
        </w:tc>
        <w:tc>
          <w:tcPr>
            <w:tcW w:w="98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100" w:type="dxa"/>
            <w:vAlign w:val="bottom"/>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w:t>
            </w:r>
          </w:p>
        </w:tc>
      </w:tr>
      <w:tr>
        <w:trPr>
          <w:trHeight w:val="209"/>
        </w:trPr>
        <w:tc>
          <w:tcPr>
            <w:tcW w:w="8060" w:type="dxa"/>
            <w:vAlign w:val="bottom"/>
            <w:tcBorders>
              <w:bottom w:val="single" w:sz="8" w:color="CCEEFF"/>
            </w:tcBorders>
          </w:tcPr>
          <w:p>
            <w:pPr>
              <w:ind w:left="480"/>
              <w:spacing w:after="0"/>
              <w:rPr>
                <w:sz w:val="20"/>
                <w:szCs w:val="20"/>
                <w:color w:val="auto"/>
              </w:rPr>
            </w:pPr>
            <w:r>
              <w:rPr>
                <w:rFonts w:ascii="Arial" w:cs="Arial" w:eastAsia="Arial" w:hAnsi="Arial"/>
                <w:sz w:val="16"/>
                <w:szCs w:val="16"/>
                <w:color w:val="auto"/>
              </w:rPr>
              <w:t>Total revenue</w:t>
            </w:r>
          </w:p>
        </w:tc>
        <w:tc>
          <w:tcPr>
            <w:tcW w:w="9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9,931</w:t>
            </w:r>
          </w:p>
        </w:tc>
        <w:tc>
          <w:tcPr>
            <w:tcW w:w="10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9"/>
              </w:rPr>
              <w:t>8,149</w:t>
            </w:r>
          </w:p>
        </w:tc>
      </w:tr>
      <w:tr>
        <w:trPr>
          <w:trHeight w:val="197"/>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expenses:</w:t>
            </w:r>
          </w:p>
        </w:tc>
        <w:tc>
          <w:tcPr>
            <w:tcW w:w="9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r>
      <w:tr>
        <w:trPr>
          <w:trHeight w:val="215"/>
        </w:trPr>
        <w:tc>
          <w:tcPr>
            <w:tcW w:w="8060" w:type="dxa"/>
            <w:vAlign w:val="bottom"/>
          </w:tcPr>
          <w:p>
            <w:pPr>
              <w:ind w:left="220"/>
              <w:spacing w:after="0"/>
              <w:rPr>
                <w:sz w:val="20"/>
                <w:szCs w:val="20"/>
                <w:color w:val="auto"/>
              </w:rPr>
            </w:pPr>
            <w:r>
              <w:rPr>
                <w:rFonts w:ascii="Arial" w:cs="Arial" w:eastAsia="Arial" w:hAnsi="Arial"/>
                <w:sz w:val="16"/>
                <w:szCs w:val="16"/>
                <w:color w:val="auto"/>
              </w:rPr>
              <w:t>Medical care costs</w:t>
            </w:r>
          </w:p>
        </w:tc>
        <w:tc>
          <w:tcPr>
            <w:tcW w:w="9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8,414</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w w:val="99"/>
              </w:rPr>
              <w:t>6,871</w:t>
            </w:r>
          </w:p>
        </w:tc>
      </w:tr>
      <w:tr>
        <w:trPr>
          <w:trHeight w:val="217"/>
        </w:trPr>
        <w:tc>
          <w:tcPr>
            <w:tcW w:w="80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General and administrative expenses</w:t>
            </w:r>
          </w:p>
        </w:tc>
        <w:tc>
          <w:tcPr>
            <w:tcW w:w="9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711</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591</w:t>
            </w:r>
          </w:p>
        </w:tc>
      </w:tr>
      <w:tr>
        <w:trPr>
          <w:trHeight w:val="215"/>
        </w:trPr>
        <w:tc>
          <w:tcPr>
            <w:tcW w:w="8060" w:type="dxa"/>
            <w:vAlign w:val="bottom"/>
          </w:tcPr>
          <w:p>
            <w:pPr>
              <w:ind w:left="220"/>
              <w:spacing w:after="0"/>
              <w:rPr>
                <w:sz w:val="20"/>
                <w:szCs w:val="20"/>
                <w:color w:val="auto"/>
              </w:rPr>
            </w:pPr>
            <w:r>
              <w:rPr>
                <w:rFonts w:ascii="Arial" w:cs="Arial" w:eastAsia="Arial" w:hAnsi="Arial"/>
                <w:sz w:val="16"/>
                <w:szCs w:val="16"/>
                <w:color w:val="auto"/>
              </w:rPr>
              <w:t>Premium tax expenses</w:t>
            </w:r>
          </w:p>
        </w:tc>
        <w:tc>
          <w:tcPr>
            <w:tcW w:w="9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297</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172</w:t>
            </w:r>
          </w:p>
        </w:tc>
      </w:tr>
      <w:tr>
        <w:trPr>
          <w:trHeight w:val="217"/>
        </w:trPr>
        <w:tc>
          <w:tcPr>
            <w:tcW w:w="80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Depreciation and amortization</w:t>
            </w:r>
          </w:p>
        </w:tc>
        <w:tc>
          <w:tcPr>
            <w:tcW w:w="9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w:t>
            </w:r>
          </w:p>
        </w:tc>
      </w:tr>
      <w:tr>
        <w:trPr>
          <w:trHeight w:val="215"/>
        </w:trPr>
        <w:tc>
          <w:tcPr>
            <w:tcW w:w="806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Other</w:t>
            </w:r>
          </w:p>
        </w:tc>
        <w:tc>
          <w:tcPr>
            <w:tcW w:w="9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w:t>
            </w:r>
          </w:p>
        </w:tc>
        <w:tc>
          <w:tcPr>
            <w:tcW w:w="10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w:t>
            </w:r>
          </w:p>
        </w:tc>
      </w:tr>
      <w:tr>
        <w:trPr>
          <w:trHeight w:val="210"/>
        </w:trPr>
        <w:tc>
          <w:tcPr>
            <w:tcW w:w="8060" w:type="dxa"/>
            <w:vAlign w:val="bottom"/>
            <w:shd w:val="clear" w:color="auto" w:fill="CCEEFF"/>
          </w:tcPr>
          <w:p>
            <w:pPr>
              <w:ind w:left="480"/>
              <w:spacing w:after="0"/>
              <w:rPr>
                <w:sz w:val="20"/>
                <w:szCs w:val="20"/>
                <w:color w:val="auto"/>
              </w:rPr>
            </w:pPr>
            <w:r>
              <w:rPr>
                <w:rFonts w:ascii="Arial" w:cs="Arial" w:eastAsia="Arial" w:hAnsi="Arial"/>
                <w:sz w:val="16"/>
                <w:szCs w:val="16"/>
                <w:color w:val="auto"/>
              </w:rPr>
              <w:t>Total operating expenses</w:t>
            </w:r>
          </w:p>
        </w:tc>
        <w:tc>
          <w:tcPr>
            <w:tcW w:w="98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9,505</w:t>
            </w:r>
          </w:p>
        </w:tc>
        <w:tc>
          <w:tcPr>
            <w:tcW w:w="100" w:type="dxa"/>
            <w:vAlign w:val="bottom"/>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9"/>
              </w:rPr>
              <w:t>7,694</w:t>
            </w:r>
          </w:p>
        </w:tc>
      </w:tr>
      <w:tr>
        <w:trPr>
          <w:trHeight w:val="209"/>
        </w:trPr>
        <w:tc>
          <w:tcPr>
            <w:tcW w:w="80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Operating income</w:t>
            </w:r>
          </w:p>
        </w:tc>
        <w:tc>
          <w:tcPr>
            <w:tcW w:w="9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426</w:t>
            </w:r>
          </w:p>
        </w:tc>
        <w:tc>
          <w:tcPr>
            <w:tcW w:w="10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455</w:t>
            </w:r>
          </w:p>
        </w:tc>
      </w:tr>
      <w:tr>
        <w:trPr>
          <w:trHeight w:val="210"/>
        </w:trPr>
        <w:tc>
          <w:tcPr>
            <w:tcW w:w="80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Interest expense</w:t>
            </w:r>
          </w:p>
        </w:tc>
        <w:tc>
          <w:tcPr>
            <w:tcW w:w="98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100" w:type="dxa"/>
            <w:vAlign w:val="bottom"/>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w:t>
            </w:r>
          </w:p>
        </w:tc>
      </w:tr>
      <w:tr>
        <w:trPr>
          <w:trHeight w:val="209"/>
        </w:trPr>
        <w:tc>
          <w:tcPr>
            <w:tcW w:w="8060" w:type="dxa"/>
            <w:vAlign w:val="bottom"/>
          </w:tcPr>
          <w:p>
            <w:pPr>
              <w:ind w:left="20"/>
              <w:spacing w:after="0"/>
              <w:rPr>
                <w:sz w:val="20"/>
                <w:szCs w:val="20"/>
                <w:color w:val="auto"/>
              </w:rPr>
            </w:pPr>
            <w:r>
              <w:rPr>
                <w:rFonts w:ascii="Arial" w:cs="Arial" w:eastAsia="Arial" w:hAnsi="Arial"/>
                <w:sz w:val="16"/>
                <w:szCs w:val="16"/>
                <w:color w:val="auto"/>
              </w:rPr>
              <w:t>Income before income tax expense</w:t>
            </w:r>
          </w:p>
        </w:tc>
        <w:tc>
          <w:tcPr>
            <w:tcW w:w="9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399</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427</w:t>
            </w:r>
          </w:p>
        </w:tc>
      </w:tr>
      <w:tr>
        <w:trPr>
          <w:trHeight w:val="216"/>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tax expense</w:t>
            </w:r>
          </w:p>
        </w:tc>
        <w:tc>
          <w:tcPr>
            <w:tcW w:w="98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98</w:t>
            </w:r>
          </w:p>
        </w:tc>
        <w:tc>
          <w:tcPr>
            <w:tcW w:w="100" w:type="dxa"/>
            <w:vAlign w:val="bottom"/>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106</w:t>
            </w:r>
          </w:p>
        </w:tc>
      </w:tr>
      <w:tr>
        <w:trPr>
          <w:trHeight w:val="210"/>
        </w:trPr>
        <w:tc>
          <w:tcPr>
            <w:tcW w:w="806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980" w:type="dxa"/>
            <w:vAlign w:val="bottom"/>
            <w:tcBorders>
              <w:bottom w:val="single" w:sz="8" w:color="auto"/>
            </w:tcBorders>
          </w:tcPr>
          <w:p>
            <w:pPr>
              <w:jc w:val="right"/>
              <w:ind w:right="803"/>
              <w:spacing w:after="0"/>
              <w:rPr>
                <w:sz w:val="20"/>
                <w:szCs w:val="20"/>
                <w:color w:val="auto"/>
              </w:rPr>
            </w:pPr>
            <w:r>
              <w:rPr>
                <w:rFonts w:ascii="Arial" w:cs="Arial" w:eastAsia="Arial" w:hAnsi="Arial"/>
                <w:sz w:val="16"/>
                <w:szCs w:val="16"/>
                <w:color w:val="auto"/>
                <w:w w:val="8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301</w:t>
            </w:r>
          </w:p>
        </w:tc>
        <w:tc>
          <w:tcPr>
            <w:tcW w:w="100" w:type="dxa"/>
            <w:vAlign w:val="bottom"/>
          </w:tcPr>
          <w:p>
            <w:pPr>
              <w:spacing w:after="0"/>
              <w:rPr>
                <w:sz w:val="18"/>
                <w:szCs w:val="18"/>
                <w:color w:val="auto"/>
              </w:rPr>
            </w:pPr>
          </w:p>
        </w:tc>
        <w:tc>
          <w:tcPr>
            <w:tcW w:w="1040" w:type="dxa"/>
            <w:vAlign w:val="bottom"/>
            <w:tcBorders>
              <w:bottom w:val="single" w:sz="8" w:color="auto"/>
            </w:tcBorders>
          </w:tcPr>
          <w:p>
            <w:pPr>
              <w:jc w:val="right"/>
              <w:ind w:right="861"/>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321</w:t>
            </w:r>
          </w:p>
        </w:tc>
      </w:tr>
      <w:tr>
        <w:trPr>
          <w:trHeight w:val="20"/>
        </w:trPr>
        <w:tc>
          <w:tcPr>
            <w:tcW w:w="806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r>
      <w:tr>
        <w:trPr>
          <w:trHeight w:val="223"/>
        </w:trPr>
        <w:tc>
          <w:tcPr>
            <w:tcW w:w="80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r>
      <w:tr>
        <w:trPr>
          <w:trHeight w:val="215"/>
        </w:trPr>
        <w:tc>
          <w:tcPr>
            <w:tcW w:w="8060" w:type="dxa"/>
            <w:vAlign w:val="bottom"/>
          </w:tcPr>
          <w:p>
            <w:pPr>
              <w:ind w:left="20"/>
              <w:spacing w:after="0"/>
              <w:rPr>
                <w:sz w:val="20"/>
                <w:szCs w:val="20"/>
                <w:color w:val="auto"/>
              </w:rPr>
            </w:pPr>
            <w:r>
              <w:rPr>
                <w:rFonts w:ascii="Arial" w:cs="Arial" w:eastAsia="Arial" w:hAnsi="Arial"/>
                <w:sz w:val="16"/>
                <w:szCs w:val="16"/>
                <w:color w:val="auto"/>
              </w:rPr>
              <w:t>Net income per share - Basic</w:t>
            </w:r>
          </w:p>
        </w:tc>
        <w:tc>
          <w:tcPr>
            <w:tcW w:w="980" w:type="dxa"/>
            <w:vAlign w:val="bottom"/>
            <w:tcBorders>
              <w:bottom w:val="single" w:sz="8" w:color="auto"/>
            </w:tcBorders>
          </w:tcPr>
          <w:p>
            <w:pPr>
              <w:jc w:val="right"/>
              <w:ind w:right="803"/>
              <w:spacing w:after="0"/>
              <w:rPr>
                <w:sz w:val="20"/>
                <w:szCs w:val="20"/>
                <w:color w:val="auto"/>
              </w:rPr>
            </w:pPr>
            <w:r>
              <w:rPr>
                <w:rFonts w:ascii="Arial" w:cs="Arial" w:eastAsia="Arial" w:hAnsi="Arial"/>
                <w:sz w:val="16"/>
                <w:szCs w:val="16"/>
                <w:color w:val="auto"/>
                <w:w w:val="8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5.21</w:t>
            </w:r>
          </w:p>
        </w:tc>
        <w:tc>
          <w:tcPr>
            <w:tcW w:w="100" w:type="dxa"/>
            <w:vAlign w:val="bottom"/>
          </w:tcPr>
          <w:p>
            <w:pPr>
              <w:spacing w:after="0"/>
              <w:rPr>
                <w:sz w:val="18"/>
                <w:szCs w:val="18"/>
                <w:color w:val="auto"/>
              </w:rPr>
            </w:pPr>
          </w:p>
        </w:tc>
        <w:tc>
          <w:tcPr>
            <w:tcW w:w="1040" w:type="dxa"/>
            <w:vAlign w:val="bottom"/>
            <w:tcBorders>
              <w:bottom w:val="single" w:sz="8" w:color="auto"/>
            </w:tcBorders>
          </w:tcPr>
          <w:p>
            <w:pPr>
              <w:jc w:val="right"/>
              <w:ind w:right="861"/>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5.58</w:t>
            </w:r>
          </w:p>
        </w:tc>
      </w:tr>
      <w:tr>
        <w:trPr>
          <w:trHeight w:val="20"/>
        </w:trPr>
        <w:tc>
          <w:tcPr>
            <w:tcW w:w="806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r>
      <w:tr>
        <w:trPr>
          <w:trHeight w:val="235"/>
        </w:trPr>
        <w:tc>
          <w:tcPr>
            <w:tcW w:w="8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income per share - Diluted</w:t>
            </w:r>
          </w:p>
        </w:tc>
        <w:tc>
          <w:tcPr>
            <w:tcW w:w="980" w:type="dxa"/>
            <w:vAlign w:val="bottom"/>
            <w:tcBorders>
              <w:bottom w:val="single" w:sz="8" w:color="auto"/>
            </w:tcBorders>
            <w:shd w:val="clear" w:color="auto" w:fill="CCEEFF"/>
          </w:tcPr>
          <w:p>
            <w:pPr>
              <w:jc w:val="right"/>
              <w:ind w:right="803"/>
              <w:spacing w:after="0"/>
              <w:rPr>
                <w:sz w:val="20"/>
                <w:szCs w:val="20"/>
                <w:color w:val="auto"/>
              </w:rPr>
            </w:pPr>
            <w:r>
              <w:rPr>
                <w:rFonts w:ascii="Arial" w:cs="Arial" w:eastAsia="Arial" w:hAnsi="Arial"/>
                <w:sz w:val="16"/>
                <w:szCs w:val="16"/>
                <w:color w:val="auto"/>
                <w:w w:val="8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5.17</w:t>
            </w:r>
          </w:p>
        </w:tc>
        <w:tc>
          <w:tcPr>
            <w:tcW w:w="1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ind w:right="861"/>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5.52</w:t>
            </w:r>
          </w:p>
        </w:tc>
      </w:tr>
      <w:tr>
        <w:trPr>
          <w:trHeight w:val="20"/>
        </w:trPr>
        <w:tc>
          <w:tcPr>
            <w:tcW w:w="80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r>
    </w:tbl>
    <w:p>
      <w:pPr>
        <w:spacing w:after="0" w:line="350" w:lineRule="exact"/>
        <w:rPr>
          <w:sz w:val="20"/>
          <w:szCs w:val="20"/>
          <w:color w:val="auto"/>
        </w:rPr>
      </w:pPr>
    </w:p>
    <w:p>
      <w:pPr>
        <w:spacing w:after="0"/>
        <w:rPr>
          <w:sz w:val="20"/>
          <w:szCs w:val="20"/>
          <w:color w:val="auto"/>
        </w:rPr>
      </w:pPr>
      <w:r>
        <w:rPr>
          <w:rFonts w:ascii="Arial" w:cs="Arial" w:eastAsia="Arial" w:hAnsi="Arial"/>
          <w:sz w:val="22"/>
          <w:szCs w:val="22"/>
          <w:b w:val="1"/>
          <w:bCs w:val="1"/>
          <w:color w:val="0F7C7F"/>
        </w:rPr>
        <w:t>CONSOLIDATED STATEMENTS OF COMPREHENSIVE INCOME</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8040" w:type="dxa"/>
            <w:vAlign w:val="bottom"/>
          </w:tcPr>
          <w:p>
            <w:pPr>
              <w:spacing w:after="0"/>
              <w:rPr>
                <w:sz w:val="17"/>
                <w:szCs w:val="17"/>
                <w:color w:val="auto"/>
              </w:rPr>
            </w:pPr>
          </w:p>
        </w:tc>
        <w:tc>
          <w:tcPr>
            <w:tcW w:w="2740" w:type="dxa"/>
            <w:vAlign w:val="bottom"/>
            <w:tcBorders>
              <w:bottom w:val="single" w:sz="8" w:color="auto"/>
            </w:tcBorders>
            <w:gridSpan w:val="4"/>
          </w:tcPr>
          <w:p>
            <w:pPr>
              <w:jc w:val="right"/>
              <w:ind w:right="22"/>
              <w:spacing w:after="0"/>
              <w:rPr>
                <w:sz w:val="20"/>
                <w:szCs w:val="20"/>
                <w:color w:val="auto"/>
              </w:rPr>
            </w:pPr>
            <w:r>
              <w:rPr>
                <w:rFonts w:ascii="Arial" w:cs="Arial" w:eastAsia="Arial" w:hAnsi="Arial"/>
                <w:sz w:val="14"/>
                <w:szCs w:val="14"/>
                <w:b w:val="1"/>
                <w:bCs w:val="1"/>
                <w:color w:val="auto"/>
              </w:rPr>
              <w:t>Three Months Ended March 31,</w:t>
            </w:r>
          </w:p>
        </w:tc>
        <w:tc>
          <w:tcPr>
            <w:tcW w:w="420" w:type="dxa"/>
            <w:vAlign w:val="bottom"/>
            <w:tcBorders>
              <w:bottom w:val="single" w:sz="8" w:color="auto"/>
            </w:tcBorders>
          </w:tcPr>
          <w:p>
            <w:pPr>
              <w:spacing w:after="0"/>
              <w:rPr>
                <w:sz w:val="17"/>
                <w:szCs w:val="17"/>
                <w:color w:val="auto"/>
              </w:rPr>
            </w:pPr>
          </w:p>
        </w:tc>
      </w:tr>
      <w:tr>
        <w:trPr>
          <w:trHeight w:val="196"/>
        </w:trPr>
        <w:tc>
          <w:tcPr>
            <w:tcW w:w="8040" w:type="dxa"/>
            <w:vAlign w:val="bottom"/>
          </w:tcPr>
          <w:p>
            <w:pPr>
              <w:spacing w:after="0"/>
              <w:rPr>
                <w:sz w:val="17"/>
                <w:szCs w:val="17"/>
                <w:color w:val="auto"/>
              </w:rPr>
            </w:pPr>
          </w:p>
        </w:tc>
        <w:tc>
          <w:tcPr>
            <w:tcW w:w="1060" w:type="dxa"/>
            <w:vAlign w:val="bottom"/>
            <w:tcBorders>
              <w:bottom w:val="single" w:sz="8" w:color="auto"/>
            </w:tcBorders>
          </w:tcPr>
          <w:p>
            <w:pPr>
              <w:jc w:val="right"/>
              <w:ind w:right="44"/>
              <w:spacing w:after="0"/>
              <w:rPr>
                <w:sz w:val="20"/>
                <w:szCs w:val="20"/>
                <w:color w:val="auto"/>
              </w:rPr>
            </w:pPr>
            <w:r>
              <w:rPr>
                <w:rFonts w:ascii="Arial" w:cs="Arial" w:eastAsia="Arial" w:hAnsi="Arial"/>
                <w:sz w:val="14"/>
                <w:szCs w:val="14"/>
                <w:b w:val="1"/>
                <w:bCs w:val="1"/>
                <w:color w:val="auto"/>
              </w:rPr>
              <w:t>2024</w:t>
            </w:r>
          </w:p>
        </w:tc>
        <w:tc>
          <w:tcPr>
            <w:tcW w:w="4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Borders>
              <w:bottom w:val="single" w:sz="8" w:color="auto"/>
            </w:tcBorders>
          </w:tcPr>
          <w:p>
            <w:pPr>
              <w:jc w:val="right"/>
              <w:ind w:right="102"/>
              <w:spacing w:after="0"/>
              <w:rPr>
                <w:sz w:val="20"/>
                <w:szCs w:val="20"/>
                <w:color w:val="auto"/>
              </w:rPr>
            </w:pPr>
            <w:r>
              <w:rPr>
                <w:rFonts w:ascii="Arial" w:cs="Arial" w:eastAsia="Arial" w:hAnsi="Arial"/>
                <w:sz w:val="14"/>
                <w:szCs w:val="14"/>
                <w:b w:val="1"/>
                <w:bCs w:val="1"/>
                <w:color w:val="auto"/>
              </w:rPr>
              <w:t>2023</w:t>
            </w:r>
          </w:p>
        </w:tc>
        <w:tc>
          <w:tcPr>
            <w:tcW w:w="420" w:type="dxa"/>
            <w:vAlign w:val="bottom"/>
            <w:tcBorders>
              <w:bottom w:val="single" w:sz="8" w:color="auto"/>
            </w:tcBorders>
          </w:tcPr>
          <w:p>
            <w:pPr>
              <w:spacing w:after="0"/>
              <w:rPr>
                <w:sz w:val="17"/>
                <w:szCs w:val="17"/>
                <w:color w:val="auto"/>
              </w:rPr>
            </w:pPr>
          </w:p>
        </w:tc>
      </w:tr>
      <w:tr>
        <w:trPr>
          <w:trHeight w:val="188"/>
        </w:trPr>
        <w:tc>
          <w:tcPr>
            <w:tcW w:w="80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680" w:type="dxa"/>
            <w:vAlign w:val="bottom"/>
            <w:gridSpan w:val="3"/>
          </w:tcPr>
          <w:p>
            <w:pPr>
              <w:ind w:left="120"/>
              <w:spacing w:after="0"/>
              <w:rPr>
                <w:sz w:val="20"/>
                <w:szCs w:val="20"/>
                <w:color w:val="auto"/>
              </w:rPr>
            </w:pPr>
            <w:r>
              <w:rPr>
                <w:rFonts w:ascii="Arial" w:cs="Arial" w:eastAsia="Arial" w:hAnsi="Arial"/>
                <w:sz w:val="14"/>
                <w:szCs w:val="14"/>
                <w:b w:val="1"/>
                <w:bCs w:val="1"/>
                <w:color w:val="auto"/>
              </w:rPr>
              <w:t>(In millions)</w:t>
            </w:r>
          </w:p>
        </w:tc>
        <w:tc>
          <w:tcPr>
            <w:tcW w:w="420" w:type="dxa"/>
            <w:vAlign w:val="bottom"/>
          </w:tcPr>
          <w:p>
            <w:pPr>
              <w:spacing w:after="0"/>
              <w:rPr>
                <w:sz w:val="16"/>
                <w:szCs w:val="16"/>
                <w:color w:val="auto"/>
              </w:rPr>
            </w:pPr>
          </w:p>
        </w:tc>
      </w:tr>
      <w:tr>
        <w:trPr>
          <w:trHeight w:val="185"/>
        </w:trPr>
        <w:tc>
          <w:tcPr>
            <w:tcW w:w="80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680" w:type="dxa"/>
            <w:vAlign w:val="bottom"/>
            <w:gridSpan w:val="3"/>
          </w:tcPr>
          <w:p>
            <w:pPr>
              <w:ind w:left="120"/>
              <w:spacing w:after="0"/>
              <w:rPr>
                <w:sz w:val="20"/>
                <w:szCs w:val="20"/>
                <w:color w:val="auto"/>
              </w:rPr>
            </w:pPr>
            <w:r>
              <w:rPr>
                <w:rFonts w:ascii="Arial" w:cs="Arial" w:eastAsia="Arial" w:hAnsi="Arial"/>
                <w:sz w:val="14"/>
                <w:szCs w:val="14"/>
                <w:b w:val="1"/>
                <w:bCs w:val="1"/>
                <w:color w:val="auto"/>
              </w:rPr>
              <w:t>(Unaudited)</w:t>
            </w:r>
          </w:p>
        </w:tc>
        <w:tc>
          <w:tcPr>
            <w:tcW w:w="420" w:type="dxa"/>
            <w:vAlign w:val="bottom"/>
          </w:tcPr>
          <w:p>
            <w:pPr>
              <w:spacing w:after="0"/>
              <w:rPr>
                <w:sz w:val="16"/>
                <w:szCs w:val="16"/>
                <w:color w:val="auto"/>
              </w:rPr>
            </w:pPr>
          </w:p>
        </w:tc>
      </w:tr>
      <w:tr>
        <w:trPr>
          <w:trHeight w:val="216"/>
        </w:trPr>
        <w:tc>
          <w:tcPr>
            <w:tcW w:w="8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1060" w:type="dxa"/>
            <w:vAlign w:val="bottom"/>
            <w:shd w:val="clear" w:color="auto" w:fill="CCEEFF"/>
          </w:tcPr>
          <w:p>
            <w:pPr>
              <w:jc w:val="right"/>
              <w:ind w:right="884"/>
              <w:spacing w:after="0"/>
              <w:rPr>
                <w:sz w:val="20"/>
                <w:szCs w:val="20"/>
                <w:color w:val="auto"/>
              </w:rPr>
            </w:pPr>
            <w:r>
              <w:rPr>
                <w:rFonts w:ascii="Arial" w:cs="Arial" w:eastAsia="Arial" w:hAnsi="Arial"/>
                <w:sz w:val="16"/>
                <w:szCs w:val="16"/>
                <w:color w:val="auto"/>
                <w:w w:val="89"/>
              </w:rPr>
              <w:t>$</w:t>
            </w:r>
          </w:p>
        </w:tc>
        <w:tc>
          <w:tcPr>
            <w:tcW w:w="4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301</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922"/>
              <w:spacing w:after="0"/>
              <w:rPr>
                <w:sz w:val="20"/>
                <w:szCs w:val="20"/>
                <w:color w:val="auto"/>
              </w:rPr>
            </w:pPr>
            <w:r>
              <w:rPr>
                <w:rFonts w:ascii="Arial" w:cs="Arial" w:eastAsia="Arial" w:hAnsi="Arial"/>
                <w:sz w:val="16"/>
                <w:szCs w:val="16"/>
                <w:color w:val="auto"/>
                <w:w w:val="8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321</w:t>
            </w:r>
          </w:p>
        </w:tc>
      </w:tr>
      <w:tr>
        <w:trPr>
          <w:trHeight w:val="215"/>
        </w:trPr>
        <w:tc>
          <w:tcPr>
            <w:tcW w:w="8040" w:type="dxa"/>
            <w:vAlign w:val="bottom"/>
          </w:tcPr>
          <w:p>
            <w:pPr>
              <w:ind w:left="20"/>
              <w:spacing w:after="0"/>
              <w:rPr>
                <w:sz w:val="20"/>
                <w:szCs w:val="20"/>
                <w:color w:val="auto"/>
              </w:rPr>
            </w:pPr>
            <w:r>
              <w:rPr>
                <w:rFonts w:ascii="Arial" w:cs="Arial" w:eastAsia="Arial" w:hAnsi="Arial"/>
                <w:sz w:val="16"/>
                <w:szCs w:val="16"/>
                <w:color w:val="auto"/>
              </w:rPr>
              <w:t>Other comprehensive (loss) gain:</w:t>
            </w:r>
          </w:p>
        </w:tc>
        <w:tc>
          <w:tcPr>
            <w:tcW w:w="10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20" w:type="dxa"/>
            <w:vAlign w:val="bottom"/>
          </w:tcPr>
          <w:p>
            <w:pPr>
              <w:spacing w:after="0"/>
              <w:rPr>
                <w:sz w:val="18"/>
                <w:szCs w:val="18"/>
                <w:color w:val="auto"/>
              </w:rPr>
            </w:pPr>
          </w:p>
        </w:tc>
      </w:tr>
      <w:tr>
        <w:trPr>
          <w:trHeight w:val="217"/>
        </w:trPr>
        <w:tc>
          <w:tcPr>
            <w:tcW w:w="80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Unrealized investment (loss) gain</w:t>
            </w:r>
          </w:p>
        </w:tc>
        <w:tc>
          <w:tcPr>
            <w:tcW w:w="1060" w:type="dxa"/>
            <w:vAlign w:val="bottom"/>
            <w:shd w:val="clear" w:color="auto" w:fill="CCEEFF"/>
          </w:tcPr>
          <w:p>
            <w:pPr>
              <w:spacing w:after="0"/>
              <w:rPr>
                <w:sz w:val="18"/>
                <w:szCs w:val="18"/>
                <w:color w:val="auto"/>
              </w:rPr>
            </w:pPr>
          </w:p>
        </w:tc>
        <w:tc>
          <w:tcPr>
            <w:tcW w:w="480" w:type="dxa"/>
            <w:vAlign w:val="bottom"/>
            <w:shd w:val="clear" w:color="auto" w:fill="CCEEFF"/>
          </w:tcPr>
          <w:p>
            <w:pPr>
              <w:ind w:left="260"/>
              <w:spacing w:after="0"/>
              <w:rPr>
                <w:sz w:val="20"/>
                <w:szCs w:val="20"/>
                <w:color w:val="auto"/>
              </w:rPr>
            </w:pPr>
            <w:r>
              <w:rPr>
                <w:rFonts w:ascii="Arial" w:cs="Arial" w:eastAsia="Arial" w:hAnsi="Arial"/>
                <w:sz w:val="16"/>
                <w:szCs w:val="16"/>
                <w:color w:val="auto"/>
              </w:rPr>
              <w:t>(5)</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w:t>
            </w:r>
          </w:p>
        </w:tc>
      </w:tr>
      <w:tr>
        <w:trPr>
          <w:trHeight w:val="215"/>
        </w:trPr>
        <w:tc>
          <w:tcPr>
            <w:tcW w:w="804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Less: effect of income taxes</w:t>
            </w:r>
          </w:p>
        </w:tc>
        <w:tc>
          <w:tcPr>
            <w:tcW w:w="106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ind w:left="260"/>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w:t>
            </w:r>
          </w:p>
        </w:tc>
      </w:tr>
      <w:tr>
        <w:trPr>
          <w:trHeight w:val="209"/>
        </w:trPr>
        <w:tc>
          <w:tcPr>
            <w:tcW w:w="80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Other comprehensive (loss) gain, net of tax</w:t>
            </w:r>
          </w:p>
        </w:tc>
        <w:tc>
          <w:tcPr>
            <w:tcW w:w="106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ind w:left="260"/>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w:t>
            </w:r>
          </w:p>
        </w:tc>
      </w:tr>
      <w:tr>
        <w:trPr>
          <w:trHeight w:val="210"/>
        </w:trPr>
        <w:tc>
          <w:tcPr>
            <w:tcW w:w="8040" w:type="dxa"/>
            <w:vAlign w:val="bottom"/>
          </w:tcPr>
          <w:p>
            <w:pPr>
              <w:ind w:left="20"/>
              <w:spacing w:after="0"/>
              <w:rPr>
                <w:sz w:val="20"/>
                <w:szCs w:val="20"/>
                <w:color w:val="auto"/>
              </w:rPr>
            </w:pPr>
            <w:r>
              <w:rPr>
                <w:rFonts w:ascii="Arial" w:cs="Arial" w:eastAsia="Arial" w:hAnsi="Arial"/>
                <w:sz w:val="16"/>
                <w:szCs w:val="16"/>
                <w:color w:val="auto"/>
              </w:rPr>
              <w:t>Comprehensive income</w:t>
            </w:r>
          </w:p>
        </w:tc>
        <w:tc>
          <w:tcPr>
            <w:tcW w:w="1060" w:type="dxa"/>
            <w:vAlign w:val="bottom"/>
            <w:tcBorders>
              <w:bottom w:val="single" w:sz="8" w:color="auto"/>
            </w:tcBorders>
          </w:tcPr>
          <w:p>
            <w:pPr>
              <w:jc w:val="right"/>
              <w:ind w:right="884"/>
              <w:spacing w:after="0"/>
              <w:rPr>
                <w:sz w:val="20"/>
                <w:szCs w:val="20"/>
                <w:color w:val="auto"/>
              </w:rPr>
            </w:pPr>
            <w:r>
              <w:rPr>
                <w:rFonts w:ascii="Arial" w:cs="Arial" w:eastAsia="Arial" w:hAnsi="Arial"/>
                <w:sz w:val="16"/>
                <w:szCs w:val="16"/>
                <w:color w:val="auto"/>
                <w:w w:val="89"/>
              </w:rPr>
              <w:t>$</w:t>
            </w:r>
          </w:p>
        </w:tc>
        <w:tc>
          <w:tcPr>
            <w:tcW w:w="480" w:type="dxa"/>
            <w:vAlign w:val="bottom"/>
            <w:tcBorders>
              <w:bottom w:val="single" w:sz="8" w:color="auto"/>
            </w:tcBorders>
          </w:tcPr>
          <w:p>
            <w:pPr>
              <w:ind w:left="140"/>
              <w:spacing w:after="0"/>
              <w:rPr>
                <w:sz w:val="20"/>
                <w:szCs w:val="20"/>
                <w:color w:val="auto"/>
              </w:rPr>
            </w:pPr>
            <w:r>
              <w:rPr>
                <w:rFonts w:ascii="Arial" w:cs="Arial" w:eastAsia="Arial" w:hAnsi="Arial"/>
                <w:sz w:val="16"/>
                <w:szCs w:val="16"/>
                <w:color w:val="auto"/>
              </w:rPr>
              <w:t>298</w:t>
            </w:r>
          </w:p>
        </w:tc>
        <w:tc>
          <w:tcPr>
            <w:tcW w:w="100" w:type="dxa"/>
            <w:vAlign w:val="bottom"/>
          </w:tcPr>
          <w:p>
            <w:pPr>
              <w:spacing w:after="0"/>
              <w:rPr>
                <w:sz w:val="18"/>
                <w:szCs w:val="18"/>
                <w:color w:val="auto"/>
              </w:rPr>
            </w:pPr>
          </w:p>
        </w:tc>
        <w:tc>
          <w:tcPr>
            <w:tcW w:w="1100" w:type="dxa"/>
            <w:vAlign w:val="bottom"/>
            <w:tcBorders>
              <w:bottom w:val="single" w:sz="8" w:color="auto"/>
            </w:tcBorders>
          </w:tcPr>
          <w:p>
            <w:pPr>
              <w:jc w:val="right"/>
              <w:ind w:right="922"/>
              <w:spacing w:after="0"/>
              <w:rPr>
                <w:sz w:val="20"/>
                <w:szCs w:val="20"/>
                <w:color w:val="auto"/>
              </w:rPr>
            </w:pPr>
            <w:r>
              <w:rPr>
                <w:rFonts w:ascii="Arial" w:cs="Arial" w:eastAsia="Arial" w:hAnsi="Arial"/>
                <w:sz w:val="16"/>
                <w:szCs w:val="16"/>
                <w:color w:val="auto"/>
                <w:w w:val="89"/>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356</w:t>
            </w:r>
          </w:p>
        </w:tc>
      </w:tr>
      <w:tr>
        <w:trPr>
          <w:trHeight w:val="20"/>
        </w:trPr>
        <w:tc>
          <w:tcPr>
            <w:tcW w:w="80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6"/>
          <w:szCs w:val="16"/>
          <w:color w:val="auto"/>
        </w:rPr>
        <w:t>See accompanying notes.</w:t>
      </w:r>
    </w:p>
    <w:p>
      <w:pPr>
        <w:spacing w:after="0" w:line="200" w:lineRule="exact"/>
        <w:rPr>
          <w:sz w:val="20"/>
          <w:szCs w:val="20"/>
          <w:color w:val="auto"/>
        </w:rPr>
      </w:pPr>
    </w:p>
    <w:p>
      <w:pPr>
        <w:spacing w:after="0" w:line="35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March 31, 2024 Form 10-Q |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22"/>
          <w:szCs w:val="22"/>
          <w:b w:val="1"/>
          <w:bCs w:val="1"/>
          <w:color w:val="0F7C7F"/>
        </w:rPr>
        <w:t>CONSOLIDATED BALANCE SHEETS</w:t>
      </w:r>
    </w:p>
    <w:p>
      <w:pPr>
        <w:spacing w:after="0" w:line="37" w:lineRule="exact"/>
        <w:rPr>
          <w:sz w:val="20"/>
          <w:szCs w:val="20"/>
          <w:color w:val="auto"/>
        </w:rPr>
      </w:pPr>
    </w:p>
    <w:tbl>
      <w:tblPr>
        <w:tblLayout w:type="fixed"/>
        <w:tblInd w:w="8220" w:type="dxa"/>
        <w:tblCellMar>
          <w:top w:w="0" w:type="dxa"/>
          <w:left w:w="0" w:type="dxa"/>
          <w:bottom w:w="0" w:type="dxa"/>
          <w:right w:w="0" w:type="dxa"/>
        </w:tblCellMar>
      </w:tblPr>
      <w:tr>
        <w:trPr>
          <w:trHeight w:val="161"/>
        </w:trPr>
        <w:tc>
          <w:tcPr>
            <w:tcW w:w="15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March 31,</w:t>
            </w:r>
          </w:p>
        </w:tc>
        <w:tc>
          <w:tcPr>
            <w:tcW w:w="1460" w:type="dxa"/>
            <w:vAlign w:val="bottom"/>
          </w:tcPr>
          <w:p>
            <w:pPr>
              <w:jc w:val="center"/>
              <w:spacing w:after="0"/>
              <w:rPr>
                <w:sz w:val="20"/>
                <w:szCs w:val="20"/>
                <w:color w:val="auto"/>
              </w:rPr>
            </w:pPr>
            <w:r>
              <w:rPr>
                <w:rFonts w:ascii="Arial" w:cs="Arial" w:eastAsia="Arial" w:hAnsi="Arial"/>
                <w:sz w:val="14"/>
                <w:szCs w:val="14"/>
                <w:b w:val="1"/>
                <w:bCs w:val="1"/>
                <w:color w:val="auto"/>
              </w:rPr>
              <w:t>December 31,</w:t>
            </w:r>
          </w:p>
        </w:tc>
      </w:tr>
      <w:tr>
        <w:trPr>
          <w:trHeight w:val="185"/>
        </w:trPr>
        <w:tc>
          <w:tcPr>
            <w:tcW w:w="144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6"/>
                <w:szCs w:val="16"/>
                <w:color w:val="auto"/>
              </w:rPr>
            </w:pPr>
          </w:p>
        </w:tc>
        <w:tc>
          <w:tcPr>
            <w:tcW w:w="146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2023</w:t>
            </w:r>
          </w:p>
        </w:tc>
      </w:tr>
    </w:tbl>
    <w:p>
      <w:pPr>
        <w:spacing w:after="0" w:line="32" w:lineRule="exact"/>
        <w:rPr>
          <w:sz w:val="20"/>
          <w:szCs w:val="20"/>
          <w:color w:val="auto"/>
        </w:rPr>
      </w:pP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20"/>
        <w:spacing w:after="0"/>
        <w:rPr>
          <w:sz w:val="20"/>
          <w:szCs w:val="20"/>
          <w:color w:val="auto"/>
        </w:rPr>
      </w:pPr>
      <w:r>
        <w:rPr>
          <w:rFonts w:ascii="Arial" w:cs="Arial" w:eastAsia="Arial" w:hAnsi="Arial"/>
          <w:sz w:val="16"/>
          <w:szCs w:val="16"/>
          <w:color w:val="auto"/>
        </w:rPr>
        <w:t>Current assets:</w:t>
      </w:r>
    </w:p>
    <w:p>
      <w:pPr>
        <w:spacing w:after="0" w:line="32" w:lineRule="exact"/>
        <w:rPr>
          <w:sz w:val="20"/>
          <w:szCs w:val="20"/>
          <w:color w:val="auto"/>
        </w:rPr>
      </w:pPr>
    </w:p>
    <w:p>
      <w:pPr>
        <w:ind w:left="140"/>
        <w:spacing w:after="0"/>
        <w:rPr>
          <w:sz w:val="20"/>
          <w:szCs w:val="20"/>
          <w:color w:val="auto"/>
        </w:rPr>
      </w:pPr>
      <w:r>
        <w:rPr>
          <w:rFonts w:ascii="Arial" w:cs="Arial" w:eastAsia="Arial" w:hAnsi="Arial"/>
          <w:sz w:val="16"/>
          <w:szCs w:val="16"/>
          <w:color w:val="auto"/>
        </w:rPr>
        <w:t>Cash and cash equivalents</w:t>
      </w:r>
    </w:p>
    <w:p>
      <w:pPr>
        <w:spacing w:after="0" w:line="32" w:lineRule="exact"/>
        <w:rPr>
          <w:sz w:val="20"/>
          <w:szCs w:val="20"/>
          <w:color w:val="auto"/>
        </w:rPr>
      </w:pPr>
    </w:p>
    <w:p>
      <w:pPr>
        <w:ind w:left="140"/>
        <w:spacing w:after="0"/>
        <w:rPr>
          <w:sz w:val="20"/>
          <w:szCs w:val="20"/>
          <w:color w:val="auto"/>
        </w:rPr>
      </w:pPr>
      <w:r>
        <w:rPr>
          <w:rFonts w:ascii="Arial" w:cs="Arial" w:eastAsia="Arial" w:hAnsi="Arial"/>
          <w:sz w:val="16"/>
          <w:szCs w:val="16"/>
          <w:color w:val="auto"/>
        </w:rPr>
        <w:t>Investments</w:t>
      </w:r>
    </w:p>
    <w:p>
      <w:pPr>
        <w:spacing w:after="0" w:line="32" w:lineRule="exact"/>
        <w:rPr>
          <w:sz w:val="20"/>
          <w:szCs w:val="20"/>
          <w:color w:val="auto"/>
        </w:rPr>
      </w:pPr>
    </w:p>
    <w:p>
      <w:pPr>
        <w:ind w:left="140"/>
        <w:spacing w:after="0"/>
        <w:rPr>
          <w:sz w:val="20"/>
          <w:szCs w:val="20"/>
          <w:color w:val="auto"/>
        </w:rPr>
      </w:pPr>
      <w:r>
        <w:rPr>
          <w:rFonts w:ascii="Arial" w:cs="Arial" w:eastAsia="Arial" w:hAnsi="Arial"/>
          <w:sz w:val="16"/>
          <w:szCs w:val="16"/>
          <w:color w:val="auto"/>
        </w:rPr>
        <w:t>Receivables</w:t>
      </w:r>
    </w:p>
    <w:p>
      <w:pPr>
        <w:spacing w:after="0" w:line="32" w:lineRule="exact"/>
        <w:rPr>
          <w:sz w:val="20"/>
          <w:szCs w:val="20"/>
          <w:color w:val="auto"/>
        </w:rPr>
      </w:pPr>
    </w:p>
    <w:p>
      <w:pPr>
        <w:ind w:left="220" w:right="380" w:hanging="80"/>
        <w:spacing w:after="0" w:line="290" w:lineRule="auto"/>
        <w:rPr>
          <w:sz w:val="20"/>
          <w:szCs w:val="20"/>
          <w:color w:val="auto"/>
        </w:rPr>
      </w:pPr>
      <w:r>
        <w:rPr>
          <w:rFonts w:ascii="Arial" w:cs="Arial" w:eastAsia="Arial" w:hAnsi="Arial"/>
          <w:sz w:val="16"/>
          <w:szCs w:val="16"/>
          <w:color w:val="auto"/>
        </w:rPr>
        <w:t>Prepaid expenses and other current assets Total current assets</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6"/>
          <w:szCs w:val="16"/>
          <w:color w:val="auto"/>
        </w:rPr>
        <w:t>Property, equipment, and capitalized software, net</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color w:val="auto"/>
        </w:rPr>
        <w:t>Goodwill, and intangible assets, net</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color w:val="auto"/>
        </w:rPr>
        <w:t>Restricted investments</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color w:val="auto"/>
        </w:rPr>
        <w:t>Deferred income taxes, net</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color w:val="auto"/>
        </w:rPr>
        <w:t>Other assets</w:t>
      </w:r>
    </w:p>
    <w:p>
      <w:pPr>
        <w:spacing w:after="0" w:line="73" w:lineRule="exact"/>
        <w:rPr>
          <w:sz w:val="20"/>
          <w:szCs w:val="20"/>
          <w:color w:val="auto"/>
        </w:rPr>
      </w:pPr>
    </w:p>
    <w:p>
      <w:pPr>
        <w:ind w:left="20"/>
        <w:spacing w:after="0"/>
        <w:rPr>
          <w:sz w:val="20"/>
          <w:szCs w:val="20"/>
          <w:color w:val="auto"/>
        </w:rPr>
      </w:pPr>
      <w:r>
        <w:rPr>
          <w:rFonts w:ascii="Arial" w:cs="Arial" w:eastAsia="Arial" w:hAnsi="Arial"/>
          <w:sz w:val="16"/>
          <w:szCs w:val="16"/>
          <w:color w:val="auto"/>
        </w:rPr>
        <w:t>Total assets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1380" w:type="dxa"/>
        <w:tblCellMar>
          <w:top w:w="0" w:type="dxa"/>
          <w:left w:w="0" w:type="dxa"/>
          <w:bottom w:w="0" w:type="dxa"/>
          <w:right w:w="0" w:type="dxa"/>
        </w:tblCellMar>
      </w:tblPr>
      <w:tr>
        <w:trPr>
          <w:trHeight w:val="161"/>
        </w:trPr>
        <w:tc>
          <w:tcPr>
            <w:tcW w:w="2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0" w:type="dxa"/>
            <w:vAlign w:val="bottom"/>
            <w:gridSpan w:val="3"/>
          </w:tcPr>
          <w:p>
            <w:pPr>
              <w:jc w:val="right"/>
              <w:ind w:right="179"/>
              <w:spacing w:after="0"/>
              <w:rPr>
                <w:sz w:val="20"/>
                <w:szCs w:val="20"/>
                <w:color w:val="auto"/>
              </w:rPr>
            </w:pPr>
            <w:r>
              <w:rPr>
                <w:rFonts w:ascii="Arial" w:cs="Arial" w:eastAsia="Arial" w:hAnsi="Arial"/>
                <w:sz w:val="14"/>
                <w:szCs w:val="14"/>
                <w:b w:val="1"/>
                <w:bCs w:val="1"/>
                <w:color w:val="auto"/>
              </w:rPr>
              <w:t>(Dollars in millions,</w:t>
            </w:r>
          </w:p>
        </w:tc>
        <w:tc>
          <w:tcPr>
            <w:tcW w:w="580" w:type="dxa"/>
            <w:vAlign w:val="bottom"/>
          </w:tcPr>
          <w:p>
            <w:pPr>
              <w:spacing w:after="0"/>
              <w:rPr>
                <w:sz w:val="14"/>
                <w:szCs w:val="14"/>
                <w:color w:val="auto"/>
              </w:rPr>
            </w:pPr>
          </w:p>
        </w:tc>
      </w:tr>
      <w:tr>
        <w:trPr>
          <w:trHeight w:val="189"/>
        </w:trPr>
        <w:tc>
          <w:tcPr>
            <w:tcW w:w="2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0" w:type="dxa"/>
            <w:vAlign w:val="bottom"/>
            <w:gridSpan w:val="3"/>
          </w:tcPr>
          <w:p>
            <w:pPr>
              <w:jc w:val="right"/>
              <w:spacing w:after="0"/>
              <w:rPr>
                <w:sz w:val="20"/>
                <w:szCs w:val="20"/>
                <w:color w:val="auto"/>
              </w:rPr>
            </w:pPr>
            <w:r>
              <w:rPr>
                <w:rFonts w:ascii="Arial" w:cs="Arial" w:eastAsia="Arial" w:hAnsi="Arial"/>
                <w:sz w:val="14"/>
                <w:szCs w:val="14"/>
                <w:b w:val="1"/>
                <w:bCs w:val="1"/>
                <w:color w:val="auto"/>
              </w:rPr>
              <w:t>except per-share amounts)</w:t>
            </w:r>
          </w:p>
        </w:tc>
        <w:tc>
          <w:tcPr>
            <w:tcW w:w="580" w:type="dxa"/>
            <w:vAlign w:val="bottom"/>
          </w:tcPr>
          <w:p>
            <w:pPr>
              <w:spacing w:after="0"/>
              <w:rPr>
                <w:sz w:val="16"/>
                <w:szCs w:val="16"/>
                <w:color w:val="auto"/>
              </w:rPr>
            </w:pPr>
          </w:p>
        </w:tc>
      </w:tr>
      <w:tr>
        <w:trPr>
          <w:trHeight w:val="196"/>
        </w:trPr>
        <w:tc>
          <w:tcPr>
            <w:tcW w:w="2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gridSpan w:val="2"/>
          </w:tcPr>
          <w:p>
            <w:pPr>
              <w:ind w:left="100"/>
              <w:spacing w:after="0"/>
              <w:rPr>
                <w:sz w:val="20"/>
                <w:szCs w:val="20"/>
                <w:color w:val="auto"/>
              </w:rPr>
            </w:pPr>
            <w:r>
              <w:rPr>
                <w:rFonts w:ascii="Arial" w:cs="Arial" w:eastAsia="Arial" w:hAnsi="Arial"/>
                <w:sz w:val="14"/>
                <w:szCs w:val="14"/>
                <w:b w:val="1"/>
                <w:bCs w:val="1"/>
                <w:color w:val="auto"/>
              </w:rPr>
              <w:t>(Unaudited)</w:t>
            </w:r>
          </w:p>
        </w:tc>
        <w:tc>
          <w:tcPr>
            <w:tcW w:w="88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224"/>
        </w:trPr>
        <w:tc>
          <w:tcPr>
            <w:tcW w:w="3160" w:type="dxa"/>
            <w:vAlign w:val="bottom"/>
            <w:gridSpan w:val="2"/>
          </w:tcPr>
          <w:p>
            <w:pPr>
              <w:jc w:val="right"/>
              <w:ind w:right="2419"/>
              <w:spacing w:after="0"/>
              <w:rPr>
                <w:sz w:val="20"/>
                <w:szCs w:val="20"/>
                <w:color w:val="auto"/>
              </w:rPr>
            </w:pPr>
            <w:r>
              <w:rPr>
                <w:rFonts w:ascii="Arial" w:cs="Arial" w:eastAsia="Arial" w:hAnsi="Arial"/>
                <w:sz w:val="16"/>
                <w:szCs w:val="16"/>
                <w:b w:val="1"/>
                <w:bCs w:val="1"/>
                <w:color w:val="auto"/>
                <w:w w:val="99"/>
              </w:rPr>
              <w:t>ASSETS</w:t>
            </w: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80" w:type="dxa"/>
            <w:vAlign w:val="bottom"/>
          </w:tcPr>
          <w:p>
            <w:pPr>
              <w:spacing w:after="0"/>
              <w:rPr>
                <w:sz w:val="19"/>
                <w:szCs w:val="19"/>
                <w:color w:val="auto"/>
              </w:rPr>
            </w:pPr>
          </w:p>
        </w:tc>
      </w:tr>
      <w:tr>
        <w:trPr>
          <w:trHeight w:val="424"/>
        </w:trPr>
        <w:tc>
          <w:tcPr>
            <w:tcW w:w="3160" w:type="dxa"/>
            <w:vAlign w:val="bottom"/>
            <w:gridSpan w:val="2"/>
          </w:tcPr>
          <w:p>
            <w:pPr>
              <w:jc w:val="right"/>
              <w:ind w:right="39"/>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1"/>
              <w:spacing w:after="0"/>
              <w:rPr>
                <w:sz w:val="20"/>
                <w:szCs w:val="20"/>
                <w:color w:val="auto"/>
              </w:rPr>
            </w:pPr>
            <w:r>
              <w:rPr>
                <w:rFonts w:ascii="Arial" w:cs="Arial" w:eastAsia="Arial" w:hAnsi="Arial"/>
                <w:sz w:val="16"/>
                <w:szCs w:val="16"/>
                <w:color w:val="auto"/>
              </w:rPr>
              <w:t>4,513</w:t>
            </w:r>
          </w:p>
        </w:tc>
        <w:tc>
          <w:tcPr>
            <w:tcW w:w="100" w:type="dxa"/>
            <w:vAlign w:val="bottom"/>
          </w:tcPr>
          <w:p>
            <w:pPr>
              <w:spacing w:after="0"/>
              <w:rPr>
                <w:sz w:val="24"/>
                <w:szCs w:val="24"/>
                <w:color w:val="auto"/>
              </w:rPr>
            </w:pPr>
          </w:p>
        </w:tc>
        <w:tc>
          <w:tcPr>
            <w:tcW w:w="880" w:type="dxa"/>
            <w:vAlign w:val="bottom"/>
          </w:tcPr>
          <w:p>
            <w:pPr>
              <w:jc w:val="right"/>
              <w:ind w:right="679"/>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4,848</w:t>
            </w:r>
          </w:p>
        </w:tc>
      </w:tr>
      <w:tr>
        <w:trPr>
          <w:trHeight w:val="216"/>
        </w:trPr>
        <w:tc>
          <w:tcPr>
            <w:tcW w:w="2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jc w:val="right"/>
              <w:ind w:right="1"/>
              <w:spacing w:after="0"/>
              <w:rPr>
                <w:sz w:val="20"/>
                <w:szCs w:val="20"/>
                <w:color w:val="auto"/>
              </w:rPr>
            </w:pPr>
            <w:r>
              <w:rPr>
                <w:rFonts w:ascii="Arial" w:cs="Arial" w:eastAsia="Arial" w:hAnsi="Arial"/>
                <w:sz w:val="16"/>
                <w:szCs w:val="16"/>
                <w:color w:val="auto"/>
              </w:rPr>
              <w:t>4,424</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4,259</w:t>
            </w:r>
          </w:p>
        </w:tc>
      </w:tr>
      <w:tr>
        <w:trPr>
          <w:trHeight w:val="216"/>
        </w:trPr>
        <w:tc>
          <w:tcPr>
            <w:tcW w:w="2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jc w:val="right"/>
              <w:ind w:right="1"/>
              <w:spacing w:after="0"/>
              <w:rPr>
                <w:sz w:val="20"/>
                <w:szCs w:val="20"/>
                <w:color w:val="auto"/>
              </w:rPr>
            </w:pPr>
            <w:r>
              <w:rPr>
                <w:rFonts w:ascii="Arial" w:cs="Arial" w:eastAsia="Arial" w:hAnsi="Arial"/>
                <w:sz w:val="16"/>
                <w:szCs w:val="16"/>
                <w:color w:val="auto"/>
              </w:rPr>
              <w:t>3,350</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3,104</w:t>
            </w:r>
          </w:p>
        </w:tc>
      </w:tr>
      <w:tr>
        <w:trPr>
          <w:trHeight w:val="217"/>
        </w:trPr>
        <w:tc>
          <w:tcPr>
            <w:tcW w:w="29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381</w:t>
            </w:r>
          </w:p>
        </w:tc>
        <w:tc>
          <w:tcPr>
            <w:tcW w:w="100" w:type="dxa"/>
            <w:vAlign w:val="bottom"/>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331</w:t>
            </w:r>
          </w:p>
        </w:tc>
      </w:tr>
      <w:tr>
        <w:trPr>
          <w:trHeight w:val="209"/>
        </w:trPr>
        <w:tc>
          <w:tcPr>
            <w:tcW w:w="2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jc w:val="right"/>
              <w:ind w:right="1"/>
              <w:spacing w:after="0"/>
              <w:rPr>
                <w:sz w:val="20"/>
                <w:szCs w:val="20"/>
                <w:color w:val="auto"/>
              </w:rPr>
            </w:pPr>
            <w:r>
              <w:rPr>
                <w:rFonts w:ascii="Arial" w:cs="Arial" w:eastAsia="Arial" w:hAnsi="Arial"/>
                <w:sz w:val="16"/>
                <w:szCs w:val="16"/>
                <w:color w:val="auto"/>
              </w:rPr>
              <w:t>12,668</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w w:val="98"/>
              </w:rPr>
              <w:t>12,542</w:t>
            </w:r>
          </w:p>
        </w:tc>
      </w:tr>
      <w:tr>
        <w:trPr>
          <w:trHeight w:val="215"/>
        </w:trPr>
        <w:tc>
          <w:tcPr>
            <w:tcW w:w="2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jc w:val="right"/>
              <w:ind w:right="1"/>
              <w:spacing w:after="0"/>
              <w:rPr>
                <w:sz w:val="20"/>
                <w:szCs w:val="20"/>
                <w:color w:val="auto"/>
              </w:rPr>
            </w:pPr>
            <w:r>
              <w:rPr>
                <w:rFonts w:ascii="Arial" w:cs="Arial" w:eastAsia="Arial" w:hAnsi="Arial"/>
                <w:sz w:val="16"/>
                <w:szCs w:val="16"/>
                <w:color w:val="auto"/>
              </w:rPr>
              <w:t>295</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270</w:t>
            </w:r>
          </w:p>
        </w:tc>
      </w:tr>
      <w:tr>
        <w:trPr>
          <w:trHeight w:val="216"/>
        </w:trPr>
        <w:tc>
          <w:tcPr>
            <w:tcW w:w="2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jc w:val="right"/>
              <w:ind w:right="1"/>
              <w:spacing w:after="0"/>
              <w:rPr>
                <w:sz w:val="20"/>
                <w:szCs w:val="20"/>
                <w:color w:val="auto"/>
              </w:rPr>
            </w:pPr>
            <w:r>
              <w:rPr>
                <w:rFonts w:ascii="Arial" w:cs="Arial" w:eastAsia="Arial" w:hAnsi="Arial"/>
                <w:sz w:val="16"/>
                <w:szCs w:val="16"/>
                <w:color w:val="auto"/>
              </w:rPr>
              <w:t>1,927</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1,449</w:t>
            </w:r>
          </w:p>
        </w:tc>
      </w:tr>
      <w:tr>
        <w:trPr>
          <w:trHeight w:val="216"/>
        </w:trPr>
        <w:tc>
          <w:tcPr>
            <w:tcW w:w="2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jc w:val="right"/>
              <w:ind w:right="1"/>
              <w:spacing w:after="0"/>
              <w:rPr>
                <w:sz w:val="20"/>
                <w:szCs w:val="20"/>
                <w:color w:val="auto"/>
              </w:rPr>
            </w:pPr>
            <w:r>
              <w:rPr>
                <w:rFonts w:ascii="Arial" w:cs="Arial" w:eastAsia="Arial" w:hAnsi="Arial"/>
                <w:sz w:val="16"/>
                <w:szCs w:val="16"/>
                <w:color w:val="auto"/>
              </w:rPr>
              <w:t>261</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261</w:t>
            </w:r>
          </w:p>
        </w:tc>
      </w:tr>
      <w:tr>
        <w:trPr>
          <w:trHeight w:val="216"/>
        </w:trPr>
        <w:tc>
          <w:tcPr>
            <w:tcW w:w="2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jc w:val="right"/>
              <w:ind w:right="1"/>
              <w:spacing w:after="0"/>
              <w:rPr>
                <w:sz w:val="20"/>
                <w:szCs w:val="20"/>
                <w:color w:val="auto"/>
              </w:rPr>
            </w:pPr>
            <w:r>
              <w:rPr>
                <w:rFonts w:ascii="Arial" w:cs="Arial" w:eastAsia="Arial" w:hAnsi="Arial"/>
                <w:sz w:val="16"/>
                <w:szCs w:val="16"/>
                <w:color w:val="auto"/>
              </w:rPr>
              <w:t>228</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227</w:t>
            </w:r>
          </w:p>
        </w:tc>
      </w:tr>
      <w:tr>
        <w:trPr>
          <w:trHeight w:val="217"/>
        </w:trPr>
        <w:tc>
          <w:tcPr>
            <w:tcW w:w="29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134</w:t>
            </w:r>
          </w:p>
        </w:tc>
        <w:tc>
          <w:tcPr>
            <w:tcW w:w="100" w:type="dxa"/>
            <w:vAlign w:val="bottom"/>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143</w:t>
            </w:r>
          </w:p>
        </w:tc>
      </w:tr>
      <w:tr>
        <w:trPr>
          <w:trHeight w:val="210"/>
        </w:trPr>
        <w:tc>
          <w:tcPr>
            <w:tcW w:w="294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15,513</w:t>
            </w:r>
          </w:p>
        </w:tc>
        <w:tc>
          <w:tcPr>
            <w:tcW w:w="100" w:type="dxa"/>
            <w:vAlign w:val="bottom"/>
          </w:tcPr>
          <w:p>
            <w:pPr>
              <w:spacing w:after="0"/>
              <w:rPr>
                <w:sz w:val="18"/>
                <w:szCs w:val="18"/>
                <w:color w:val="auto"/>
              </w:rPr>
            </w:pPr>
          </w:p>
        </w:tc>
        <w:tc>
          <w:tcPr>
            <w:tcW w:w="880" w:type="dxa"/>
            <w:vAlign w:val="bottom"/>
            <w:tcBorders>
              <w:bottom w:val="single" w:sz="8" w:color="auto"/>
            </w:tcBorders>
          </w:tcPr>
          <w:p>
            <w:pPr>
              <w:jc w:val="right"/>
              <w:ind w:right="679"/>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8"/>
              </w:rPr>
              <w:t>14,892</w:t>
            </w:r>
          </w:p>
        </w:tc>
      </w:tr>
      <w:tr>
        <w:trPr>
          <w:trHeight w:val="21"/>
        </w:trPr>
        <w:tc>
          <w:tcPr>
            <w:tcW w:w="29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-2470785</wp:posOffset>
            </wp:positionH>
            <wp:positionV relativeFrom="paragraph">
              <wp:posOffset>-1833880</wp:posOffset>
            </wp:positionV>
            <wp:extent cx="7115175" cy="1371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15175" cy="137160"/>
                    </a:xfrm>
                    <a:prstGeom prst="rect">
                      <a:avLst/>
                    </a:prstGeom>
                    <a:noFill/>
                  </pic:spPr>
                </pic:pic>
              </a:graphicData>
            </a:graphic>
          </wp:anchor>
        </w:drawing>
        <w:drawing>
          <wp:anchor simplePos="0" relativeHeight="251657728" behindDoc="1" locked="0" layoutInCell="0" allowOverlap="1">
            <wp:simplePos x="0" y="0"/>
            <wp:positionH relativeFrom="column">
              <wp:posOffset>-2470785</wp:posOffset>
            </wp:positionH>
            <wp:positionV relativeFrom="paragraph">
              <wp:posOffset>-1559560</wp:posOffset>
            </wp:positionV>
            <wp:extent cx="7115175" cy="1371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15175" cy="137160"/>
                    </a:xfrm>
                    <a:prstGeom prst="rect">
                      <a:avLst/>
                    </a:prstGeom>
                    <a:noFill/>
                  </pic:spPr>
                </pic:pic>
              </a:graphicData>
            </a:graphic>
          </wp:anchor>
        </w:drawing>
        <w:drawing>
          <wp:anchor simplePos="0" relativeHeight="251657728" behindDoc="1" locked="0" layoutInCell="0" allowOverlap="1">
            <wp:simplePos x="0" y="0"/>
            <wp:positionH relativeFrom="column">
              <wp:posOffset>-2470785</wp:posOffset>
            </wp:positionH>
            <wp:positionV relativeFrom="paragraph">
              <wp:posOffset>-1285240</wp:posOffset>
            </wp:positionV>
            <wp:extent cx="7115175" cy="1371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15175" cy="137160"/>
                    </a:xfrm>
                    <a:prstGeom prst="rect">
                      <a:avLst/>
                    </a:prstGeom>
                    <a:noFill/>
                  </pic:spPr>
                </pic:pic>
              </a:graphicData>
            </a:graphic>
          </wp:anchor>
        </w:drawing>
        <w:drawing>
          <wp:anchor simplePos="0" relativeHeight="251657728" behindDoc="1" locked="0" layoutInCell="0" allowOverlap="1">
            <wp:simplePos x="0" y="0"/>
            <wp:positionH relativeFrom="column">
              <wp:posOffset>-2470785</wp:posOffset>
            </wp:positionH>
            <wp:positionV relativeFrom="paragraph">
              <wp:posOffset>-1010920</wp:posOffset>
            </wp:positionV>
            <wp:extent cx="7115175" cy="1454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15175" cy="145415"/>
                    </a:xfrm>
                    <a:prstGeom prst="rect">
                      <a:avLst/>
                    </a:prstGeom>
                    <a:noFill/>
                  </pic:spPr>
                </pic:pic>
              </a:graphicData>
            </a:graphic>
          </wp:anchor>
        </w:drawing>
        <w:drawing>
          <wp:anchor simplePos="0" relativeHeight="251657728" behindDoc="1" locked="0" layoutInCell="0" allowOverlap="1">
            <wp:simplePos x="0" y="0"/>
            <wp:positionH relativeFrom="column">
              <wp:posOffset>-2470785</wp:posOffset>
            </wp:positionH>
            <wp:positionV relativeFrom="paragraph">
              <wp:posOffset>-728345</wp:posOffset>
            </wp:positionV>
            <wp:extent cx="7115175" cy="1371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15175" cy="137160"/>
                    </a:xfrm>
                    <a:prstGeom prst="rect">
                      <a:avLst/>
                    </a:prstGeom>
                    <a:noFill/>
                  </pic:spPr>
                </pic:pic>
              </a:graphicData>
            </a:graphic>
          </wp:anchor>
        </w:drawing>
        <w:drawing>
          <wp:anchor simplePos="0" relativeHeight="251657728" behindDoc="1" locked="0" layoutInCell="0" allowOverlap="1">
            <wp:simplePos x="0" y="0"/>
            <wp:positionH relativeFrom="column">
              <wp:posOffset>-2470785</wp:posOffset>
            </wp:positionH>
            <wp:positionV relativeFrom="paragraph">
              <wp:posOffset>-453390</wp:posOffset>
            </wp:positionV>
            <wp:extent cx="7115175" cy="1371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15175" cy="137160"/>
                    </a:xfrm>
                    <a:prstGeom prst="rect">
                      <a:avLst/>
                    </a:prstGeom>
                    <a:noFill/>
                  </pic:spPr>
                </pic:pic>
              </a:graphicData>
            </a:graphic>
          </wp:anchor>
        </w:drawing>
        <w:drawing>
          <wp:anchor simplePos="0" relativeHeight="251657728" behindDoc="1" locked="0" layoutInCell="0" allowOverlap="1">
            <wp:simplePos x="0" y="0"/>
            <wp:positionH relativeFrom="column">
              <wp:posOffset>-2470785</wp:posOffset>
            </wp:positionH>
            <wp:positionV relativeFrom="paragraph">
              <wp:posOffset>-179070</wp:posOffset>
            </wp:positionV>
            <wp:extent cx="7115175" cy="1631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15175" cy="163195"/>
                    </a:xfrm>
                    <a:prstGeom prst="rect">
                      <a:avLst/>
                    </a:prstGeom>
                    <a:noFill/>
                  </pic:spPr>
                </pic:pic>
              </a:graphicData>
            </a:graphic>
          </wp:anchor>
        </w:drawing>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LIABILITIES AND STOCKHOLDERS’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-2470785</wp:posOffset>
            </wp:positionH>
            <wp:positionV relativeFrom="paragraph">
              <wp:posOffset>-115570</wp:posOffset>
            </wp:positionV>
            <wp:extent cx="7115175" cy="1371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15175" cy="137160"/>
                    </a:xfrm>
                    <a:prstGeom prst="rect">
                      <a:avLst/>
                    </a:prstGeom>
                    <a:noFill/>
                  </pic:spPr>
                </pic:pic>
              </a:graphicData>
            </a:graphic>
          </wp:anchor>
        </w:drawing>
      </w:r>
    </w:p>
    <w:p>
      <w:pPr>
        <w:spacing w:after="0" w:line="39" w:lineRule="exact"/>
        <w:rPr>
          <w:sz w:val="20"/>
          <w:szCs w:val="20"/>
          <w:color w:val="auto"/>
        </w:rPr>
      </w:pPr>
    </w:p>
    <w:p>
      <w:pPr>
        <w:sectPr>
          <w:pgSz w:w="11900" w:h="16838" w:orient="portrait"/>
          <w:cols w:equalWidth="0" w:num="2">
            <w:col w:w="3620" w:space="280"/>
            <w:col w:w="7340"/>
          </w:cols>
          <w:pgMar w:left="320" w:top="122" w:right="339" w:bottom="1440" w:gutter="0" w:footer="0" w:header="0"/>
          <w:type w:val="continuous"/>
        </w:sectPr>
      </w:pPr>
    </w:p>
    <w:tbl>
      <w:tblPr>
        <w:tblLayout w:type="fixed"/>
        <w:tblInd w:w="0" w:type="dxa"/>
        <w:tblCellMar>
          <w:top w:w="0" w:type="dxa"/>
          <w:left w:w="0" w:type="dxa"/>
          <w:bottom w:w="0" w:type="dxa"/>
          <w:right w:w="0" w:type="dxa"/>
        </w:tblCellMar>
      </w:tblPr>
      <w:tr>
        <w:trPr>
          <w:trHeight w:val="210"/>
        </w:trPr>
        <w:tc>
          <w:tcPr>
            <w:tcW w:w="8220" w:type="dxa"/>
            <w:vAlign w:val="bottom"/>
          </w:tcPr>
          <w:p>
            <w:pPr>
              <w:ind w:left="20"/>
              <w:spacing w:after="0"/>
              <w:rPr>
                <w:sz w:val="20"/>
                <w:szCs w:val="20"/>
                <w:color w:val="auto"/>
              </w:rPr>
            </w:pPr>
            <w:r>
              <w:rPr>
                <w:rFonts w:ascii="Arial" w:cs="Arial" w:eastAsia="Arial" w:hAnsi="Arial"/>
                <w:sz w:val="16"/>
                <w:szCs w:val="16"/>
                <w:color w:val="auto"/>
              </w:rPr>
              <w:t>Current liabilities:</w:t>
            </w:r>
          </w:p>
        </w:tc>
        <w:tc>
          <w:tcPr>
            <w:tcW w:w="4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Medical claims and benefits payable</w:t>
            </w:r>
          </w:p>
        </w:tc>
        <w:tc>
          <w:tcPr>
            <w:tcW w:w="48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4,571</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4,204</w:t>
            </w:r>
          </w:p>
        </w:tc>
        <w:tc>
          <w:tcPr>
            <w:tcW w:w="0" w:type="dxa"/>
            <w:vAlign w:val="bottom"/>
          </w:tcPr>
          <w:p>
            <w:pPr>
              <w:spacing w:after="0"/>
              <w:rPr>
                <w:sz w:val="1"/>
                <w:szCs w:val="1"/>
                <w:color w:val="auto"/>
              </w:rPr>
            </w:pPr>
          </w:p>
        </w:tc>
      </w:tr>
      <w:tr>
        <w:trPr>
          <w:trHeight w:val="215"/>
        </w:trPr>
        <w:tc>
          <w:tcPr>
            <w:tcW w:w="8220" w:type="dxa"/>
            <w:vAlign w:val="bottom"/>
          </w:tcPr>
          <w:p>
            <w:pPr>
              <w:ind w:left="140"/>
              <w:spacing w:after="0"/>
              <w:rPr>
                <w:sz w:val="20"/>
                <w:szCs w:val="20"/>
                <w:color w:val="auto"/>
              </w:rPr>
            </w:pPr>
            <w:r>
              <w:rPr>
                <w:rFonts w:ascii="Arial" w:cs="Arial" w:eastAsia="Arial" w:hAnsi="Arial"/>
                <w:sz w:val="16"/>
                <w:szCs w:val="16"/>
                <w:color w:val="auto"/>
              </w:rPr>
              <w:t>Amounts due government agencies</w:t>
            </w:r>
          </w:p>
        </w:tc>
        <w:tc>
          <w:tcPr>
            <w:tcW w:w="4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2,501</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2,294</w:t>
            </w:r>
          </w:p>
        </w:tc>
        <w:tc>
          <w:tcPr>
            <w:tcW w:w="0" w:type="dxa"/>
            <w:vAlign w:val="bottom"/>
          </w:tcPr>
          <w:p>
            <w:pPr>
              <w:spacing w:after="0"/>
              <w:rPr>
                <w:sz w:val="1"/>
                <w:szCs w:val="1"/>
                <w:color w:val="auto"/>
              </w:rPr>
            </w:pPr>
          </w:p>
        </w:tc>
      </w:tr>
      <w:tr>
        <w:trPr>
          <w:trHeight w:val="217"/>
        </w:trPr>
        <w:tc>
          <w:tcPr>
            <w:tcW w:w="82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Accounts payable, accrued liabilities and other</w:t>
            </w:r>
          </w:p>
        </w:tc>
        <w:tc>
          <w:tcPr>
            <w:tcW w:w="4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1,114</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1,252</w:t>
            </w:r>
          </w:p>
        </w:tc>
        <w:tc>
          <w:tcPr>
            <w:tcW w:w="0" w:type="dxa"/>
            <w:vAlign w:val="bottom"/>
          </w:tcPr>
          <w:p>
            <w:pPr>
              <w:spacing w:after="0"/>
              <w:rPr>
                <w:sz w:val="1"/>
                <w:szCs w:val="1"/>
                <w:color w:val="auto"/>
              </w:rPr>
            </w:pPr>
          </w:p>
        </w:tc>
      </w:tr>
      <w:tr>
        <w:trPr>
          <w:trHeight w:val="215"/>
        </w:trPr>
        <w:tc>
          <w:tcPr>
            <w:tcW w:w="822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Deferred revenue</w:t>
            </w:r>
          </w:p>
        </w:tc>
        <w:tc>
          <w:tcPr>
            <w:tcW w:w="4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328</w:t>
            </w:r>
          </w:p>
        </w:tc>
        <w:tc>
          <w:tcPr>
            <w:tcW w:w="10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418</w:t>
            </w:r>
          </w:p>
        </w:tc>
        <w:tc>
          <w:tcPr>
            <w:tcW w:w="0" w:type="dxa"/>
            <w:vAlign w:val="bottom"/>
          </w:tcPr>
          <w:p>
            <w:pPr>
              <w:spacing w:after="0"/>
              <w:rPr>
                <w:sz w:val="1"/>
                <w:szCs w:val="1"/>
                <w:color w:val="auto"/>
              </w:rPr>
            </w:pPr>
          </w:p>
        </w:tc>
      </w:tr>
      <w:tr>
        <w:trPr>
          <w:trHeight w:val="210"/>
        </w:trPr>
        <w:tc>
          <w:tcPr>
            <w:tcW w:w="82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Total current liabilities</w:t>
            </w:r>
          </w:p>
        </w:tc>
        <w:tc>
          <w:tcPr>
            <w:tcW w:w="4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8,514</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8,168</w:t>
            </w:r>
          </w:p>
        </w:tc>
        <w:tc>
          <w:tcPr>
            <w:tcW w:w="0" w:type="dxa"/>
            <w:vAlign w:val="bottom"/>
          </w:tcPr>
          <w:p>
            <w:pPr>
              <w:spacing w:after="0"/>
              <w:rPr>
                <w:sz w:val="1"/>
                <w:szCs w:val="1"/>
                <w:color w:val="auto"/>
              </w:rPr>
            </w:pPr>
          </w:p>
        </w:tc>
      </w:tr>
      <w:tr>
        <w:trPr>
          <w:trHeight w:val="215"/>
        </w:trPr>
        <w:tc>
          <w:tcPr>
            <w:tcW w:w="8220" w:type="dxa"/>
            <w:vAlign w:val="bottom"/>
          </w:tcPr>
          <w:p>
            <w:pPr>
              <w:ind w:left="20"/>
              <w:spacing w:after="0"/>
              <w:rPr>
                <w:sz w:val="20"/>
                <w:szCs w:val="20"/>
                <w:color w:val="auto"/>
              </w:rPr>
            </w:pPr>
            <w:r>
              <w:rPr>
                <w:rFonts w:ascii="Arial" w:cs="Arial" w:eastAsia="Arial" w:hAnsi="Arial"/>
                <w:sz w:val="16"/>
                <w:szCs w:val="16"/>
                <w:color w:val="auto"/>
              </w:rPr>
              <w:t>Long-term debt</w:t>
            </w:r>
          </w:p>
        </w:tc>
        <w:tc>
          <w:tcPr>
            <w:tcW w:w="4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2,180</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2,180</w:t>
            </w:r>
          </w:p>
        </w:tc>
        <w:tc>
          <w:tcPr>
            <w:tcW w:w="0" w:type="dxa"/>
            <w:vAlign w:val="bottom"/>
          </w:tcPr>
          <w:p>
            <w:pPr>
              <w:spacing w:after="0"/>
              <w:rPr>
                <w:sz w:val="1"/>
                <w:szCs w:val="1"/>
                <w:color w:val="auto"/>
              </w:rPr>
            </w:pPr>
          </w:p>
        </w:tc>
      </w:tr>
      <w:tr>
        <w:trPr>
          <w:trHeight w:val="217"/>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Finance lease liabilities</w:t>
            </w:r>
          </w:p>
        </w:tc>
        <w:tc>
          <w:tcPr>
            <w:tcW w:w="4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202</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205</w:t>
            </w:r>
          </w:p>
        </w:tc>
        <w:tc>
          <w:tcPr>
            <w:tcW w:w="0" w:type="dxa"/>
            <w:vAlign w:val="bottom"/>
          </w:tcPr>
          <w:p>
            <w:pPr>
              <w:spacing w:after="0"/>
              <w:rPr>
                <w:sz w:val="1"/>
                <w:szCs w:val="1"/>
                <w:color w:val="auto"/>
              </w:rPr>
            </w:pPr>
          </w:p>
        </w:tc>
      </w:tr>
      <w:tr>
        <w:trPr>
          <w:trHeight w:val="215"/>
        </w:trPr>
        <w:tc>
          <w:tcPr>
            <w:tcW w:w="82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long-term liabilities</w:t>
            </w:r>
          </w:p>
        </w:tc>
        <w:tc>
          <w:tcPr>
            <w:tcW w:w="4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124</w:t>
            </w:r>
          </w:p>
        </w:tc>
        <w:tc>
          <w:tcPr>
            <w:tcW w:w="10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124</w:t>
            </w:r>
          </w:p>
        </w:tc>
        <w:tc>
          <w:tcPr>
            <w:tcW w:w="0" w:type="dxa"/>
            <w:vAlign w:val="bottom"/>
          </w:tcPr>
          <w:p>
            <w:pPr>
              <w:spacing w:after="0"/>
              <w:rPr>
                <w:sz w:val="1"/>
                <w:szCs w:val="1"/>
                <w:color w:val="auto"/>
              </w:rPr>
            </w:pPr>
          </w:p>
        </w:tc>
      </w:tr>
      <w:tr>
        <w:trPr>
          <w:trHeight w:val="210"/>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liabilities</w:t>
            </w:r>
          </w:p>
        </w:tc>
        <w:tc>
          <w:tcPr>
            <w:tcW w:w="4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11,020</w:t>
            </w:r>
          </w:p>
        </w:tc>
        <w:tc>
          <w:tcPr>
            <w:tcW w:w="10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10,677</w:t>
            </w:r>
          </w:p>
        </w:tc>
        <w:tc>
          <w:tcPr>
            <w:tcW w:w="0" w:type="dxa"/>
            <w:vAlign w:val="bottom"/>
          </w:tcPr>
          <w:p>
            <w:pPr>
              <w:spacing w:after="0"/>
              <w:rPr>
                <w:sz w:val="1"/>
                <w:szCs w:val="1"/>
                <w:color w:val="auto"/>
              </w:rPr>
            </w:pPr>
          </w:p>
        </w:tc>
      </w:tr>
      <w:tr>
        <w:trPr>
          <w:trHeight w:val="195"/>
        </w:trPr>
        <w:tc>
          <w:tcPr>
            <w:tcW w:w="8220" w:type="dxa"/>
            <w:vAlign w:val="bottom"/>
          </w:tcPr>
          <w:p>
            <w:pPr>
              <w:ind w:left="20"/>
              <w:spacing w:after="0"/>
              <w:rPr>
                <w:sz w:val="20"/>
                <w:szCs w:val="20"/>
                <w:color w:val="auto"/>
              </w:rPr>
            </w:pPr>
            <w:r>
              <w:rPr>
                <w:rFonts w:ascii="Arial" w:cs="Arial" w:eastAsia="Arial" w:hAnsi="Arial"/>
                <w:sz w:val="16"/>
                <w:szCs w:val="16"/>
                <w:color w:val="auto"/>
              </w:rPr>
              <w:t>Stockholders’ equity:</w:t>
            </w:r>
          </w:p>
        </w:tc>
        <w:tc>
          <w:tcPr>
            <w:tcW w:w="4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8220" w:type="dxa"/>
            <w:vAlign w:val="bottom"/>
            <w:shd w:val="clear" w:color="auto" w:fill="CCEEFF"/>
          </w:tcPr>
          <w:p>
            <w:pPr>
              <w:ind w:left="140"/>
              <w:spacing w:after="0" w:line="163" w:lineRule="exact"/>
              <w:rPr>
                <w:sz w:val="20"/>
                <w:szCs w:val="20"/>
                <w:color w:val="auto"/>
              </w:rPr>
            </w:pPr>
            <w:r>
              <w:rPr>
                <w:rFonts w:ascii="Arial" w:cs="Arial" w:eastAsia="Arial" w:hAnsi="Arial"/>
                <w:sz w:val="16"/>
                <w:szCs w:val="16"/>
                <w:color w:val="auto"/>
              </w:rPr>
              <w:t>Common stock, $0.001 par value, 150 million shares authorized; outstanding: 59 million shares at March 31,</w:t>
            </w:r>
          </w:p>
        </w:tc>
        <w:tc>
          <w:tcPr>
            <w:tcW w:w="480" w:type="dxa"/>
            <w:vAlign w:val="bottom"/>
            <w:shd w:val="clear" w:color="auto" w:fill="CCEEFF"/>
          </w:tcPr>
          <w:p>
            <w:pPr>
              <w:spacing w:after="0"/>
              <w:rPr>
                <w:sz w:val="14"/>
                <w:szCs w:val="14"/>
                <w:color w:val="auto"/>
              </w:rPr>
            </w:pPr>
          </w:p>
        </w:tc>
        <w:tc>
          <w:tcPr>
            <w:tcW w:w="10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spacing w:after="0"/>
              <w:rPr>
                <w:sz w:val="14"/>
                <w:szCs w:val="14"/>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8220" w:type="dxa"/>
            <w:vAlign w:val="bottom"/>
            <w:shd w:val="clear" w:color="auto" w:fill="CCEEFF"/>
          </w:tcPr>
          <w:p>
            <w:pPr>
              <w:ind w:left="300"/>
              <w:spacing w:after="0"/>
              <w:rPr>
                <w:sz w:val="20"/>
                <w:szCs w:val="20"/>
                <w:color w:val="auto"/>
              </w:rPr>
            </w:pPr>
            <w:r>
              <w:rPr>
                <w:rFonts w:ascii="Arial" w:cs="Arial" w:eastAsia="Arial" w:hAnsi="Arial"/>
                <w:sz w:val="16"/>
                <w:szCs w:val="16"/>
                <w:color w:val="auto"/>
              </w:rPr>
              <w:t>2024 and 58 million at December 31, 2023</w:t>
            </w:r>
          </w:p>
        </w:tc>
        <w:tc>
          <w:tcPr>
            <w:tcW w:w="480" w:type="dxa"/>
            <w:vAlign w:val="bottom"/>
            <w:shd w:val="clear" w:color="auto" w:fill="CCEEFF"/>
          </w:tcPr>
          <w:p>
            <w:pPr>
              <w:spacing w:after="0"/>
              <w:rPr>
                <w:sz w:val="18"/>
                <w:szCs w:val="18"/>
                <w:color w:val="auto"/>
              </w:rPr>
            </w:pPr>
          </w:p>
        </w:tc>
        <w:tc>
          <w:tcPr>
            <w:tcW w:w="1060" w:type="dxa"/>
            <w:vAlign w:val="bottom"/>
            <w:gridSpan w:val="2"/>
            <w:vMerge w:val="continue"/>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220" w:type="dxa"/>
            <w:vAlign w:val="bottom"/>
          </w:tcPr>
          <w:p>
            <w:pPr>
              <w:ind w:left="140"/>
              <w:spacing w:after="0"/>
              <w:rPr>
                <w:sz w:val="20"/>
                <w:szCs w:val="20"/>
                <w:color w:val="auto"/>
              </w:rPr>
            </w:pPr>
            <w:r>
              <w:rPr>
                <w:rFonts w:ascii="Arial" w:cs="Arial" w:eastAsia="Arial" w:hAnsi="Arial"/>
                <w:sz w:val="16"/>
                <w:szCs w:val="16"/>
                <w:color w:val="auto"/>
              </w:rPr>
              <w:t>Preferred stock, $0.001 par value; 20 million shares authorized, no shares issued and outstanding</w:t>
            </w:r>
          </w:p>
        </w:tc>
        <w:tc>
          <w:tcPr>
            <w:tcW w:w="48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82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Additional paid-in capital</w:t>
            </w:r>
          </w:p>
        </w:tc>
        <w:tc>
          <w:tcPr>
            <w:tcW w:w="4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390</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410</w:t>
            </w:r>
          </w:p>
        </w:tc>
        <w:tc>
          <w:tcPr>
            <w:tcW w:w="0" w:type="dxa"/>
            <w:vAlign w:val="bottom"/>
          </w:tcPr>
          <w:p>
            <w:pPr>
              <w:spacing w:after="0"/>
              <w:rPr>
                <w:sz w:val="1"/>
                <w:szCs w:val="1"/>
                <w:color w:val="auto"/>
              </w:rPr>
            </w:pPr>
          </w:p>
        </w:tc>
      </w:tr>
      <w:tr>
        <w:trPr>
          <w:trHeight w:val="215"/>
        </w:trPr>
        <w:tc>
          <w:tcPr>
            <w:tcW w:w="8220" w:type="dxa"/>
            <w:vAlign w:val="bottom"/>
          </w:tcPr>
          <w:p>
            <w:pPr>
              <w:ind w:left="140"/>
              <w:spacing w:after="0"/>
              <w:rPr>
                <w:sz w:val="20"/>
                <w:szCs w:val="20"/>
                <w:color w:val="auto"/>
              </w:rPr>
            </w:pPr>
            <w:r>
              <w:rPr>
                <w:rFonts w:ascii="Arial" w:cs="Arial" w:eastAsia="Arial" w:hAnsi="Arial"/>
                <w:sz w:val="16"/>
                <w:szCs w:val="16"/>
                <w:color w:val="auto"/>
              </w:rPr>
              <w:t>Accumulated other comprehensive loss</w:t>
            </w:r>
          </w:p>
        </w:tc>
        <w:tc>
          <w:tcPr>
            <w:tcW w:w="4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(85)</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(82)</w:t>
            </w:r>
          </w:p>
        </w:tc>
        <w:tc>
          <w:tcPr>
            <w:tcW w:w="0" w:type="dxa"/>
            <w:vAlign w:val="bottom"/>
          </w:tcPr>
          <w:p>
            <w:pPr>
              <w:spacing w:after="0"/>
              <w:rPr>
                <w:sz w:val="1"/>
                <w:szCs w:val="1"/>
                <w:color w:val="auto"/>
              </w:rPr>
            </w:pPr>
          </w:p>
        </w:tc>
      </w:tr>
      <w:tr>
        <w:trPr>
          <w:trHeight w:val="217"/>
        </w:trPr>
        <w:tc>
          <w:tcPr>
            <w:tcW w:w="82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Retained earnings</w:t>
            </w:r>
          </w:p>
        </w:tc>
        <w:tc>
          <w:tcPr>
            <w:tcW w:w="4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4,188</w:t>
            </w:r>
          </w:p>
        </w:tc>
        <w:tc>
          <w:tcPr>
            <w:tcW w:w="10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3,887</w:t>
            </w:r>
          </w:p>
        </w:tc>
        <w:tc>
          <w:tcPr>
            <w:tcW w:w="0" w:type="dxa"/>
            <w:vAlign w:val="bottom"/>
          </w:tcPr>
          <w:p>
            <w:pPr>
              <w:spacing w:after="0"/>
              <w:rPr>
                <w:sz w:val="1"/>
                <w:szCs w:val="1"/>
                <w:color w:val="auto"/>
              </w:rPr>
            </w:pPr>
          </w:p>
        </w:tc>
      </w:tr>
      <w:tr>
        <w:trPr>
          <w:trHeight w:val="209"/>
        </w:trPr>
        <w:tc>
          <w:tcPr>
            <w:tcW w:w="82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Total stockholders’ equity</w:t>
            </w:r>
          </w:p>
        </w:tc>
        <w:tc>
          <w:tcPr>
            <w:tcW w:w="4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4,493</w:t>
            </w:r>
          </w:p>
        </w:tc>
        <w:tc>
          <w:tcPr>
            <w:tcW w:w="10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4,215</w:t>
            </w:r>
          </w:p>
        </w:tc>
        <w:tc>
          <w:tcPr>
            <w:tcW w:w="0" w:type="dxa"/>
            <w:vAlign w:val="bottom"/>
          </w:tcPr>
          <w:p>
            <w:pPr>
              <w:spacing w:after="0"/>
              <w:rPr>
                <w:sz w:val="1"/>
                <w:szCs w:val="1"/>
                <w:color w:val="auto"/>
              </w:rPr>
            </w:pPr>
          </w:p>
        </w:tc>
      </w:tr>
      <w:tr>
        <w:trPr>
          <w:trHeight w:val="235"/>
        </w:trPr>
        <w:tc>
          <w:tcPr>
            <w:tcW w:w="8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liabilities and stockholders’ equity</w:t>
            </w:r>
          </w:p>
        </w:tc>
        <w:tc>
          <w:tcPr>
            <w:tcW w:w="48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15,513</w:t>
            </w: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14,892</w:t>
            </w:r>
          </w:p>
        </w:tc>
        <w:tc>
          <w:tcPr>
            <w:tcW w:w="0" w:type="dxa"/>
            <w:vAlign w:val="bottom"/>
          </w:tcPr>
          <w:p>
            <w:pPr>
              <w:spacing w:after="0"/>
              <w:rPr>
                <w:sz w:val="1"/>
                <w:szCs w:val="1"/>
                <w:color w:val="auto"/>
              </w:rPr>
            </w:pP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6"/>
          <w:szCs w:val="16"/>
          <w:color w:val="auto"/>
        </w:rPr>
        <w:t>See accompanying notes.</w:t>
      </w:r>
    </w:p>
    <w:p>
      <w:pPr>
        <w:spacing w:after="0" w:line="200" w:lineRule="exact"/>
        <w:rPr>
          <w:sz w:val="20"/>
          <w:szCs w:val="20"/>
          <w:color w:val="auto"/>
        </w:rPr>
      </w:pPr>
    </w:p>
    <w:p>
      <w:pPr>
        <w:spacing w:after="0" w:line="36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March 31, 2024 Form 10-Q |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4" w:name="page5"/>
    <w:bookmarkEnd w:id="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22"/>
          <w:szCs w:val="22"/>
          <w:b w:val="1"/>
          <w:bCs w:val="1"/>
          <w:color w:val="0F7C7F"/>
        </w:rPr>
        <w:t>CONSOLIDATED STATEMENTS OF STOCKHOLDERS’ EQUITY</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0" w:type="dxa"/>
            <w:vAlign w:val="bottom"/>
          </w:tcPr>
          <w:p>
            <w:pPr>
              <w:spacing w:after="0"/>
              <w:rPr>
                <w:sz w:val="14"/>
                <w:szCs w:val="14"/>
                <w:color w:val="auto"/>
              </w:rPr>
            </w:pPr>
          </w:p>
        </w:tc>
        <w:tc>
          <w:tcPr>
            <w:tcW w:w="2280" w:type="dxa"/>
            <w:vAlign w:val="bottom"/>
            <w:gridSpan w:val="7"/>
          </w:tcPr>
          <w:p>
            <w:pPr>
              <w:ind w:left="560"/>
              <w:spacing w:after="0"/>
              <w:rPr>
                <w:sz w:val="20"/>
                <w:szCs w:val="20"/>
                <w:color w:val="auto"/>
              </w:rPr>
            </w:pPr>
            <w:r>
              <w:rPr>
                <w:rFonts w:ascii="Arial" w:cs="Arial" w:eastAsia="Arial" w:hAnsi="Arial"/>
                <w:sz w:val="14"/>
                <w:szCs w:val="14"/>
                <w:b w:val="1"/>
                <w:bCs w:val="1"/>
                <w:color w:val="auto"/>
              </w:rPr>
              <w:t>Common Stock</w:t>
            </w:r>
          </w:p>
        </w:tc>
        <w:tc>
          <w:tcPr>
            <w:tcW w:w="140" w:type="dxa"/>
            <w:vAlign w:val="bottom"/>
          </w:tcPr>
          <w:p>
            <w:pPr>
              <w:spacing w:after="0"/>
              <w:rPr>
                <w:sz w:val="14"/>
                <w:szCs w:val="14"/>
                <w:color w:val="auto"/>
              </w:rPr>
            </w:pPr>
          </w:p>
        </w:tc>
        <w:tc>
          <w:tcPr>
            <w:tcW w:w="900" w:type="dxa"/>
            <w:vAlign w:val="bottom"/>
          </w:tcPr>
          <w:p>
            <w:pPr>
              <w:jc w:val="center"/>
              <w:ind w:right="43"/>
              <w:spacing w:after="0"/>
              <w:rPr>
                <w:sz w:val="20"/>
                <w:szCs w:val="20"/>
                <w:color w:val="auto"/>
              </w:rPr>
            </w:pPr>
            <w:r>
              <w:rPr>
                <w:rFonts w:ascii="Arial" w:cs="Arial" w:eastAsia="Arial" w:hAnsi="Arial"/>
                <w:sz w:val="14"/>
                <w:szCs w:val="14"/>
                <w:b w:val="1"/>
                <w:bCs w:val="1"/>
                <w:color w:val="auto"/>
              </w:rPr>
              <w:t>Additional</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rPr>
              <w:t>Accumulated</w:t>
            </w: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3800" w:type="dxa"/>
            <w:vAlign w:val="bottom"/>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900" w:type="dxa"/>
            <w:vAlign w:val="bottom"/>
            <w:vMerge w:val="restart"/>
          </w:tcPr>
          <w:p>
            <w:pPr>
              <w:jc w:val="center"/>
              <w:ind w:right="23"/>
              <w:spacing w:after="0" w:line="139" w:lineRule="exact"/>
              <w:rPr>
                <w:sz w:val="20"/>
                <w:szCs w:val="20"/>
                <w:color w:val="auto"/>
              </w:rPr>
            </w:pPr>
            <w:r>
              <w:rPr>
                <w:rFonts w:ascii="Arial" w:cs="Arial" w:eastAsia="Arial" w:hAnsi="Arial"/>
                <w:sz w:val="14"/>
                <w:szCs w:val="14"/>
                <w:b w:val="1"/>
                <w:bCs w:val="1"/>
                <w:color w:val="auto"/>
              </w:rPr>
              <w:t>Paid-in</w:t>
            </w: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0" w:type="dxa"/>
            <w:vAlign w:val="bottom"/>
            <w:vMerge w:val="restart"/>
          </w:tcPr>
          <w:p>
            <w:pPr>
              <w:jc w:val="center"/>
              <w:ind w:left="427"/>
              <w:spacing w:after="0" w:line="139" w:lineRule="exact"/>
              <w:rPr>
                <w:sz w:val="20"/>
                <w:szCs w:val="20"/>
                <w:color w:val="auto"/>
              </w:rPr>
            </w:pPr>
            <w:r>
              <w:rPr>
                <w:rFonts w:ascii="Arial" w:cs="Arial" w:eastAsia="Arial" w:hAnsi="Arial"/>
                <w:sz w:val="14"/>
                <w:szCs w:val="14"/>
                <w:b w:val="1"/>
                <w:bCs w:val="1"/>
                <w:color w:val="auto"/>
              </w:rPr>
              <w:t>Other</w:t>
            </w:r>
          </w:p>
        </w:tc>
        <w:tc>
          <w:tcPr>
            <w:tcW w:w="48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40" w:type="dxa"/>
            <w:vAlign w:val="bottom"/>
            <w:gridSpan w:val="4"/>
            <w:vMerge w:val="restart"/>
          </w:tcPr>
          <w:p>
            <w:pPr>
              <w:ind w:left="80"/>
              <w:spacing w:after="0" w:line="139" w:lineRule="exact"/>
              <w:rPr>
                <w:sz w:val="20"/>
                <w:szCs w:val="20"/>
                <w:color w:val="auto"/>
              </w:rPr>
            </w:pPr>
            <w:r>
              <w:rPr>
                <w:rFonts w:ascii="Arial" w:cs="Arial" w:eastAsia="Arial" w:hAnsi="Arial"/>
                <w:sz w:val="14"/>
                <w:szCs w:val="14"/>
                <w:b w:val="1"/>
                <w:bCs w:val="1"/>
                <w:color w:val="auto"/>
              </w:rPr>
              <w:t>Retained</w:t>
            </w:r>
          </w:p>
        </w:tc>
        <w:tc>
          <w:tcPr>
            <w:tcW w:w="240" w:type="dxa"/>
            <w:vAlign w:val="bottom"/>
          </w:tcPr>
          <w:p>
            <w:pPr>
              <w:spacing w:after="0"/>
              <w:rPr>
                <w:sz w:val="4"/>
                <w:szCs w:val="4"/>
                <w:color w:val="auto"/>
              </w:rPr>
            </w:pPr>
          </w:p>
        </w:tc>
        <w:tc>
          <w:tcPr>
            <w:tcW w:w="86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5"/>
        </w:trPr>
        <w:tc>
          <w:tcPr>
            <w:tcW w:w="3800" w:type="dxa"/>
            <w:vAlign w:val="bottom"/>
          </w:tcPr>
          <w:p>
            <w:pPr>
              <w:spacing w:after="0"/>
              <w:rPr>
                <w:sz w:val="5"/>
                <w:szCs w:val="5"/>
                <w:color w:val="auto"/>
              </w:rPr>
            </w:pPr>
          </w:p>
        </w:tc>
        <w:tc>
          <w:tcPr>
            <w:tcW w:w="1180" w:type="dxa"/>
            <w:vAlign w:val="bottom"/>
            <w:vMerge w:val="restart"/>
          </w:tcPr>
          <w:p>
            <w:pPr>
              <w:jc w:val="right"/>
              <w:ind w:right="82"/>
              <w:spacing w:after="0"/>
              <w:rPr>
                <w:sz w:val="20"/>
                <w:szCs w:val="20"/>
                <w:color w:val="auto"/>
              </w:rPr>
            </w:pPr>
            <w:r>
              <w:rPr>
                <w:rFonts w:ascii="Arial" w:cs="Arial" w:eastAsia="Arial" w:hAnsi="Arial"/>
                <w:sz w:val="14"/>
                <w:szCs w:val="14"/>
                <w:b w:val="1"/>
                <w:bCs w:val="1"/>
                <w:color w:val="auto"/>
              </w:rPr>
              <w:t>Outstanding</w:t>
            </w:r>
          </w:p>
        </w:tc>
        <w:tc>
          <w:tcPr>
            <w:tcW w:w="100" w:type="dxa"/>
            <w:vAlign w:val="bottom"/>
            <w:vMerge w:val="restart"/>
          </w:tcPr>
          <w:p>
            <w:pPr>
              <w:spacing w:after="0"/>
              <w:rPr>
                <w:sz w:val="5"/>
                <w:szCs w:val="5"/>
                <w:color w:val="auto"/>
              </w:rPr>
            </w:pPr>
          </w:p>
        </w:tc>
        <w:tc>
          <w:tcPr>
            <w:tcW w:w="140" w:type="dxa"/>
            <w:vAlign w:val="bottom"/>
          </w:tcPr>
          <w:p>
            <w:pPr>
              <w:spacing w:after="0"/>
              <w:rPr>
                <w:sz w:val="5"/>
                <w:szCs w:val="5"/>
                <w:color w:val="auto"/>
              </w:rPr>
            </w:pPr>
          </w:p>
        </w:tc>
        <w:tc>
          <w:tcPr>
            <w:tcW w:w="7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Amount</w:t>
            </w:r>
          </w:p>
        </w:tc>
        <w:tc>
          <w:tcPr>
            <w:tcW w:w="100" w:type="dxa"/>
            <w:vAlign w:val="bottom"/>
            <w:gridSpan w:val="2"/>
            <w:vMerge w:val="restart"/>
          </w:tcPr>
          <w:p>
            <w:pPr>
              <w:spacing w:after="0"/>
              <w:rPr>
                <w:sz w:val="5"/>
                <w:szCs w:val="5"/>
                <w:color w:val="auto"/>
              </w:rPr>
            </w:pPr>
          </w:p>
        </w:tc>
        <w:tc>
          <w:tcPr>
            <w:tcW w:w="140" w:type="dxa"/>
            <w:vAlign w:val="bottom"/>
          </w:tcPr>
          <w:p>
            <w:pPr>
              <w:spacing w:after="0"/>
              <w:rPr>
                <w:sz w:val="5"/>
                <w:szCs w:val="5"/>
                <w:color w:val="auto"/>
              </w:rPr>
            </w:pPr>
          </w:p>
        </w:tc>
        <w:tc>
          <w:tcPr>
            <w:tcW w:w="90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0" w:type="dxa"/>
            <w:vAlign w:val="bottom"/>
            <w:vMerge w:val="continue"/>
          </w:tcPr>
          <w:p>
            <w:pPr>
              <w:spacing w:after="0"/>
              <w:rPr>
                <w:sz w:val="5"/>
                <w:szCs w:val="5"/>
                <w:color w:val="auto"/>
              </w:rPr>
            </w:pPr>
          </w:p>
        </w:tc>
        <w:tc>
          <w:tcPr>
            <w:tcW w:w="48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40" w:type="dxa"/>
            <w:vAlign w:val="bottom"/>
            <w:gridSpan w:val="4"/>
            <w:vMerge w:val="continue"/>
          </w:tcPr>
          <w:p>
            <w:pPr>
              <w:spacing w:after="0"/>
              <w:rPr>
                <w:sz w:val="5"/>
                <w:szCs w:val="5"/>
                <w:color w:val="auto"/>
              </w:rPr>
            </w:pPr>
          </w:p>
        </w:tc>
        <w:tc>
          <w:tcPr>
            <w:tcW w:w="240" w:type="dxa"/>
            <w:vAlign w:val="bottom"/>
          </w:tcPr>
          <w:p>
            <w:pPr>
              <w:spacing w:after="0"/>
              <w:rPr>
                <w:sz w:val="5"/>
                <w:szCs w:val="5"/>
                <w:color w:val="auto"/>
              </w:rPr>
            </w:pPr>
          </w:p>
        </w:tc>
        <w:tc>
          <w:tcPr>
            <w:tcW w:w="92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5"/>
        </w:trPr>
        <w:tc>
          <w:tcPr>
            <w:tcW w:w="3800" w:type="dxa"/>
            <w:vAlign w:val="bottom"/>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gridSpan w:val="2"/>
            <w:vMerge w:val="continue"/>
          </w:tcPr>
          <w:p>
            <w:pPr>
              <w:spacing w:after="0"/>
              <w:rPr>
                <w:sz w:val="16"/>
                <w:szCs w:val="16"/>
                <w:color w:val="auto"/>
              </w:rPr>
            </w:pPr>
          </w:p>
        </w:tc>
        <w:tc>
          <w:tcPr>
            <w:tcW w:w="100" w:type="dxa"/>
            <w:vAlign w:val="bottom"/>
            <w:gridSpan w:val="2"/>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ind w:right="23"/>
              <w:spacing w:after="0"/>
              <w:rPr>
                <w:sz w:val="20"/>
                <w:szCs w:val="20"/>
                <w:color w:val="auto"/>
              </w:rPr>
            </w:pPr>
            <w:r>
              <w:rPr>
                <w:rFonts w:ascii="Arial" w:cs="Arial" w:eastAsia="Arial" w:hAnsi="Arial"/>
                <w:sz w:val="14"/>
                <w:szCs w:val="14"/>
                <w:b w:val="1"/>
                <w:bCs w:val="1"/>
                <w:color w:val="auto"/>
              </w:rPr>
              <w:t>Capital</w:t>
            </w:r>
          </w:p>
        </w:tc>
        <w:tc>
          <w:tcPr>
            <w:tcW w:w="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50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rPr>
              <w:t>Comprehensive Loss</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Earnings</w:t>
            </w:r>
          </w:p>
        </w:tc>
        <w:tc>
          <w:tcPr>
            <w:tcW w:w="100" w:type="dxa"/>
            <w:vAlign w:val="bottom"/>
            <w:gridSpan w:val="2"/>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8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40" w:type="dxa"/>
            <w:vAlign w:val="bottom"/>
            <w:gridSpan w:val="6"/>
          </w:tcPr>
          <w:p>
            <w:pPr>
              <w:jc w:val="right"/>
              <w:ind w:right="267"/>
              <w:spacing w:after="0"/>
              <w:rPr>
                <w:sz w:val="20"/>
                <w:szCs w:val="20"/>
                <w:color w:val="auto"/>
              </w:rPr>
            </w:pPr>
            <w:r>
              <w:rPr>
                <w:rFonts w:ascii="Arial" w:cs="Arial" w:eastAsia="Arial" w:hAnsi="Arial"/>
                <w:sz w:val="14"/>
                <w:szCs w:val="14"/>
                <w:b w:val="1"/>
                <w:bCs w:val="1"/>
                <w:color w:val="auto"/>
              </w:rPr>
              <w:t>(In millions)</w:t>
            </w:r>
          </w:p>
        </w:tc>
        <w:tc>
          <w:tcPr>
            <w:tcW w:w="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38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140" w:type="dxa"/>
            <w:vAlign w:val="bottom"/>
            <w:gridSpan w:val="5"/>
          </w:tcPr>
          <w:p>
            <w:pPr>
              <w:jc w:val="right"/>
              <w:ind w:right="267"/>
              <w:spacing w:after="0"/>
              <w:rPr>
                <w:sz w:val="20"/>
                <w:szCs w:val="20"/>
                <w:color w:val="auto"/>
              </w:rPr>
            </w:pPr>
            <w:r>
              <w:rPr>
                <w:rFonts w:ascii="Arial" w:cs="Arial" w:eastAsia="Arial" w:hAnsi="Arial"/>
                <w:sz w:val="14"/>
                <w:szCs w:val="14"/>
                <w:b w:val="1"/>
                <w:bCs w:val="1"/>
                <w:color w:val="auto"/>
              </w:rPr>
              <w:t>(Unaudited)</w:t>
            </w:r>
          </w:p>
        </w:tc>
        <w:tc>
          <w:tcPr>
            <w:tcW w:w="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3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at December 31, 2023</w:t>
            </w:r>
          </w:p>
        </w:tc>
        <w:tc>
          <w:tcPr>
            <w:tcW w:w="11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58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gridSpan w:val="4"/>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410</w:t>
            </w:r>
          </w:p>
        </w:tc>
        <w:tc>
          <w:tcPr>
            <w:tcW w:w="1140" w:type="dxa"/>
            <w:vAlign w:val="bottom"/>
            <w:gridSpan w:val="5"/>
            <w:shd w:val="clear" w:color="auto" w:fill="CCEEFF"/>
          </w:tcPr>
          <w:p>
            <w:pPr>
              <w:jc w:val="right"/>
              <w:ind w:right="827"/>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3,887</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4,215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800" w:type="dxa"/>
            <w:vAlign w:val="bottom"/>
          </w:tcPr>
          <w:p>
            <w:pPr>
              <w:ind w:left="140"/>
              <w:spacing w:after="0"/>
              <w:rPr>
                <w:sz w:val="20"/>
                <w:szCs w:val="20"/>
                <w:color w:val="auto"/>
              </w:rPr>
            </w:pPr>
            <w:r>
              <w:rPr>
                <w:rFonts w:ascii="Arial" w:cs="Arial" w:eastAsia="Arial" w:hAnsi="Arial"/>
                <w:sz w:val="16"/>
                <w:szCs w:val="16"/>
                <w:color w:val="auto"/>
              </w:rPr>
              <w:t>Net income</w:t>
            </w: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60" w:type="dxa"/>
            <w:vAlign w:val="bottom"/>
            <w:gridSpan w:val="4"/>
          </w:tcPr>
          <w:p>
            <w:pPr>
              <w:ind w:left="5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0" w:type="dxa"/>
            <w:vAlign w:val="bottom"/>
            <w:gridSpan w:val="3"/>
          </w:tcPr>
          <w:p>
            <w:pPr>
              <w:ind w:left="2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301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301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8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comprehensive loss, net</w:t>
            </w: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860" w:type="dxa"/>
            <w:vAlign w:val="bottom"/>
            <w:gridSpan w:val="4"/>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4"/>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15"/>
        </w:trPr>
        <w:tc>
          <w:tcPr>
            <w:tcW w:w="3800" w:type="dxa"/>
            <w:vAlign w:val="bottom"/>
          </w:tcPr>
          <w:p>
            <w:pPr>
              <w:ind w:left="140"/>
              <w:spacing w:after="0"/>
              <w:rPr>
                <w:sz w:val="20"/>
                <w:szCs w:val="20"/>
                <w:color w:val="auto"/>
              </w:rPr>
            </w:pPr>
            <w:r>
              <w:rPr>
                <w:rFonts w:ascii="Arial" w:cs="Arial" w:eastAsia="Arial" w:hAnsi="Arial"/>
                <w:sz w:val="16"/>
                <w:szCs w:val="16"/>
                <w:color w:val="auto"/>
              </w:rPr>
              <w:t>Share-based compensation</w:t>
            </w:r>
          </w:p>
        </w:tc>
        <w:tc>
          <w:tcPr>
            <w:tcW w:w="1180" w:type="dxa"/>
            <w:vAlign w:val="bottom"/>
          </w:tcPr>
          <w:p>
            <w:pPr>
              <w:jc w:val="right"/>
              <w:ind w:right="2"/>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4"/>
          </w:tcPr>
          <w:p>
            <w:pPr>
              <w:ind w:left="5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(20)</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0" w:type="dxa"/>
            <w:vAlign w:val="bottom"/>
            <w:gridSpan w:val="3"/>
          </w:tcPr>
          <w:p>
            <w:pPr>
              <w:ind w:left="2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040" w:type="dxa"/>
            <w:vAlign w:val="bottom"/>
            <w:gridSpan w:val="4"/>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235"/>
        </w:trPr>
        <w:tc>
          <w:tcPr>
            <w:tcW w:w="38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at March 31, 2024</w:t>
            </w:r>
          </w:p>
        </w:tc>
        <w:tc>
          <w:tcPr>
            <w:tcW w:w="118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59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top w:val="single" w:sz="8" w:color="auto"/>
              <w:bottom w:val="single" w:sz="8" w:color="auto"/>
            </w:tcBorders>
            <w:gridSpan w:val="2"/>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390</w:t>
            </w:r>
          </w:p>
        </w:tc>
        <w:tc>
          <w:tcPr>
            <w:tcW w:w="20" w:type="dxa"/>
            <w:vAlign w:val="bottom"/>
            <w:tcBorders>
              <w:top w:val="single" w:sz="8" w:color="auto"/>
              <w:bottom w:val="single" w:sz="8" w:color="auto"/>
            </w:tcBorders>
            <w:shd w:val="clear" w:color="auto" w:fill="CCEEFF"/>
          </w:tcPr>
          <w:p>
            <w:pPr>
              <w:spacing w:after="0"/>
              <w:rPr>
                <w:sz w:val="20"/>
                <w:szCs w:val="20"/>
                <w:color w:val="auto"/>
              </w:rPr>
            </w:pPr>
          </w:p>
        </w:tc>
        <w:tc>
          <w:tcPr>
            <w:tcW w:w="20" w:type="dxa"/>
            <w:vAlign w:val="bottom"/>
            <w:tcBorders>
              <w:top w:val="single" w:sz="8" w:color="auto"/>
              <w:bottom w:val="single" w:sz="8" w:color="auto"/>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1000" w:type="dxa"/>
            <w:vAlign w:val="bottom"/>
            <w:tcBorders>
              <w:top w:val="single" w:sz="8" w:color="auto"/>
              <w:bottom w:val="single" w:sz="8" w:color="auto"/>
            </w:tcBorders>
            <w:shd w:val="clear" w:color="auto" w:fill="CCEEFF"/>
          </w:tcPr>
          <w:p>
            <w:pPr>
              <w:jc w:val="right"/>
              <w:ind w:right="827"/>
              <w:spacing w:after="0"/>
              <w:rPr>
                <w:sz w:val="20"/>
                <w:szCs w:val="20"/>
                <w:color w:val="auto"/>
              </w:rPr>
            </w:pPr>
            <w:r>
              <w:rPr>
                <w:rFonts w:ascii="Arial" w:cs="Arial" w:eastAsia="Arial" w:hAnsi="Arial"/>
                <w:sz w:val="16"/>
                <w:szCs w:val="16"/>
                <w:color w:val="auto"/>
                <w:w w:val="89"/>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(85)</w:t>
            </w:r>
          </w:p>
        </w:tc>
        <w:tc>
          <w:tcPr>
            <w:tcW w:w="20" w:type="dxa"/>
            <w:vAlign w:val="bottom"/>
            <w:tcBorders>
              <w:top w:val="single" w:sz="8" w:color="auto"/>
              <w:bottom w:val="single" w:sz="8" w:color="auto"/>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4,188</w:t>
            </w:r>
          </w:p>
        </w:tc>
        <w:tc>
          <w:tcPr>
            <w:tcW w:w="20" w:type="dxa"/>
            <w:vAlign w:val="bottom"/>
            <w:tcBorders>
              <w:top w:val="single" w:sz="8" w:color="auto"/>
              <w:bottom w:val="single" w:sz="8" w:color="auto"/>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4,493</w:t>
            </w:r>
          </w:p>
        </w:tc>
        <w:tc>
          <w:tcPr>
            <w:tcW w:w="60" w:type="dxa"/>
            <w:vAlign w:val="bottom"/>
            <w:tcBorders>
              <w:top w:val="single" w:sz="8" w:color="auto"/>
              <w:bottom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8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1"/>
        </w:trPr>
        <w:tc>
          <w:tcPr>
            <w:tcW w:w="38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rPr>
              <w:t>Accumulated</w:t>
            </w: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3800" w:type="dxa"/>
            <w:vAlign w:val="bottom"/>
          </w:tcPr>
          <w:p>
            <w:pPr>
              <w:spacing w:after="0"/>
              <w:rPr>
                <w:sz w:val="13"/>
                <w:szCs w:val="13"/>
                <w:color w:val="auto"/>
              </w:rPr>
            </w:pPr>
          </w:p>
        </w:tc>
        <w:tc>
          <w:tcPr>
            <w:tcW w:w="2280" w:type="dxa"/>
            <w:vAlign w:val="bottom"/>
            <w:gridSpan w:val="7"/>
          </w:tcPr>
          <w:p>
            <w:pPr>
              <w:ind w:left="560"/>
              <w:spacing w:after="0" w:line="158" w:lineRule="exact"/>
              <w:rPr>
                <w:sz w:val="20"/>
                <w:szCs w:val="20"/>
                <w:color w:val="auto"/>
              </w:rPr>
            </w:pPr>
            <w:r>
              <w:rPr>
                <w:rFonts w:ascii="Arial" w:cs="Arial" w:eastAsia="Arial" w:hAnsi="Arial"/>
                <w:sz w:val="14"/>
                <w:szCs w:val="14"/>
                <w:b w:val="1"/>
                <w:bCs w:val="1"/>
                <w:color w:val="auto"/>
              </w:rPr>
              <w:t>Common Stock</w:t>
            </w:r>
          </w:p>
        </w:tc>
        <w:tc>
          <w:tcPr>
            <w:tcW w:w="140" w:type="dxa"/>
            <w:vAlign w:val="bottom"/>
          </w:tcPr>
          <w:p>
            <w:pPr>
              <w:spacing w:after="0"/>
              <w:rPr>
                <w:sz w:val="13"/>
                <w:szCs w:val="13"/>
                <w:color w:val="auto"/>
              </w:rPr>
            </w:pPr>
          </w:p>
        </w:tc>
        <w:tc>
          <w:tcPr>
            <w:tcW w:w="900" w:type="dxa"/>
            <w:vAlign w:val="bottom"/>
          </w:tcPr>
          <w:p>
            <w:pPr>
              <w:jc w:val="center"/>
              <w:ind w:right="43"/>
              <w:spacing w:after="0" w:line="158" w:lineRule="exact"/>
              <w:rPr>
                <w:sz w:val="20"/>
                <w:szCs w:val="20"/>
                <w:color w:val="auto"/>
              </w:rPr>
            </w:pPr>
            <w:r>
              <w:rPr>
                <w:rFonts w:ascii="Arial" w:cs="Arial" w:eastAsia="Arial" w:hAnsi="Arial"/>
                <w:sz w:val="14"/>
                <w:szCs w:val="14"/>
                <w:b w:val="1"/>
                <w:bCs w:val="1"/>
                <w:color w:val="auto"/>
              </w:rPr>
              <w:t>Additional</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0" w:type="dxa"/>
            <w:vAlign w:val="bottom"/>
          </w:tcPr>
          <w:p>
            <w:pPr>
              <w:jc w:val="center"/>
              <w:ind w:left="387"/>
              <w:spacing w:after="0" w:line="158" w:lineRule="exact"/>
              <w:rPr>
                <w:sz w:val="20"/>
                <w:szCs w:val="20"/>
                <w:color w:val="auto"/>
              </w:rPr>
            </w:pPr>
            <w:r>
              <w:rPr>
                <w:rFonts w:ascii="Arial" w:cs="Arial" w:eastAsia="Arial" w:hAnsi="Arial"/>
                <w:sz w:val="14"/>
                <w:szCs w:val="14"/>
                <w:b w:val="1"/>
                <w:bCs w:val="1"/>
                <w:color w:val="auto"/>
              </w:rPr>
              <w:t>Other</w:t>
            </w:r>
          </w:p>
        </w:tc>
        <w:tc>
          <w:tcPr>
            <w:tcW w:w="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4"/>
        </w:trPr>
        <w:tc>
          <w:tcPr>
            <w:tcW w:w="3800" w:type="dxa"/>
            <w:vAlign w:val="bottom"/>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900" w:type="dxa"/>
            <w:vAlign w:val="bottom"/>
            <w:vMerge w:val="restart"/>
          </w:tcPr>
          <w:p>
            <w:pPr>
              <w:jc w:val="center"/>
              <w:ind w:right="63"/>
              <w:spacing w:after="0" w:line="135" w:lineRule="exact"/>
              <w:rPr>
                <w:sz w:val="20"/>
                <w:szCs w:val="20"/>
                <w:color w:val="auto"/>
              </w:rPr>
            </w:pPr>
            <w:r>
              <w:rPr>
                <w:rFonts w:ascii="Arial" w:cs="Arial" w:eastAsia="Arial" w:hAnsi="Arial"/>
                <w:sz w:val="14"/>
                <w:szCs w:val="14"/>
                <w:b w:val="1"/>
                <w:bCs w:val="1"/>
                <w:color w:val="auto"/>
              </w:rPr>
              <w:t>Paid-in</w:t>
            </w: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0" w:type="dxa"/>
            <w:vAlign w:val="bottom"/>
            <w:gridSpan w:val="4"/>
            <w:vMerge w:val="restart"/>
          </w:tcPr>
          <w:p>
            <w:pPr>
              <w:jc w:val="center"/>
              <w:ind w:right="120"/>
              <w:spacing w:after="0" w:line="135" w:lineRule="exact"/>
              <w:rPr>
                <w:sz w:val="20"/>
                <w:szCs w:val="20"/>
                <w:color w:val="auto"/>
              </w:rPr>
            </w:pPr>
            <w:r>
              <w:rPr>
                <w:rFonts w:ascii="Arial" w:cs="Arial" w:eastAsia="Arial" w:hAnsi="Arial"/>
                <w:sz w:val="14"/>
                <w:szCs w:val="14"/>
                <w:b w:val="1"/>
                <w:bCs w:val="1"/>
                <w:color w:val="auto"/>
              </w:rPr>
              <w:t>Comprehensive</w:t>
            </w:r>
          </w:p>
        </w:tc>
        <w:tc>
          <w:tcPr>
            <w:tcW w:w="180" w:type="dxa"/>
            <w:vAlign w:val="bottom"/>
          </w:tcPr>
          <w:p>
            <w:pPr>
              <w:spacing w:after="0"/>
              <w:rPr>
                <w:sz w:val="4"/>
                <w:szCs w:val="4"/>
                <w:color w:val="auto"/>
              </w:rPr>
            </w:pPr>
          </w:p>
        </w:tc>
        <w:tc>
          <w:tcPr>
            <w:tcW w:w="1040" w:type="dxa"/>
            <w:vAlign w:val="bottom"/>
            <w:gridSpan w:val="4"/>
            <w:vMerge w:val="restart"/>
          </w:tcPr>
          <w:p>
            <w:pPr>
              <w:ind w:left="60"/>
              <w:spacing w:after="0" w:line="135" w:lineRule="exact"/>
              <w:rPr>
                <w:sz w:val="20"/>
                <w:szCs w:val="20"/>
                <w:color w:val="auto"/>
              </w:rPr>
            </w:pPr>
            <w:r>
              <w:rPr>
                <w:rFonts w:ascii="Arial" w:cs="Arial" w:eastAsia="Arial" w:hAnsi="Arial"/>
                <w:sz w:val="14"/>
                <w:szCs w:val="14"/>
                <w:b w:val="1"/>
                <w:bCs w:val="1"/>
                <w:color w:val="auto"/>
              </w:rPr>
              <w:t>Retained</w:t>
            </w:r>
          </w:p>
        </w:tc>
        <w:tc>
          <w:tcPr>
            <w:tcW w:w="240" w:type="dxa"/>
            <w:vAlign w:val="bottom"/>
          </w:tcPr>
          <w:p>
            <w:pPr>
              <w:spacing w:after="0"/>
              <w:rPr>
                <w:sz w:val="4"/>
                <w:szCs w:val="4"/>
                <w:color w:val="auto"/>
              </w:rPr>
            </w:pPr>
          </w:p>
        </w:tc>
        <w:tc>
          <w:tcPr>
            <w:tcW w:w="86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3800" w:type="dxa"/>
            <w:vAlign w:val="bottom"/>
          </w:tcPr>
          <w:p>
            <w:pPr>
              <w:spacing w:after="0"/>
              <w:rPr>
                <w:sz w:val="5"/>
                <w:szCs w:val="5"/>
                <w:color w:val="auto"/>
              </w:rPr>
            </w:pPr>
          </w:p>
        </w:tc>
        <w:tc>
          <w:tcPr>
            <w:tcW w:w="1180" w:type="dxa"/>
            <w:vAlign w:val="bottom"/>
            <w:vMerge w:val="restart"/>
          </w:tcPr>
          <w:p>
            <w:pPr>
              <w:jc w:val="right"/>
              <w:ind w:right="82"/>
              <w:spacing w:after="0"/>
              <w:rPr>
                <w:sz w:val="20"/>
                <w:szCs w:val="20"/>
                <w:color w:val="auto"/>
              </w:rPr>
            </w:pPr>
            <w:r>
              <w:rPr>
                <w:rFonts w:ascii="Arial" w:cs="Arial" w:eastAsia="Arial" w:hAnsi="Arial"/>
                <w:sz w:val="14"/>
                <w:szCs w:val="14"/>
                <w:b w:val="1"/>
                <w:bCs w:val="1"/>
                <w:color w:val="auto"/>
              </w:rPr>
              <w:t>Outstanding</w:t>
            </w:r>
          </w:p>
        </w:tc>
        <w:tc>
          <w:tcPr>
            <w:tcW w:w="100" w:type="dxa"/>
            <w:vAlign w:val="bottom"/>
            <w:vMerge w:val="restart"/>
          </w:tcPr>
          <w:p>
            <w:pPr>
              <w:spacing w:after="0"/>
              <w:rPr>
                <w:sz w:val="5"/>
                <w:szCs w:val="5"/>
                <w:color w:val="auto"/>
              </w:rPr>
            </w:pPr>
          </w:p>
        </w:tc>
        <w:tc>
          <w:tcPr>
            <w:tcW w:w="140" w:type="dxa"/>
            <w:vAlign w:val="bottom"/>
          </w:tcPr>
          <w:p>
            <w:pPr>
              <w:spacing w:after="0"/>
              <w:rPr>
                <w:sz w:val="5"/>
                <w:szCs w:val="5"/>
                <w:color w:val="auto"/>
              </w:rPr>
            </w:pPr>
          </w:p>
        </w:tc>
        <w:tc>
          <w:tcPr>
            <w:tcW w:w="7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Amount</w:t>
            </w:r>
          </w:p>
        </w:tc>
        <w:tc>
          <w:tcPr>
            <w:tcW w:w="100" w:type="dxa"/>
            <w:vAlign w:val="bottom"/>
            <w:gridSpan w:val="2"/>
            <w:vMerge w:val="restart"/>
          </w:tcPr>
          <w:p>
            <w:pPr>
              <w:spacing w:after="0"/>
              <w:rPr>
                <w:sz w:val="5"/>
                <w:szCs w:val="5"/>
                <w:color w:val="auto"/>
              </w:rPr>
            </w:pPr>
          </w:p>
        </w:tc>
        <w:tc>
          <w:tcPr>
            <w:tcW w:w="20" w:type="dxa"/>
            <w:vAlign w:val="bottom"/>
            <w:vMerge w:val="restart"/>
          </w:tcPr>
          <w:p>
            <w:pPr>
              <w:spacing w:after="0"/>
              <w:rPr>
                <w:sz w:val="5"/>
                <w:szCs w:val="5"/>
                <w:color w:val="auto"/>
              </w:rPr>
            </w:pPr>
          </w:p>
        </w:tc>
        <w:tc>
          <w:tcPr>
            <w:tcW w:w="140" w:type="dxa"/>
            <w:vAlign w:val="bottom"/>
          </w:tcPr>
          <w:p>
            <w:pPr>
              <w:spacing w:after="0"/>
              <w:rPr>
                <w:sz w:val="5"/>
                <w:szCs w:val="5"/>
                <w:color w:val="auto"/>
              </w:rPr>
            </w:pPr>
          </w:p>
        </w:tc>
        <w:tc>
          <w:tcPr>
            <w:tcW w:w="90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600" w:type="dxa"/>
            <w:vAlign w:val="bottom"/>
            <w:gridSpan w:val="4"/>
            <w:vMerge w:val="continue"/>
          </w:tcPr>
          <w:p>
            <w:pPr>
              <w:spacing w:after="0"/>
              <w:rPr>
                <w:sz w:val="5"/>
                <w:szCs w:val="5"/>
                <w:color w:val="auto"/>
              </w:rPr>
            </w:pPr>
          </w:p>
        </w:tc>
        <w:tc>
          <w:tcPr>
            <w:tcW w:w="180" w:type="dxa"/>
            <w:vAlign w:val="bottom"/>
          </w:tcPr>
          <w:p>
            <w:pPr>
              <w:spacing w:after="0"/>
              <w:rPr>
                <w:sz w:val="5"/>
                <w:szCs w:val="5"/>
                <w:color w:val="auto"/>
              </w:rPr>
            </w:pPr>
          </w:p>
        </w:tc>
        <w:tc>
          <w:tcPr>
            <w:tcW w:w="1040" w:type="dxa"/>
            <w:vAlign w:val="bottom"/>
            <w:gridSpan w:val="4"/>
            <w:vMerge w:val="continue"/>
          </w:tcPr>
          <w:p>
            <w:pPr>
              <w:spacing w:after="0"/>
              <w:rPr>
                <w:sz w:val="5"/>
                <w:szCs w:val="5"/>
                <w:color w:val="auto"/>
              </w:rPr>
            </w:pPr>
          </w:p>
        </w:tc>
        <w:tc>
          <w:tcPr>
            <w:tcW w:w="240" w:type="dxa"/>
            <w:vAlign w:val="bottom"/>
          </w:tcPr>
          <w:p>
            <w:pPr>
              <w:spacing w:after="0"/>
              <w:rPr>
                <w:sz w:val="5"/>
                <w:szCs w:val="5"/>
                <w:color w:val="auto"/>
              </w:rPr>
            </w:pPr>
          </w:p>
        </w:tc>
        <w:tc>
          <w:tcPr>
            <w:tcW w:w="860" w:type="dxa"/>
            <w:vAlign w:val="bottom"/>
            <w:vMerge w:val="restart"/>
          </w:tcPr>
          <w:p>
            <w:pPr>
              <w:jc w:val="right"/>
              <w:ind w:right="301"/>
              <w:spacing w:after="0"/>
              <w:rPr>
                <w:sz w:val="20"/>
                <w:szCs w:val="20"/>
                <w:color w:val="auto"/>
              </w:rPr>
            </w:pPr>
            <w:r>
              <w:rPr>
                <w:rFonts w:ascii="Arial" w:cs="Arial" w:eastAsia="Arial" w:hAnsi="Arial"/>
                <w:sz w:val="14"/>
                <w:szCs w:val="14"/>
                <w:b w:val="1"/>
                <w:bCs w:val="1"/>
                <w:color w:val="auto"/>
              </w:rPr>
              <w:t>Total</w:t>
            </w:r>
          </w:p>
        </w:tc>
        <w:tc>
          <w:tcPr>
            <w:tcW w:w="6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3800" w:type="dxa"/>
            <w:vAlign w:val="bottom"/>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100" w:type="dxa"/>
            <w:vAlign w:val="bottom"/>
            <w:gridSpan w:val="2"/>
            <w:vMerge w:val="continue"/>
          </w:tcPr>
          <w:p>
            <w:pPr>
              <w:spacing w:after="0"/>
              <w:rPr>
                <w:sz w:val="16"/>
                <w:szCs w:val="16"/>
                <w:color w:val="auto"/>
              </w:rPr>
            </w:pPr>
          </w:p>
        </w:tc>
        <w:tc>
          <w:tcPr>
            <w:tcW w:w="2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ind w:right="63"/>
              <w:spacing w:after="0"/>
              <w:rPr>
                <w:sz w:val="20"/>
                <w:szCs w:val="20"/>
                <w:color w:val="auto"/>
              </w:rPr>
            </w:pPr>
            <w:r>
              <w:rPr>
                <w:rFonts w:ascii="Arial" w:cs="Arial" w:eastAsia="Arial" w:hAnsi="Arial"/>
                <w:sz w:val="14"/>
                <w:szCs w:val="14"/>
                <w:b w:val="1"/>
                <w:bCs w:val="1"/>
                <w:color w:val="auto"/>
              </w:rPr>
              <w:t>Capital</w:t>
            </w:r>
          </w:p>
        </w:tc>
        <w:tc>
          <w:tcPr>
            <w:tcW w:w="2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left="387"/>
              <w:spacing w:after="0"/>
              <w:rPr>
                <w:sz w:val="20"/>
                <w:szCs w:val="20"/>
                <w:color w:val="auto"/>
              </w:rPr>
            </w:pPr>
            <w:r>
              <w:rPr>
                <w:rFonts w:ascii="Arial" w:cs="Arial" w:eastAsia="Arial" w:hAnsi="Arial"/>
                <w:sz w:val="14"/>
                <w:szCs w:val="14"/>
                <w:b w:val="1"/>
                <w:bCs w:val="1"/>
                <w:color w:val="auto"/>
              </w:rPr>
              <w:t>Loss</w:t>
            </w:r>
          </w:p>
        </w:tc>
        <w:tc>
          <w:tcPr>
            <w:tcW w:w="48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Earnings</w:t>
            </w:r>
          </w:p>
        </w:tc>
        <w:tc>
          <w:tcPr>
            <w:tcW w:w="100" w:type="dxa"/>
            <w:vAlign w:val="bottom"/>
            <w:gridSpan w:val="2"/>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8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40" w:type="dxa"/>
            <w:vAlign w:val="bottom"/>
            <w:gridSpan w:val="6"/>
          </w:tcPr>
          <w:p>
            <w:pPr>
              <w:jc w:val="right"/>
              <w:ind w:right="287"/>
              <w:spacing w:after="0"/>
              <w:rPr>
                <w:sz w:val="20"/>
                <w:szCs w:val="20"/>
                <w:color w:val="auto"/>
              </w:rPr>
            </w:pPr>
            <w:r>
              <w:rPr>
                <w:rFonts w:ascii="Arial" w:cs="Arial" w:eastAsia="Arial" w:hAnsi="Arial"/>
                <w:sz w:val="14"/>
                <w:szCs w:val="14"/>
                <w:b w:val="1"/>
                <w:bCs w:val="1"/>
                <w:color w:val="auto"/>
              </w:rPr>
              <w:t>(In millions)</w:t>
            </w:r>
          </w:p>
        </w:tc>
        <w:tc>
          <w:tcPr>
            <w:tcW w:w="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38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40" w:type="dxa"/>
            <w:vAlign w:val="bottom"/>
            <w:gridSpan w:val="6"/>
          </w:tcPr>
          <w:p>
            <w:pPr>
              <w:jc w:val="right"/>
              <w:ind w:right="287"/>
              <w:spacing w:after="0"/>
              <w:rPr>
                <w:sz w:val="20"/>
                <w:szCs w:val="20"/>
                <w:color w:val="auto"/>
              </w:rPr>
            </w:pPr>
            <w:r>
              <w:rPr>
                <w:rFonts w:ascii="Arial" w:cs="Arial" w:eastAsia="Arial" w:hAnsi="Arial"/>
                <w:sz w:val="14"/>
                <w:szCs w:val="14"/>
                <w:b w:val="1"/>
                <w:bCs w:val="1"/>
                <w:color w:val="auto"/>
              </w:rPr>
              <w:t>(Unaudited)</w:t>
            </w:r>
          </w:p>
        </w:tc>
        <w:tc>
          <w:tcPr>
            <w:tcW w:w="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3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at December 31, 2022</w:t>
            </w:r>
          </w:p>
        </w:tc>
        <w:tc>
          <w:tcPr>
            <w:tcW w:w="11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58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gridSpan w:val="4"/>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328</w:t>
            </w:r>
          </w:p>
        </w:tc>
        <w:tc>
          <w:tcPr>
            <w:tcW w:w="1140" w:type="dxa"/>
            <w:vAlign w:val="bottom"/>
            <w:gridSpan w:val="5"/>
            <w:shd w:val="clear" w:color="auto" w:fill="CCEEFF"/>
          </w:tcPr>
          <w:p>
            <w:pPr>
              <w:jc w:val="right"/>
              <w:ind w:right="827"/>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(160)</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2,796</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2,964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800" w:type="dxa"/>
            <w:vAlign w:val="bottom"/>
          </w:tcPr>
          <w:p>
            <w:pPr>
              <w:ind w:left="140"/>
              <w:spacing w:after="0"/>
              <w:rPr>
                <w:sz w:val="20"/>
                <w:szCs w:val="20"/>
                <w:color w:val="auto"/>
              </w:rPr>
            </w:pPr>
            <w:r>
              <w:rPr>
                <w:rFonts w:ascii="Arial" w:cs="Arial" w:eastAsia="Arial" w:hAnsi="Arial"/>
                <w:sz w:val="16"/>
                <w:szCs w:val="16"/>
                <w:color w:val="auto"/>
              </w:rPr>
              <w:t>Net income</w:t>
            </w: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60" w:type="dxa"/>
            <w:vAlign w:val="bottom"/>
            <w:gridSpan w:val="4"/>
          </w:tcPr>
          <w:p>
            <w:pPr>
              <w:ind w:left="5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0" w:type="dxa"/>
            <w:vAlign w:val="bottom"/>
            <w:gridSpan w:val="3"/>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920" w:type="dxa"/>
            <w:vAlign w:val="bottom"/>
          </w:tcPr>
          <w:p>
            <w:pPr>
              <w:jc w:val="right"/>
              <w:ind w:right="2"/>
              <w:spacing w:after="0"/>
              <w:rPr>
                <w:sz w:val="20"/>
                <w:szCs w:val="20"/>
                <w:color w:val="auto"/>
              </w:rPr>
            </w:pPr>
            <w:r>
              <w:rPr>
                <w:rFonts w:ascii="Arial" w:cs="Arial" w:eastAsia="Arial" w:hAnsi="Arial"/>
                <w:sz w:val="16"/>
                <w:szCs w:val="16"/>
                <w:color w:val="auto"/>
              </w:rPr>
              <w:t>321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321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8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comprehensive income, net</w:t>
            </w: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860" w:type="dxa"/>
            <w:vAlign w:val="bottom"/>
            <w:gridSpan w:val="4"/>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4"/>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800" w:type="dxa"/>
            <w:vAlign w:val="bottom"/>
          </w:tcPr>
          <w:p>
            <w:pPr>
              <w:ind w:left="140"/>
              <w:spacing w:after="0"/>
              <w:rPr>
                <w:sz w:val="20"/>
                <w:szCs w:val="20"/>
                <w:color w:val="auto"/>
              </w:rPr>
            </w:pPr>
            <w:r>
              <w:rPr>
                <w:rFonts w:ascii="Arial" w:cs="Arial" w:eastAsia="Arial" w:hAnsi="Arial"/>
                <w:sz w:val="16"/>
                <w:szCs w:val="16"/>
                <w:color w:val="auto"/>
              </w:rPr>
              <w:t>Share-based compensation</w:t>
            </w: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60" w:type="dxa"/>
            <w:vAlign w:val="bottom"/>
            <w:gridSpan w:val="4"/>
          </w:tcPr>
          <w:p>
            <w:pPr>
              <w:ind w:left="5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(32)</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0" w:type="dxa"/>
            <w:vAlign w:val="bottom"/>
            <w:gridSpan w:val="3"/>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040" w:type="dxa"/>
            <w:vAlign w:val="bottom"/>
            <w:gridSpan w:val="4"/>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38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at March 31, 2023</w:t>
            </w:r>
          </w:p>
        </w:tc>
        <w:tc>
          <w:tcPr>
            <w:tcW w:w="118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58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top w:val="single" w:sz="8" w:color="auto"/>
              <w:bottom w:val="single" w:sz="8" w:color="auto"/>
            </w:tcBorders>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100" w:type="dxa"/>
            <w:vAlign w:val="bottom"/>
            <w:tcBorders>
              <w:top w:val="single" w:sz="8" w:color="CCEEFF"/>
              <w:bottom w:val="single" w:sz="8" w:color="CCEEFF"/>
            </w:tcBorders>
            <w:gridSpan w:val="2"/>
            <w:shd w:val="clear" w:color="auto" w:fill="CCEEFF"/>
          </w:tcPr>
          <w:p>
            <w:pPr>
              <w:spacing w:after="0"/>
              <w:rPr>
                <w:sz w:val="20"/>
                <w:szCs w:val="20"/>
                <w:color w:val="auto"/>
              </w:rPr>
            </w:pPr>
          </w:p>
        </w:tc>
        <w:tc>
          <w:tcPr>
            <w:tcW w:w="20" w:type="dxa"/>
            <w:vAlign w:val="bottom"/>
            <w:tcBorders>
              <w:top w:val="single" w:sz="8" w:color="auto"/>
              <w:bottom w:val="single" w:sz="8" w:color="auto"/>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296</w:t>
            </w:r>
          </w:p>
        </w:tc>
        <w:tc>
          <w:tcPr>
            <w:tcW w:w="20" w:type="dxa"/>
            <w:vAlign w:val="bottom"/>
            <w:tcBorders>
              <w:top w:val="single" w:sz="8" w:color="auto"/>
              <w:bottom w:val="single" w:sz="8" w:color="auto"/>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gridSpan w:val="2"/>
            <w:shd w:val="clear" w:color="auto" w:fill="CCEEFF"/>
          </w:tcPr>
          <w:p>
            <w:pPr>
              <w:spacing w:after="0"/>
              <w:rPr>
                <w:sz w:val="20"/>
                <w:szCs w:val="20"/>
                <w:color w:val="auto"/>
              </w:rPr>
            </w:pPr>
          </w:p>
        </w:tc>
        <w:tc>
          <w:tcPr>
            <w:tcW w:w="1020" w:type="dxa"/>
            <w:vAlign w:val="bottom"/>
            <w:tcBorders>
              <w:top w:val="single" w:sz="8" w:color="auto"/>
              <w:bottom w:val="single" w:sz="8" w:color="auto"/>
            </w:tcBorders>
            <w:gridSpan w:val="2"/>
            <w:shd w:val="clear" w:color="auto" w:fill="CCEEFF"/>
          </w:tcPr>
          <w:p>
            <w:pPr>
              <w:jc w:val="right"/>
              <w:ind w:right="827"/>
              <w:spacing w:after="0"/>
              <w:rPr>
                <w:sz w:val="20"/>
                <w:szCs w:val="20"/>
                <w:color w:val="auto"/>
              </w:rPr>
            </w:pPr>
            <w:r>
              <w:rPr>
                <w:rFonts w:ascii="Arial" w:cs="Arial" w:eastAsia="Arial" w:hAnsi="Arial"/>
                <w:sz w:val="16"/>
                <w:szCs w:val="16"/>
                <w:color w:val="auto"/>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(125)</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3,117</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auto"/>
              <w:bottom w:val="single" w:sz="8" w:color="auto"/>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3,288</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8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color w:val="auto"/>
        </w:rPr>
        <w:t>See accompanying notes.</w:t>
      </w:r>
    </w:p>
    <w:p>
      <w:pPr>
        <w:spacing w:after="0" w:line="200" w:lineRule="exact"/>
        <w:rPr>
          <w:sz w:val="20"/>
          <w:szCs w:val="20"/>
          <w:color w:val="auto"/>
        </w:rPr>
      </w:pPr>
    </w:p>
    <w:p>
      <w:pPr>
        <w:spacing w:after="0" w:line="36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March 31, 2024 Form 10-Q |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22"/>
          <w:szCs w:val="22"/>
          <w:b w:val="1"/>
          <w:bCs w:val="1"/>
          <w:color w:val="0F7C7F"/>
        </w:rPr>
        <w:t>CONSOLIDATED STATEMENTS OF CASH FLOWS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8020" w:type="dxa"/>
            <w:vAlign w:val="bottom"/>
          </w:tcPr>
          <w:p>
            <w:pPr>
              <w:spacing w:after="0"/>
              <w:rPr>
                <w:sz w:val="17"/>
                <w:szCs w:val="17"/>
                <w:color w:val="auto"/>
              </w:rPr>
            </w:pPr>
          </w:p>
        </w:tc>
        <w:tc>
          <w:tcPr>
            <w:tcW w:w="2680" w:type="dxa"/>
            <w:vAlign w:val="bottom"/>
            <w:tcBorders>
              <w:bottom w:val="single" w:sz="8" w:color="auto"/>
            </w:tcBorders>
            <w:gridSpan w:val="4"/>
          </w:tcPr>
          <w:p>
            <w:pPr>
              <w:jc w:val="center"/>
              <w:ind w:left="404"/>
              <w:spacing w:after="0"/>
              <w:rPr>
                <w:sz w:val="20"/>
                <w:szCs w:val="20"/>
                <w:color w:val="auto"/>
              </w:rPr>
            </w:pPr>
            <w:r>
              <w:rPr>
                <w:rFonts w:ascii="Arial" w:cs="Arial" w:eastAsia="Arial" w:hAnsi="Arial"/>
                <w:sz w:val="14"/>
                <w:szCs w:val="14"/>
                <w:b w:val="1"/>
                <w:bCs w:val="1"/>
                <w:color w:val="auto"/>
              </w:rPr>
              <w:t>Three Months Ended March 31,</w:t>
            </w:r>
          </w:p>
        </w:tc>
        <w:tc>
          <w:tcPr>
            <w:tcW w:w="500" w:type="dxa"/>
            <w:vAlign w:val="bottom"/>
            <w:tcBorders>
              <w:bottom w:val="single" w:sz="8" w:color="auto"/>
            </w:tcBorders>
          </w:tcPr>
          <w:p>
            <w:pPr>
              <w:spacing w:after="0"/>
              <w:rPr>
                <w:sz w:val="17"/>
                <w:szCs w:val="17"/>
                <w:color w:val="auto"/>
              </w:rPr>
            </w:pPr>
          </w:p>
        </w:tc>
      </w:tr>
      <w:tr>
        <w:trPr>
          <w:trHeight w:val="196"/>
        </w:trPr>
        <w:tc>
          <w:tcPr>
            <w:tcW w:w="8020" w:type="dxa"/>
            <w:vAlign w:val="bottom"/>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2024</w:t>
            </w:r>
          </w:p>
        </w:tc>
        <w:tc>
          <w:tcPr>
            <w:tcW w:w="5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Borders>
              <w:bottom w:val="single" w:sz="8" w:color="auto"/>
            </w:tcBorders>
          </w:tcPr>
          <w:p>
            <w:pPr>
              <w:jc w:val="right"/>
              <w:ind w:right="22"/>
              <w:spacing w:after="0"/>
              <w:rPr>
                <w:sz w:val="20"/>
                <w:szCs w:val="20"/>
                <w:color w:val="auto"/>
              </w:rPr>
            </w:pPr>
            <w:r>
              <w:rPr>
                <w:rFonts w:ascii="Arial" w:cs="Arial" w:eastAsia="Arial" w:hAnsi="Arial"/>
                <w:sz w:val="14"/>
                <w:szCs w:val="14"/>
                <w:b w:val="1"/>
                <w:bCs w:val="1"/>
                <w:color w:val="auto"/>
              </w:rPr>
              <w:t>2023</w:t>
            </w:r>
          </w:p>
        </w:tc>
        <w:tc>
          <w:tcPr>
            <w:tcW w:w="500" w:type="dxa"/>
            <w:vAlign w:val="bottom"/>
            <w:tcBorders>
              <w:bottom w:val="single" w:sz="8" w:color="auto"/>
            </w:tcBorders>
          </w:tcPr>
          <w:p>
            <w:pPr>
              <w:spacing w:after="0"/>
              <w:rPr>
                <w:sz w:val="17"/>
                <w:szCs w:val="17"/>
                <w:color w:val="auto"/>
              </w:rPr>
            </w:pPr>
          </w:p>
        </w:tc>
      </w:tr>
      <w:tr>
        <w:trPr>
          <w:trHeight w:val="188"/>
        </w:trPr>
        <w:tc>
          <w:tcPr>
            <w:tcW w:w="80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700" w:type="dxa"/>
            <w:vAlign w:val="bottom"/>
            <w:gridSpan w:val="3"/>
          </w:tcPr>
          <w:p>
            <w:pPr>
              <w:jc w:val="center"/>
              <w:ind w:right="402"/>
              <w:spacing w:after="0"/>
              <w:rPr>
                <w:sz w:val="20"/>
                <w:szCs w:val="20"/>
                <w:color w:val="auto"/>
              </w:rPr>
            </w:pPr>
            <w:r>
              <w:rPr>
                <w:rFonts w:ascii="Arial" w:cs="Arial" w:eastAsia="Arial" w:hAnsi="Arial"/>
                <w:sz w:val="14"/>
                <w:szCs w:val="14"/>
                <w:b w:val="1"/>
                <w:bCs w:val="1"/>
                <w:color w:val="auto"/>
              </w:rPr>
              <w:t>(In millions)</w:t>
            </w:r>
          </w:p>
        </w:tc>
        <w:tc>
          <w:tcPr>
            <w:tcW w:w="500" w:type="dxa"/>
            <w:vAlign w:val="bottom"/>
          </w:tcPr>
          <w:p>
            <w:pPr>
              <w:spacing w:after="0"/>
              <w:rPr>
                <w:sz w:val="16"/>
                <w:szCs w:val="16"/>
                <w:color w:val="auto"/>
              </w:rPr>
            </w:pPr>
          </w:p>
        </w:tc>
      </w:tr>
      <w:tr>
        <w:trPr>
          <w:trHeight w:val="185"/>
        </w:trPr>
        <w:tc>
          <w:tcPr>
            <w:tcW w:w="80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700" w:type="dxa"/>
            <w:vAlign w:val="bottom"/>
            <w:gridSpan w:val="3"/>
          </w:tcPr>
          <w:p>
            <w:pPr>
              <w:jc w:val="center"/>
              <w:ind w:right="422"/>
              <w:spacing w:after="0"/>
              <w:rPr>
                <w:sz w:val="20"/>
                <w:szCs w:val="20"/>
                <w:color w:val="auto"/>
              </w:rPr>
            </w:pPr>
            <w:r>
              <w:rPr>
                <w:rFonts w:ascii="Arial" w:cs="Arial" w:eastAsia="Arial" w:hAnsi="Arial"/>
                <w:sz w:val="14"/>
                <w:szCs w:val="14"/>
                <w:b w:val="1"/>
                <w:bCs w:val="1"/>
                <w:color w:val="auto"/>
              </w:rPr>
              <w:t>(Unaudited)</w:t>
            </w:r>
          </w:p>
        </w:tc>
        <w:tc>
          <w:tcPr>
            <w:tcW w:w="500" w:type="dxa"/>
            <w:vAlign w:val="bottom"/>
          </w:tcPr>
          <w:p>
            <w:pPr>
              <w:spacing w:after="0"/>
              <w:rPr>
                <w:sz w:val="16"/>
                <w:szCs w:val="16"/>
                <w:color w:val="auto"/>
              </w:rPr>
            </w:pPr>
          </w:p>
        </w:tc>
      </w:tr>
      <w:tr>
        <w:trPr>
          <w:trHeight w:val="216"/>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activities:</w:t>
            </w:r>
          </w:p>
        </w:tc>
        <w:tc>
          <w:tcPr>
            <w:tcW w:w="9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r>
      <w:tr>
        <w:trPr>
          <w:trHeight w:val="215"/>
        </w:trPr>
        <w:tc>
          <w:tcPr>
            <w:tcW w:w="802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980" w:type="dxa"/>
            <w:vAlign w:val="bottom"/>
          </w:tcPr>
          <w:p>
            <w:pPr>
              <w:jc w:val="right"/>
              <w:ind w:right="804"/>
              <w:spacing w:after="0"/>
              <w:rPr>
                <w:sz w:val="20"/>
                <w:szCs w:val="20"/>
                <w:color w:val="auto"/>
              </w:rPr>
            </w:pPr>
            <w:r>
              <w:rPr>
                <w:rFonts w:ascii="Arial" w:cs="Arial" w:eastAsia="Arial" w:hAnsi="Arial"/>
                <w:sz w:val="16"/>
                <w:szCs w:val="16"/>
                <w:color w:val="auto"/>
                <w:w w:val="89"/>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301</w:t>
            </w:r>
          </w:p>
        </w:tc>
        <w:tc>
          <w:tcPr>
            <w:tcW w:w="100" w:type="dxa"/>
            <w:vAlign w:val="bottom"/>
          </w:tcPr>
          <w:p>
            <w:pPr>
              <w:spacing w:after="0"/>
              <w:rPr>
                <w:sz w:val="18"/>
                <w:szCs w:val="18"/>
                <w:color w:val="auto"/>
              </w:rPr>
            </w:pPr>
          </w:p>
        </w:tc>
        <w:tc>
          <w:tcPr>
            <w:tcW w:w="1040" w:type="dxa"/>
            <w:vAlign w:val="bottom"/>
          </w:tcPr>
          <w:p>
            <w:pPr>
              <w:jc w:val="right"/>
              <w:ind w:right="862"/>
              <w:spacing w:after="0"/>
              <w:rPr>
                <w:sz w:val="20"/>
                <w:szCs w:val="20"/>
                <w:color w:val="auto"/>
              </w:rPr>
            </w:pPr>
            <w:r>
              <w:rPr>
                <w:rFonts w:ascii="Arial" w:cs="Arial" w:eastAsia="Arial" w:hAnsi="Arial"/>
                <w:sz w:val="16"/>
                <w:szCs w:val="16"/>
                <w:color w:val="auto"/>
                <w:w w:val="89"/>
              </w:rPr>
              <w:t>$</w:t>
            </w:r>
          </w:p>
        </w:tc>
        <w:tc>
          <w:tcPr>
            <w:tcW w:w="500" w:type="dxa"/>
            <w:vAlign w:val="bottom"/>
          </w:tcPr>
          <w:p>
            <w:pPr>
              <w:jc w:val="right"/>
              <w:spacing w:after="0"/>
              <w:rPr>
                <w:sz w:val="20"/>
                <w:szCs w:val="20"/>
                <w:color w:val="auto"/>
              </w:rPr>
            </w:pPr>
            <w:r>
              <w:rPr>
                <w:rFonts w:ascii="Arial" w:cs="Arial" w:eastAsia="Arial" w:hAnsi="Arial"/>
                <w:sz w:val="16"/>
                <w:szCs w:val="16"/>
                <w:color w:val="auto"/>
              </w:rPr>
              <w:t>321</w:t>
            </w:r>
          </w:p>
        </w:tc>
      </w:tr>
      <w:tr>
        <w:trPr>
          <w:trHeight w:val="217"/>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9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r>
      <w:tr>
        <w:trPr>
          <w:trHeight w:val="215"/>
        </w:trPr>
        <w:tc>
          <w:tcPr>
            <w:tcW w:w="8020" w:type="dxa"/>
            <w:vAlign w:val="bottom"/>
          </w:tcPr>
          <w:p>
            <w:pPr>
              <w:ind w:left="140"/>
              <w:spacing w:after="0"/>
              <w:rPr>
                <w:sz w:val="20"/>
                <w:szCs w:val="20"/>
                <w:color w:val="auto"/>
              </w:rPr>
            </w:pPr>
            <w:r>
              <w:rPr>
                <w:rFonts w:ascii="Arial" w:cs="Arial" w:eastAsia="Arial" w:hAnsi="Arial"/>
                <w:sz w:val="16"/>
                <w:szCs w:val="16"/>
                <w:color w:val="auto"/>
              </w:rPr>
              <w:t>Depreciation and amortization</w:t>
            </w:r>
          </w:p>
        </w:tc>
        <w:tc>
          <w:tcPr>
            <w:tcW w:w="9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45</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44</w:t>
            </w:r>
          </w:p>
        </w:tc>
      </w:tr>
      <w:tr>
        <w:trPr>
          <w:trHeight w:val="217"/>
        </w:trPr>
        <w:tc>
          <w:tcPr>
            <w:tcW w:w="80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Deferred income taxes</w:t>
            </w:r>
          </w:p>
        </w:tc>
        <w:tc>
          <w:tcPr>
            <w:tcW w:w="9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r>
      <w:tr>
        <w:trPr>
          <w:trHeight w:val="215"/>
        </w:trPr>
        <w:tc>
          <w:tcPr>
            <w:tcW w:w="8020" w:type="dxa"/>
            <w:vAlign w:val="bottom"/>
          </w:tcPr>
          <w:p>
            <w:pPr>
              <w:ind w:left="140"/>
              <w:spacing w:after="0"/>
              <w:rPr>
                <w:sz w:val="20"/>
                <w:szCs w:val="20"/>
                <w:color w:val="auto"/>
              </w:rPr>
            </w:pPr>
            <w:r>
              <w:rPr>
                <w:rFonts w:ascii="Arial" w:cs="Arial" w:eastAsia="Arial" w:hAnsi="Arial"/>
                <w:sz w:val="16"/>
                <w:szCs w:val="16"/>
                <w:color w:val="auto"/>
              </w:rPr>
              <w:t>Share-based compensation</w:t>
            </w:r>
          </w:p>
        </w:tc>
        <w:tc>
          <w:tcPr>
            <w:tcW w:w="9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36</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25</w:t>
            </w:r>
          </w:p>
        </w:tc>
      </w:tr>
      <w:tr>
        <w:trPr>
          <w:trHeight w:val="217"/>
        </w:trPr>
        <w:tc>
          <w:tcPr>
            <w:tcW w:w="80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net</w:t>
            </w:r>
          </w:p>
        </w:tc>
        <w:tc>
          <w:tcPr>
            <w:tcW w:w="9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r>
      <w:tr>
        <w:trPr>
          <w:trHeight w:val="215"/>
        </w:trPr>
        <w:tc>
          <w:tcPr>
            <w:tcW w:w="8020" w:type="dxa"/>
            <w:vAlign w:val="bottom"/>
          </w:tcPr>
          <w:p>
            <w:pPr>
              <w:ind w:left="140"/>
              <w:spacing w:after="0"/>
              <w:rPr>
                <w:sz w:val="20"/>
                <w:szCs w:val="20"/>
                <w:color w:val="auto"/>
              </w:rPr>
            </w:pPr>
            <w:r>
              <w:rPr>
                <w:rFonts w:ascii="Arial" w:cs="Arial" w:eastAsia="Arial" w:hAnsi="Arial"/>
                <w:sz w:val="16"/>
                <w:szCs w:val="16"/>
                <w:color w:val="auto"/>
              </w:rPr>
              <w:t>Changes in operating assets and liabilities:</w:t>
            </w:r>
          </w:p>
        </w:tc>
        <w:tc>
          <w:tcPr>
            <w:tcW w:w="9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217"/>
        </w:trPr>
        <w:tc>
          <w:tcPr>
            <w:tcW w:w="80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Receivables</w:t>
            </w:r>
          </w:p>
        </w:tc>
        <w:tc>
          <w:tcPr>
            <w:tcW w:w="9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(234)</w:t>
            </w:r>
          </w:p>
        </w:tc>
      </w:tr>
      <w:tr>
        <w:trPr>
          <w:trHeight w:val="215"/>
        </w:trPr>
        <w:tc>
          <w:tcPr>
            <w:tcW w:w="8020" w:type="dxa"/>
            <w:vAlign w:val="bottom"/>
          </w:tcPr>
          <w:p>
            <w:pPr>
              <w:ind w:left="220"/>
              <w:spacing w:after="0"/>
              <w:rPr>
                <w:sz w:val="20"/>
                <w:szCs w:val="20"/>
                <w:color w:val="auto"/>
              </w:rPr>
            </w:pPr>
            <w:r>
              <w:rPr>
                <w:rFonts w:ascii="Arial" w:cs="Arial" w:eastAsia="Arial" w:hAnsi="Arial"/>
                <w:sz w:val="16"/>
                <w:szCs w:val="16"/>
                <w:color w:val="auto"/>
              </w:rPr>
              <w:t>Prepaid expenses and other current assets</w:t>
            </w:r>
          </w:p>
        </w:tc>
        <w:tc>
          <w:tcPr>
            <w:tcW w:w="9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7</w:t>
            </w:r>
          </w:p>
        </w:tc>
      </w:tr>
      <w:tr>
        <w:trPr>
          <w:trHeight w:val="217"/>
        </w:trPr>
        <w:tc>
          <w:tcPr>
            <w:tcW w:w="80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Medical claims and benefits payable</w:t>
            </w:r>
          </w:p>
        </w:tc>
        <w:tc>
          <w:tcPr>
            <w:tcW w:w="9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296</w:t>
            </w:r>
          </w:p>
        </w:tc>
      </w:tr>
      <w:tr>
        <w:trPr>
          <w:trHeight w:val="215"/>
        </w:trPr>
        <w:tc>
          <w:tcPr>
            <w:tcW w:w="8020" w:type="dxa"/>
            <w:vAlign w:val="bottom"/>
          </w:tcPr>
          <w:p>
            <w:pPr>
              <w:ind w:left="220"/>
              <w:spacing w:after="0"/>
              <w:rPr>
                <w:sz w:val="20"/>
                <w:szCs w:val="20"/>
                <w:color w:val="auto"/>
              </w:rPr>
            </w:pPr>
            <w:r>
              <w:rPr>
                <w:rFonts w:ascii="Arial" w:cs="Arial" w:eastAsia="Arial" w:hAnsi="Arial"/>
                <w:sz w:val="16"/>
                <w:szCs w:val="16"/>
                <w:color w:val="auto"/>
              </w:rPr>
              <w:t>Amounts due government agencies</w:t>
            </w:r>
          </w:p>
        </w:tc>
        <w:tc>
          <w:tcPr>
            <w:tcW w:w="9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183</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270</w:t>
            </w:r>
          </w:p>
        </w:tc>
      </w:tr>
      <w:tr>
        <w:trPr>
          <w:trHeight w:val="217"/>
        </w:trPr>
        <w:tc>
          <w:tcPr>
            <w:tcW w:w="80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Accounts payable, accrued liabilities and other</w:t>
            </w:r>
          </w:p>
        </w:tc>
        <w:tc>
          <w:tcPr>
            <w:tcW w:w="9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(215)</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(215)</w:t>
            </w:r>
          </w:p>
        </w:tc>
      </w:tr>
      <w:tr>
        <w:trPr>
          <w:trHeight w:val="215"/>
        </w:trPr>
        <w:tc>
          <w:tcPr>
            <w:tcW w:w="8020" w:type="dxa"/>
            <w:vAlign w:val="bottom"/>
          </w:tcPr>
          <w:p>
            <w:pPr>
              <w:ind w:left="220"/>
              <w:spacing w:after="0"/>
              <w:rPr>
                <w:sz w:val="20"/>
                <w:szCs w:val="20"/>
                <w:color w:val="auto"/>
              </w:rPr>
            </w:pPr>
            <w:r>
              <w:rPr>
                <w:rFonts w:ascii="Arial" w:cs="Arial" w:eastAsia="Arial" w:hAnsi="Arial"/>
                <w:sz w:val="16"/>
                <w:szCs w:val="16"/>
                <w:color w:val="auto"/>
              </w:rPr>
              <w:t>Deferred revenue</w:t>
            </w:r>
          </w:p>
        </w:tc>
        <w:tc>
          <w:tcPr>
            <w:tcW w:w="9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(90)</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295</w:t>
            </w:r>
          </w:p>
        </w:tc>
      </w:tr>
      <w:tr>
        <w:trPr>
          <w:trHeight w:val="217"/>
        </w:trPr>
        <w:tc>
          <w:tcPr>
            <w:tcW w:w="80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Income taxes</w:t>
            </w:r>
          </w:p>
        </w:tc>
        <w:tc>
          <w:tcPr>
            <w:tcW w:w="98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w:t>
            </w:r>
          </w:p>
        </w:tc>
        <w:tc>
          <w:tcPr>
            <w:tcW w:w="100" w:type="dxa"/>
            <w:vAlign w:val="bottom"/>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101</w:t>
            </w:r>
          </w:p>
        </w:tc>
      </w:tr>
      <w:tr>
        <w:trPr>
          <w:trHeight w:val="209"/>
        </w:trPr>
        <w:tc>
          <w:tcPr>
            <w:tcW w:w="802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Net cash provided by operating activities</w:t>
            </w:r>
          </w:p>
        </w:tc>
        <w:tc>
          <w:tcPr>
            <w:tcW w:w="9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214</w:t>
            </w:r>
          </w:p>
        </w:tc>
        <w:tc>
          <w:tcPr>
            <w:tcW w:w="10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916</w:t>
            </w:r>
          </w:p>
        </w:tc>
      </w:tr>
      <w:tr>
        <w:trPr>
          <w:trHeight w:val="197"/>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Investing activities:</w:t>
            </w:r>
          </w:p>
        </w:tc>
        <w:tc>
          <w:tcPr>
            <w:tcW w:w="9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r>
      <w:tr>
        <w:trPr>
          <w:trHeight w:val="215"/>
        </w:trPr>
        <w:tc>
          <w:tcPr>
            <w:tcW w:w="8020" w:type="dxa"/>
            <w:vAlign w:val="bottom"/>
          </w:tcPr>
          <w:p>
            <w:pPr>
              <w:ind w:left="140"/>
              <w:spacing w:after="0"/>
              <w:rPr>
                <w:sz w:val="20"/>
                <w:szCs w:val="20"/>
                <w:color w:val="auto"/>
              </w:rPr>
            </w:pPr>
            <w:r>
              <w:rPr>
                <w:rFonts w:ascii="Arial" w:cs="Arial" w:eastAsia="Arial" w:hAnsi="Arial"/>
                <w:sz w:val="16"/>
                <w:szCs w:val="16"/>
                <w:color w:val="auto"/>
              </w:rPr>
              <w:t>Purchases of investments</w:t>
            </w:r>
          </w:p>
        </w:tc>
        <w:tc>
          <w:tcPr>
            <w:tcW w:w="9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(380)</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(646)</w:t>
            </w:r>
          </w:p>
        </w:tc>
      </w:tr>
      <w:tr>
        <w:trPr>
          <w:trHeight w:val="217"/>
        </w:trPr>
        <w:tc>
          <w:tcPr>
            <w:tcW w:w="80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Proceeds from sales and maturities of investments</w:t>
            </w:r>
          </w:p>
        </w:tc>
        <w:tc>
          <w:tcPr>
            <w:tcW w:w="9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211</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371</w:t>
            </w:r>
          </w:p>
        </w:tc>
      </w:tr>
      <w:tr>
        <w:trPr>
          <w:trHeight w:val="215"/>
        </w:trPr>
        <w:tc>
          <w:tcPr>
            <w:tcW w:w="8020" w:type="dxa"/>
            <w:vAlign w:val="bottom"/>
          </w:tcPr>
          <w:p>
            <w:pPr>
              <w:ind w:left="140"/>
              <w:spacing w:after="0"/>
              <w:rPr>
                <w:sz w:val="20"/>
                <w:szCs w:val="20"/>
                <w:color w:val="auto"/>
              </w:rPr>
            </w:pPr>
            <w:r>
              <w:rPr>
                <w:rFonts w:ascii="Arial" w:cs="Arial" w:eastAsia="Arial" w:hAnsi="Arial"/>
                <w:sz w:val="16"/>
                <w:szCs w:val="16"/>
                <w:color w:val="auto"/>
              </w:rPr>
              <w:t>Net cash paid in business combinations</w:t>
            </w:r>
          </w:p>
        </w:tc>
        <w:tc>
          <w:tcPr>
            <w:tcW w:w="9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(295)</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7"/>
        </w:trPr>
        <w:tc>
          <w:tcPr>
            <w:tcW w:w="80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Purchases of property, equipment and capitalized software</w:t>
            </w:r>
          </w:p>
        </w:tc>
        <w:tc>
          <w:tcPr>
            <w:tcW w:w="9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w:t>
            </w:r>
          </w:p>
        </w:tc>
      </w:tr>
      <w:tr>
        <w:trPr>
          <w:trHeight w:val="215"/>
        </w:trPr>
        <w:tc>
          <w:tcPr>
            <w:tcW w:w="802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Other, net</w:t>
            </w:r>
          </w:p>
        </w:tc>
        <w:tc>
          <w:tcPr>
            <w:tcW w:w="9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10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r>
      <w:tr>
        <w:trPr>
          <w:trHeight w:val="210"/>
        </w:trPr>
        <w:tc>
          <w:tcPr>
            <w:tcW w:w="80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Net cash used in investing activities</w:t>
            </w:r>
          </w:p>
        </w:tc>
        <w:tc>
          <w:tcPr>
            <w:tcW w:w="98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(488)</w:t>
            </w:r>
          </w:p>
        </w:tc>
        <w:tc>
          <w:tcPr>
            <w:tcW w:w="100" w:type="dxa"/>
            <w:vAlign w:val="bottom"/>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(302)</w:t>
            </w:r>
          </w:p>
        </w:tc>
      </w:tr>
      <w:tr>
        <w:trPr>
          <w:trHeight w:val="195"/>
        </w:trPr>
        <w:tc>
          <w:tcPr>
            <w:tcW w:w="8020" w:type="dxa"/>
            <w:vAlign w:val="bottom"/>
          </w:tcPr>
          <w:p>
            <w:pPr>
              <w:ind w:left="20"/>
              <w:spacing w:after="0"/>
              <w:rPr>
                <w:sz w:val="20"/>
                <w:szCs w:val="20"/>
                <w:color w:val="auto"/>
              </w:rPr>
            </w:pPr>
            <w:r>
              <w:rPr>
                <w:rFonts w:ascii="Arial" w:cs="Arial" w:eastAsia="Arial" w:hAnsi="Arial"/>
                <w:sz w:val="16"/>
                <w:szCs w:val="16"/>
                <w:color w:val="auto"/>
              </w:rPr>
              <w:t>Financing activities:</w:t>
            </w:r>
          </w:p>
        </w:tc>
        <w:tc>
          <w:tcPr>
            <w:tcW w:w="9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500" w:type="dxa"/>
            <w:vAlign w:val="bottom"/>
          </w:tcPr>
          <w:p>
            <w:pPr>
              <w:spacing w:after="0"/>
              <w:rPr>
                <w:sz w:val="16"/>
                <w:szCs w:val="16"/>
                <w:color w:val="auto"/>
              </w:rPr>
            </w:pPr>
          </w:p>
        </w:tc>
      </w:tr>
      <w:tr>
        <w:trPr>
          <w:trHeight w:val="217"/>
        </w:trPr>
        <w:tc>
          <w:tcPr>
            <w:tcW w:w="80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Common stock withheld to settle employee tax obligations</w:t>
            </w:r>
          </w:p>
        </w:tc>
        <w:tc>
          <w:tcPr>
            <w:tcW w:w="9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w:t>
            </w:r>
          </w:p>
        </w:tc>
      </w:tr>
      <w:tr>
        <w:trPr>
          <w:trHeight w:val="215"/>
        </w:trPr>
        <w:tc>
          <w:tcPr>
            <w:tcW w:w="802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Other, net</w:t>
            </w:r>
          </w:p>
        </w:tc>
        <w:tc>
          <w:tcPr>
            <w:tcW w:w="9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w:t>
            </w:r>
          </w:p>
        </w:tc>
        <w:tc>
          <w:tcPr>
            <w:tcW w:w="10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w:t>
            </w:r>
          </w:p>
        </w:tc>
      </w:tr>
      <w:tr>
        <w:trPr>
          <w:trHeight w:val="210"/>
        </w:trPr>
        <w:tc>
          <w:tcPr>
            <w:tcW w:w="80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Net cash used in financing activities</w:t>
            </w:r>
          </w:p>
        </w:tc>
        <w:tc>
          <w:tcPr>
            <w:tcW w:w="98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w:t>
            </w:r>
          </w:p>
        </w:tc>
        <w:tc>
          <w:tcPr>
            <w:tcW w:w="100" w:type="dxa"/>
            <w:vAlign w:val="bottom"/>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w:t>
            </w:r>
          </w:p>
        </w:tc>
      </w:tr>
      <w:tr>
        <w:trPr>
          <w:trHeight w:val="209"/>
        </w:trPr>
        <w:tc>
          <w:tcPr>
            <w:tcW w:w="8020" w:type="dxa"/>
            <w:vAlign w:val="bottom"/>
          </w:tcPr>
          <w:p>
            <w:pPr>
              <w:ind w:left="60"/>
              <w:spacing w:after="0"/>
              <w:rPr>
                <w:sz w:val="20"/>
                <w:szCs w:val="20"/>
                <w:color w:val="auto"/>
              </w:rPr>
            </w:pPr>
            <w:r>
              <w:rPr>
                <w:rFonts w:ascii="Arial" w:cs="Arial" w:eastAsia="Arial" w:hAnsi="Arial"/>
                <w:sz w:val="16"/>
                <w:szCs w:val="16"/>
                <w:color w:val="auto"/>
              </w:rPr>
              <w:t>Net (decrease) increase in cash, cash equivalents, and restricted cash and cash equivalents</w:t>
            </w:r>
          </w:p>
        </w:tc>
        <w:tc>
          <w:tcPr>
            <w:tcW w:w="9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(336)</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549</w:t>
            </w:r>
          </w:p>
        </w:tc>
      </w:tr>
      <w:tr>
        <w:trPr>
          <w:trHeight w:val="216"/>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cash equivalents, and restricted cash and cash equivalents at beginning of period</w:t>
            </w:r>
          </w:p>
        </w:tc>
        <w:tc>
          <w:tcPr>
            <w:tcW w:w="98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4,908</w:t>
            </w:r>
          </w:p>
        </w:tc>
        <w:tc>
          <w:tcPr>
            <w:tcW w:w="100" w:type="dxa"/>
            <w:vAlign w:val="bottom"/>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9"/>
              </w:rPr>
              <w:t>4,048</w:t>
            </w:r>
          </w:p>
        </w:tc>
      </w:tr>
      <w:tr>
        <w:trPr>
          <w:trHeight w:val="210"/>
        </w:trPr>
        <w:tc>
          <w:tcPr>
            <w:tcW w:w="8020" w:type="dxa"/>
            <w:vAlign w:val="bottom"/>
          </w:tcPr>
          <w:p>
            <w:pPr>
              <w:ind w:left="20"/>
              <w:spacing w:after="0"/>
              <w:rPr>
                <w:sz w:val="20"/>
                <w:szCs w:val="20"/>
                <w:color w:val="auto"/>
              </w:rPr>
            </w:pPr>
            <w:r>
              <w:rPr>
                <w:rFonts w:ascii="Arial" w:cs="Arial" w:eastAsia="Arial" w:hAnsi="Arial"/>
                <w:sz w:val="16"/>
                <w:szCs w:val="16"/>
                <w:color w:val="auto"/>
              </w:rPr>
              <w:t>Cash, cash equivalents, and restricted cash and cash equivalents at end of period</w:t>
            </w:r>
          </w:p>
        </w:tc>
        <w:tc>
          <w:tcPr>
            <w:tcW w:w="980" w:type="dxa"/>
            <w:vAlign w:val="bottom"/>
            <w:tcBorders>
              <w:bottom w:val="single" w:sz="8" w:color="auto"/>
            </w:tcBorders>
          </w:tcPr>
          <w:p>
            <w:pPr>
              <w:jc w:val="right"/>
              <w:ind w:right="804"/>
              <w:spacing w:after="0"/>
              <w:rPr>
                <w:sz w:val="20"/>
                <w:szCs w:val="20"/>
                <w:color w:val="auto"/>
              </w:rPr>
            </w:pPr>
            <w:r>
              <w:rPr>
                <w:rFonts w:ascii="Arial" w:cs="Arial" w:eastAsia="Arial" w:hAnsi="Arial"/>
                <w:sz w:val="16"/>
                <w:szCs w:val="16"/>
                <w:color w:val="auto"/>
                <w:w w:val="8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4,572</w:t>
            </w:r>
          </w:p>
        </w:tc>
        <w:tc>
          <w:tcPr>
            <w:tcW w:w="100" w:type="dxa"/>
            <w:vAlign w:val="bottom"/>
          </w:tcPr>
          <w:p>
            <w:pPr>
              <w:spacing w:after="0"/>
              <w:rPr>
                <w:sz w:val="18"/>
                <w:szCs w:val="18"/>
                <w:color w:val="auto"/>
              </w:rPr>
            </w:pPr>
          </w:p>
        </w:tc>
        <w:tc>
          <w:tcPr>
            <w:tcW w:w="1040" w:type="dxa"/>
            <w:vAlign w:val="bottom"/>
            <w:tcBorders>
              <w:bottom w:val="single" w:sz="8" w:color="auto"/>
            </w:tcBorders>
          </w:tcPr>
          <w:p>
            <w:pPr>
              <w:jc w:val="right"/>
              <w:ind w:right="862"/>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9"/>
              </w:rPr>
              <w:t>4,597</w:t>
            </w:r>
          </w:p>
        </w:tc>
      </w:tr>
      <w:tr>
        <w:trPr>
          <w:trHeight w:val="20"/>
        </w:trPr>
        <w:tc>
          <w:tcPr>
            <w:tcW w:w="80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March 31, 2024 Form 10-Q |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22"/>
          <w:szCs w:val="22"/>
          <w:b w:val="1"/>
          <w:bCs w:val="1"/>
          <w:color w:val="0F7C7F"/>
        </w:rPr>
        <w:t>NOTES TO CONSOLIDATED FINANCIAL STATEMENTS (UNAUDITED)</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828282"/>
        </w:rPr>
        <w:t>MARCH 31, 2024</w:t>
      </w:r>
    </w:p>
    <w:p>
      <w:pPr>
        <w:spacing w:after="0" w:line="360" w:lineRule="exact"/>
        <w:rPr>
          <w:sz w:val="20"/>
          <w:szCs w:val="20"/>
          <w:color w:val="auto"/>
        </w:rPr>
      </w:pPr>
    </w:p>
    <w:p>
      <w:pPr>
        <w:ind w:right="7680" w:firstLine="8"/>
        <w:spacing w:after="0" w:line="397" w:lineRule="auto"/>
        <w:tabs>
          <w:tab w:leader="none" w:pos="200" w:val="left"/>
        </w:tabs>
        <w:numPr>
          <w:ilvl w:val="0"/>
          <w:numId w:val="3"/>
        </w:numPr>
        <w:rPr>
          <w:rFonts w:ascii="Arial" w:cs="Arial" w:eastAsia="Arial" w:hAnsi="Arial"/>
          <w:sz w:val="17"/>
          <w:szCs w:val="17"/>
          <w:b w:val="1"/>
          <w:bCs w:val="1"/>
          <w:color w:val="828282"/>
        </w:rPr>
      </w:pPr>
      <w:r>
        <w:rPr>
          <w:rFonts w:ascii="Arial" w:cs="Arial" w:eastAsia="Arial" w:hAnsi="Arial"/>
          <w:sz w:val="17"/>
          <w:szCs w:val="17"/>
          <w:b w:val="1"/>
          <w:bCs w:val="1"/>
          <w:color w:val="828282"/>
        </w:rPr>
        <w:t xml:space="preserve">Organization and Basis of Presentation </w:t>
      </w:r>
      <w:r>
        <w:rPr>
          <w:rFonts w:ascii="Arial" w:cs="Arial" w:eastAsia="Arial" w:hAnsi="Arial"/>
          <w:sz w:val="17"/>
          <w:szCs w:val="17"/>
          <w:b w:val="1"/>
          <w:bCs w:val="1"/>
          <w:i w:val="1"/>
          <w:iCs w:val="1"/>
          <w:color w:val="000000"/>
        </w:rPr>
        <w:t>Organization and Operations</w:t>
      </w:r>
    </w:p>
    <w:p>
      <w:pPr>
        <w:spacing w:after="0" w:line="1" w:lineRule="exact"/>
        <w:rPr>
          <w:sz w:val="20"/>
          <w:szCs w:val="20"/>
          <w:color w:val="auto"/>
        </w:rPr>
      </w:pPr>
    </w:p>
    <w:p>
      <w:pPr>
        <w:jc w:val="both"/>
        <w:ind w:right="100"/>
        <w:spacing w:after="0" w:line="268" w:lineRule="auto"/>
        <w:rPr>
          <w:sz w:val="20"/>
          <w:szCs w:val="20"/>
          <w:color w:val="auto"/>
        </w:rPr>
      </w:pPr>
      <w:r>
        <w:rPr>
          <w:rFonts w:ascii="Arial" w:cs="Arial" w:eastAsia="Arial" w:hAnsi="Arial"/>
          <w:sz w:val="18"/>
          <w:szCs w:val="18"/>
          <w:color w:val="auto"/>
        </w:rPr>
        <w:t>Molina Healthcare, Inc. provides managed healthcare services under the Medicaid and Medicare programs, and through the state insurance marketplaces (the “Marketplace”). We currently have four reportable segments consisting of: 1) Medicaid; 2) Medicare; 3) Marketplace; and 4) Other. Our reportable segments are consistent with how we currently manage the business and view the markets we serve.</w:t>
      </w:r>
    </w:p>
    <w:p>
      <w:pPr>
        <w:spacing w:after="0" w:line="63" w:lineRule="exact"/>
        <w:rPr>
          <w:sz w:val="20"/>
          <w:szCs w:val="20"/>
          <w:color w:val="auto"/>
        </w:rPr>
      </w:pPr>
    </w:p>
    <w:p>
      <w:pPr>
        <w:ind w:right="40"/>
        <w:spacing w:after="0" w:line="287" w:lineRule="auto"/>
        <w:rPr>
          <w:sz w:val="20"/>
          <w:szCs w:val="20"/>
          <w:color w:val="auto"/>
        </w:rPr>
      </w:pPr>
      <w:r>
        <w:rPr>
          <w:rFonts w:ascii="Arial" w:cs="Arial" w:eastAsia="Arial" w:hAnsi="Arial"/>
          <w:sz w:val="18"/>
          <w:szCs w:val="18"/>
          <w:color w:val="auto"/>
        </w:rPr>
        <w:t>As of March 31, 2024, we served approximately 5.7 million members eligible for government-sponsored healthcare programs, located across 21 states.</w:t>
      </w:r>
    </w:p>
    <w:p>
      <w:pPr>
        <w:spacing w:after="0" w:line="45"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Our state Medicaid contracts typically have terms of three to five years, contain renewal options exercisable by the state Medicaid agency, and allow either the state or the health plan to terminate the contract with or without cause. Such contracts are subject to risk of loss in states that issue requests for proposal (“RFP”) open to competitive bidding by other health plans. If one of our health plans is not a successful responsive bidder to a state RFP, its contract may not be renewed.</w:t>
      </w:r>
    </w:p>
    <w:p>
      <w:pPr>
        <w:spacing w:after="0" w:line="68" w:lineRule="exact"/>
        <w:rPr>
          <w:sz w:val="20"/>
          <w:szCs w:val="20"/>
          <w:color w:val="auto"/>
        </w:rPr>
      </w:pPr>
    </w:p>
    <w:p>
      <w:pPr>
        <w:jc w:val="both"/>
        <w:ind w:right="100"/>
        <w:spacing w:after="0" w:line="268" w:lineRule="auto"/>
        <w:rPr>
          <w:sz w:val="20"/>
          <w:szCs w:val="20"/>
          <w:color w:val="auto"/>
        </w:rPr>
      </w:pPr>
      <w:r>
        <w:rPr>
          <w:rFonts w:ascii="Arial" w:cs="Arial" w:eastAsia="Arial" w:hAnsi="Arial"/>
          <w:sz w:val="18"/>
          <w:szCs w:val="18"/>
          <w:color w:val="auto"/>
        </w:rPr>
        <w:t>In addition to contract renewal, our state Medicaid contracts may be periodically amended to include or exclude certain health benefits (such as pharmacy services, behavioral health services, or long-term care services); populations such as the aged, blind or disabled (“ABD”); and regions or service areas.</w:t>
      </w:r>
    </w:p>
    <w:p>
      <w:pPr>
        <w:spacing w:after="0" w:line="63" w:lineRule="exact"/>
        <w:rPr>
          <w:sz w:val="20"/>
          <w:szCs w:val="20"/>
          <w:color w:val="auto"/>
        </w:rPr>
      </w:pPr>
    </w:p>
    <w:p>
      <w:pPr>
        <w:jc w:val="both"/>
        <w:ind w:right="40"/>
        <w:spacing w:after="0" w:line="268" w:lineRule="auto"/>
        <w:rPr>
          <w:sz w:val="20"/>
          <w:szCs w:val="20"/>
          <w:color w:val="auto"/>
        </w:rPr>
      </w:pPr>
      <w:r>
        <w:rPr>
          <w:rFonts w:ascii="Arial" w:cs="Arial" w:eastAsia="Arial" w:hAnsi="Arial"/>
          <w:sz w:val="18"/>
          <w:szCs w:val="18"/>
          <w:color w:val="auto"/>
        </w:rPr>
        <w:t>In Medicare, we enter into Medicare Advantage-Part D contracts with the Centers for Medicare and Medicaid Services (“CMS”) annually, and for dual-eligible programs, we enter into contracts with CMS, in partnership with each state’s department of health and human services. Such contracts typically have terms of one to three years.</w:t>
      </w:r>
    </w:p>
    <w:p>
      <w:pPr>
        <w:spacing w:after="0" w:line="63" w:lineRule="exact"/>
        <w:rPr>
          <w:sz w:val="20"/>
          <w:szCs w:val="20"/>
          <w:color w:val="auto"/>
        </w:rPr>
      </w:pPr>
    </w:p>
    <w:p>
      <w:pPr>
        <w:ind w:right="1420"/>
        <w:spacing w:after="0" w:line="375" w:lineRule="auto"/>
        <w:rPr>
          <w:sz w:val="20"/>
          <w:szCs w:val="20"/>
          <w:color w:val="auto"/>
        </w:rPr>
      </w:pPr>
      <w:r>
        <w:rPr>
          <w:rFonts w:ascii="Arial" w:cs="Arial" w:eastAsia="Arial" w:hAnsi="Arial"/>
          <w:sz w:val="18"/>
          <w:szCs w:val="18"/>
          <w:color w:val="auto"/>
        </w:rPr>
        <w:t xml:space="preserve">In Marketplace, we enter into contracts with CMS, which end on December 31 of each year, and must be renewed annually. </w:t>
      </w:r>
      <w:r>
        <w:rPr>
          <w:rFonts w:ascii="Arial" w:cs="Arial" w:eastAsia="Arial" w:hAnsi="Arial"/>
          <w:sz w:val="18"/>
          <w:szCs w:val="18"/>
          <w:b w:val="1"/>
          <w:bCs w:val="1"/>
          <w:i w:val="1"/>
          <w:iCs w:val="1"/>
          <w:color w:val="auto"/>
        </w:rPr>
        <w:t>Recent Developments</w:t>
      </w:r>
    </w:p>
    <w:p>
      <w:pPr>
        <w:spacing w:after="0" w:line="1" w:lineRule="exact"/>
        <w:rPr>
          <w:sz w:val="20"/>
          <w:szCs w:val="20"/>
          <w:color w:val="auto"/>
        </w:rPr>
      </w:pPr>
    </w:p>
    <w:p>
      <w:pPr>
        <w:ind w:right="180"/>
        <w:spacing w:after="0" w:line="318" w:lineRule="auto"/>
        <w:rPr>
          <w:sz w:val="20"/>
          <w:szCs w:val="20"/>
          <w:color w:val="auto"/>
        </w:rPr>
      </w:pPr>
      <w:r>
        <w:rPr>
          <w:rFonts w:ascii="Arial" w:cs="Arial" w:eastAsia="Arial" w:hAnsi="Arial"/>
          <w:sz w:val="17"/>
          <w:szCs w:val="17"/>
          <w:i w:val="1"/>
          <w:iCs w:val="1"/>
          <w:color w:val="auto"/>
        </w:rPr>
        <w:t xml:space="preserve">Florida Procurement—Medicaid. </w:t>
      </w:r>
      <w:r>
        <w:rPr>
          <w:rFonts w:ascii="Arial" w:cs="Arial" w:eastAsia="Arial" w:hAnsi="Arial"/>
          <w:sz w:val="17"/>
          <w:szCs w:val="17"/>
          <w:color w:val="auto"/>
        </w:rPr>
        <w:t>In April 2024, we were notified that the Florida Agency for Health Care Administration issued a notice of</w:t>
      </w:r>
      <w:r>
        <w:rPr>
          <w:rFonts w:ascii="Arial" w:cs="Arial" w:eastAsia="Arial" w:hAnsi="Arial"/>
          <w:sz w:val="17"/>
          <w:szCs w:val="17"/>
          <w:i w:val="1"/>
          <w:iCs w:val="1"/>
          <w:color w:val="auto"/>
        </w:rPr>
        <w:t xml:space="preserve"> </w:t>
      </w:r>
      <w:r>
        <w:rPr>
          <w:rFonts w:ascii="Arial" w:cs="Arial" w:eastAsia="Arial" w:hAnsi="Arial"/>
          <w:sz w:val="17"/>
          <w:szCs w:val="17"/>
          <w:color w:val="auto"/>
        </w:rPr>
        <w:t>invitation to negotiate which did not include Molina Healthcare of Florida as an awardee. We are exercising our right to protest the decision.</w:t>
      </w:r>
    </w:p>
    <w:p>
      <w:pPr>
        <w:spacing w:after="0" w:line="22"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i w:val="1"/>
          <w:iCs w:val="1"/>
          <w:color w:val="auto"/>
        </w:rPr>
        <w:t xml:space="preserve">Michigan Procurement—Medicaid. </w:t>
      </w:r>
      <w:r>
        <w:rPr>
          <w:rFonts w:ascii="Arial" w:cs="Arial" w:eastAsia="Arial" w:hAnsi="Arial"/>
          <w:sz w:val="18"/>
          <w:szCs w:val="18"/>
          <w:color w:val="auto"/>
        </w:rPr>
        <w:t>In April 2024, we announced that the Michigan Department of Health and Human Services intends to</w:t>
      </w:r>
      <w:r>
        <w:rPr>
          <w:rFonts w:ascii="Arial" w:cs="Arial" w:eastAsia="Arial" w:hAnsi="Arial"/>
          <w:sz w:val="18"/>
          <w:szCs w:val="18"/>
          <w:i w:val="1"/>
          <w:iCs w:val="1"/>
          <w:color w:val="auto"/>
        </w:rPr>
        <w:t xml:space="preserve"> </w:t>
      </w:r>
      <w:r>
        <w:rPr>
          <w:rFonts w:ascii="Arial" w:cs="Arial" w:eastAsia="Arial" w:hAnsi="Arial"/>
          <w:sz w:val="18"/>
          <w:szCs w:val="18"/>
          <w:color w:val="auto"/>
        </w:rPr>
        <w:t>award a Comprehensive Health Care Program contract to Molina Healthcare of Michigan. We were awarded the contract in six service regions. The go-live date for the new Medicaid contract is expected to be October 1, 2024. The new contract is expected to have a duration of five years, with three, one-year optional extensions.</w:t>
      </w:r>
    </w:p>
    <w:p>
      <w:pPr>
        <w:spacing w:after="0" w:line="68"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i w:val="1"/>
          <w:iCs w:val="1"/>
          <w:color w:val="auto"/>
        </w:rPr>
        <w:t xml:space="preserve">Texas Procurement—Medicaid. </w:t>
      </w:r>
      <w:r>
        <w:rPr>
          <w:rFonts w:ascii="Arial" w:cs="Arial" w:eastAsia="Arial" w:hAnsi="Arial"/>
          <w:sz w:val="18"/>
          <w:szCs w:val="18"/>
          <w:color w:val="auto"/>
        </w:rPr>
        <w:t>In March 2024, we were notified of the Texas Health and Human Services Commission’s intent to award us a</w:t>
      </w:r>
      <w:r>
        <w:rPr>
          <w:rFonts w:ascii="Arial" w:cs="Arial" w:eastAsia="Arial" w:hAnsi="Arial"/>
          <w:sz w:val="18"/>
          <w:szCs w:val="18"/>
          <w:i w:val="1"/>
          <w:iCs w:val="1"/>
          <w:color w:val="auto"/>
        </w:rPr>
        <w:t xml:space="preserve"> </w:t>
      </w:r>
      <w:r>
        <w:rPr>
          <w:rFonts w:ascii="Arial" w:cs="Arial" w:eastAsia="Arial" w:hAnsi="Arial"/>
          <w:sz w:val="18"/>
          <w:szCs w:val="18"/>
          <w:color w:val="auto"/>
        </w:rPr>
        <w:t>contract for TANF and CHIP (known as the STAR &amp; CHIP programs, and both existing contracts for Molina), expanding our footprint and expecting to grow our market share. The start of operations for the new contract is expected to begin in the third quarter of 2025.</w:t>
      </w:r>
    </w:p>
    <w:p>
      <w:pPr>
        <w:spacing w:after="0" w:line="63"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i w:val="1"/>
          <w:iCs w:val="1"/>
          <w:color w:val="auto"/>
        </w:rPr>
        <w:t xml:space="preserve">Mississippi Procurement—Medicaid. </w:t>
      </w:r>
      <w:r>
        <w:rPr>
          <w:rFonts w:ascii="Arial" w:cs="Arial" w:eastAsia="Arial" w:hAnsi="Arial"/>
          <w:sz w:val="18"/>
          <w:szCs w:val="18"/>
          <w:color w:val="auto"/>
        </w:rPr>
        <w:t>In the first quarter of 2024, Mississippi Division of Medicaid signaled its intention to further extend the</w:t>
      </w:r>
      <w:r>
        <w:rPr>
          <w:rFonts w:ascii="Arial" w:cs="Arial" w:eastAsia="Arial" w:hAnsi="Arial"/>
          <w:sz w:val="18"/>
          <w:szCs w:val="18"/>
          <w:i w:val="1"/>
          <w:iCs w:val="1"/>
          <w:color w:val="auto"/>
        </w:rPr>
        <w:t xml:space="preserve"> </w:t>
      </w:r>
      <w:r>
        <w:rPr>
          <w:rFonts w:ascii="Arial" w:cs="Arial" w:eastAsia="Arial" w:hAnsi="Arial"/>
          <w:sz w:val="18"/>
          <w:szCs w:val="18"/>
          <w:color w:val="auto"/>
        </w:rPr>
        <w:t>existing contracts for at least part of the state fiscal year that will begin on July 1, 2024. We now expect the new four-year contract to commence between September 1, 2024 and July 1, 2025.</w:t>
      </w:r>
    </w:p>
    <w:p>
      <w:pPr>
        <w:spacing w:after="0" w:line="63"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i w:val="1"/>
          <w:iCs w:val="1"/>
          <w:color w:val="auto"/>
        </w:rPr>
        <w:t xml:space="preserve">Virginia Procurement—Medicaid. </w:t>
      </w:r>
      <w:r>
        <w:rPr>
          <w:rFonts w:ascii="Arial" w:cs="Arial" w:eastAsia="Arial" w:hAnsi="Arial"/>
          <w:sz w:val="18"/>
          <w:szCs w:val="18"/>
          <w:color w:val="auto"/>
        </w:rPr>
        <w:t>In the first quarter of 2024, the Virginia Department of Medical Assistance Services (“DMAS”) issued a</w:t>
      </w:r>
      <w:r>
        <w:rPr>
          <w:rFonts w:ascii="Arial" w:cs="Arial" w:eastAsia="Arial" w:hAnsi="Arial"/>
          <w:sz w:val="18"/>
          <w:szCs w:val="18"/>
          <w:i w:val="1"/>
          <w:iCs w:val="1"/>
          <w:color w:val="auto"/>
        </w:rPr>
        <w:t xml:space="preserve"> </w:t>
      </w:r>
      <w:r>
        <w:rPr>
          <w:rFonts w:ascii="Arial" w:cs="Arial" w:eastAsia="Arial" w:hAnsi="Arial"/>
          <w:sz w:val="18"/>
          <w:szCs w:val="18"/>
          <w:color w:val="auto"/>
        </w:rPr>
        <w:t>notice of intent to award which did not include Molina Healthcare of Virginia as an awardee for its Cardinal Care Managed Care (“CCMC”) procurement. We exercised our right to protest that decision. On April 19, 2024, DMAS upheld its notice of intent to award in response to our protest. Molina intends to file a legal action in Virginia District Court over DMAS’s decision not to award Molina a CCMC contract. In addition, DMAS separately notified us that they were exercising the contractual extension option for the period from July 1, 2024 through June 30, 2025. Despite the extension, subject to a 90-day advance notice obligation, DMAS retains its right to terminate the contract for convenience in order to transition members to the new CCMC contracts.</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March 31, 2024 Form 10-Q |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right="380"/>
        <w:spacing w:after="0" w:line="287" w:lineRule="auto"/>
        <w:rPr>
          <w:sz w:val="20"/>
          <w:szCs w:val="20"/>
          <w:color w:val="auto"/>
        </w:rPr>
      </w:pPr>
      <w:r>
        <w:rPr>
          <w:rFonts w:ascii="Arial" w:cs="Arial" w:eastAsia="Arial" w:hAnsi="Arial"/>
          <w:sz w:val="18"/>
          <w:szCs w:val="18"/>
          <w:i w:val="1"/>
          <w:iCs w:val="1"/>
          <w:color w:val="auto"/>
        </w:rPr>
        <w:t xml:space="preserve">California Acquisition—Medicare. </w:t>
      </w:r>
      <w:r>
        <w:rPr>
          <w:rFonts w:ascii="Arial" w:cs="Arial" w:eastAsia="Arial" w:hAnsi="Arial"/>
          <w:sz w:val="18"/>
          <w:szCs w:val="18"/>
          <w:color w:val="auto"/>
        </w:rPr>
        <w:t>Effective January 1, 2024, we closed on our acquisition of 100% of the issued and outstanding capital</w:t>
      </w:r>
      <w:r>
        <w:rPr>
          <w:rFonts w:ascii="Arial" w:cs="Arial" w:eastAsia="Arial" w:hAnsi="Arial"/>
          <w:sz w:val="18"/>
          <w:szCs w:val="18"/>
          <w:i w:val="1"/>
          <w:iCs w:val="1"/>
          <w:color w:val="auto"/>
        </w:rPr>
        <w:t xml:space="preserve"> </w:t>
      </w:r>
      <w:r>
        <w:rPr>
          <w:rFonts w:ascii="Arial" w:cs="Arial" w:eastAsia="Arial" w:hAnsi="Arial"/>
          <w:sz w:val="18"/>
          <w:szCs w:val="18"/>
          <w:color w:val="auto"/>
        </w:rPr>
        <w:t>stock of Brand New Day and Central Health Plan of California (“Bright Health Medicare”), which added approximately 109,000 members.</w:t>
      </w:r>
    </w:p>
    <w:p>
      <w:pPr>
        <w:spacing w:after="0" w:line="45" w:lineRule="exact"/>
        <w:rPr>
          <w:sz w:val="20"/>
          <w:szCs w:val="20"/>
          <w:color w:val="auto"/>
        </w:rPr>
      </w:pPr>
    </w:p>
    <w:p>
      <w:pPr>
        <w:jc w:val="both"/>
        <w:ind w:right="340"/>
        <w:spacing w:after="0" w:line="268" w:lineRule="auto"/>
        <w:rPr>
          <w:sz w:val="20"/>
          <w:szCs w:val="20"/>
          <w:color w:val="auto"/>
        </w:rPr>
      </w:pPr>
      <w:r>
        <w:rPr>
          <w:rFonts w:ascii="Arial" w:cs="Arial" w:eastAsia="Arial" w:hAnsi="Arial"/>
          <w:sz w:val="18"/>
          <w:szCs w:val="18"/>
          <w:i w:val="1"/>
          <w:iCs w:val="1"/>
          <w:color w:val="auto"/>
        </w:rPr>
        <w:t xml:space="preserve">California Procurement—Medicaid. </w:t>
      </w:r>
      <w:r>
        <w:rPr>
          <w:rFonts w:ascii="Arial" w:cs="Arial" w:eastAsia="Arial" w:hAnsi="Arial"/>
          <w:sz w:val="18"/>
          <w:szCs w:val="18"/>
          <w:color w:val="auto"/>
        </w:rPr>
        <w:t>Our new contract with the California Department of Health Care Services commenced on January 1,</w:t>
      </w:r>
      <w:r>
        <w:rPr>
          <w:rFonts w:ascii="Arial" w:cs="Arial" w:eastAsia="Arial" w:hAnsi="Arial"/>
          <w:sz w:val="18"/>
          <w:szCs w:val="18"/>
          <w:i w:val="1"/>
          <w:iCs w:val="1"/>
          <w:color w:val="auto"/>
        </w:rPr>
        <w:t xml:space="preserve"> </w:t>
      </w:r>
      <w:r>
        <w:rPr>
          <w:rFonts w:ascii="Arial" w:cs="Arial" w:eastAsia="Arial" w:hAnsi="Arial"/>
          <w:sz w:val="18"/>
          <w:szCs w:val="18"/>
          <w:color w:val="auto"/>
        </w:rPr>
        <w:t>2024, which enables us to continue servicing Medi-Cal members in most of our existing counties and expand our footprint in Los Angeles County.</w:t>
      </w:r>
    </w:p>
    <w:p>
      <w:pPr>
        <w:spacing w:after="0" w:line="63" w:lineRule="exact"/>
        <w:rPr>
          <w:sz w:val="20"/>
          <w:szCs w:val="20"/>
          <w:color w:val="auto"/>
        </w:rPr>
      </w:pPr>
    </w:p>
    <w:p>
      <w:pPr>
        <w:ind w:right="80"/>
        <w:spacing w:after="0" w:line="287" w:lineRule="auto"/>
        <w:rPr>
          <w:sz w:val="20"/>
          <w:szCs w:val="20"/>
          <w:color w:val="auto"/>
        </w:rPr>
      </w:pPr>
      <w:r>
        <w:rPr>
          <w:rFonts w:ascii="Arial" w:cs="Arial" w:eastAsia="Arial" w:hAnsi="Arial"/>
          <w:sz w:val="18"/>
          <w:szCs w:val="18"/>
          <w:i w:val="1"/>
          <w:iCs w:val="1"/>
          <w:color w:val="auto"/>
        </w:rPr>
        <w:t xml:space="preserve">Nebraska Procurement—Medicaid. </w:t>
      </w:r>
      <w:r>
        <w:rPr>
          <w:rFonts w:ascii="Arial" w:cs="Arial" w:eastAsia="Arial" w:hAnsi="Arial"/>
          <w:sz w:val="18"/>
          <w:szCs w:val="18"/>
          <w:color w:val="auto"/>
        </w:rPr>
        <w:t>Our new contract with the Nebraska Department of Health and Human Services commenced on January</w:t>
      </w:r>
      <w:r>
        <w:rPr>
          <w:rFonts w:ascii="Arial" w:cs="Arial" w:eastAsia="Arial" w:hAnsi="Arial"/>
          <w:sz w:val="18"/>
          <w:szCs w:val="18"/>
          <w:i w:val="1"/>
          <w:iCs w:val="1"/>
          <w:color w:val="auto"/>
        </w:rPr>
        <w:t xml:space="preserve"> </w:t>
      </w:r>
      <w:r>
        <w:rPr>
          <w:rFonts w:ascii="Arial" w:cs="Arial" w:eastAsia="Arial" w:hAnsi="Arial"/>
          <w:sz w:val="18"/>
          <w:szCs w:val="18"/>
          <w:color w:val="auto"/>
        </w:rPr>
        <w:t>1, 2024, which added approximately 111,000 members.</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Consolidation and Interim Financial Information</w:t>
      </w:r>
    </w:p>
    <w:p>
      <w:pPr>
        <w:spacing w:after="0" w:line="11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consolidated financial statements include the accounts of Molina Healthcare, Inc. and its subsidiaries. In the opinion of management, these financial statements reflect all normal recurring adjustments, which are considered necessary for a fair presentation of the results as of the dates and for the interim periods presented. All significant intercompany balances and transactions have been eliminated. The consolidated results of operations for the three months ended March 31, 2024 are not necessarily indicative of the results for the entire year ending December 31, 2024.</w:t>
      </w:r>
    </w:p>
    <w:p>
      <w:pPr>
        <w:spacing w:after="0" w:line="71"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color w:val="auto"/>
        </w:rPr>
        <w:t>The unaudited consolidated interim financial statements have been prepared under the assumption that users of the interim financial data have either read or have access to our audited consolidated financial statements for the fiscal year ended December 31, 2023. Accordingly, certain disclosures that would substantially duplicate the disclosures contained in our December 31, 2023, audited consolidated financial statements have been omitted.</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5"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The preparation of consolidated financial statements in conformity with U.S. generally accepted accounting principles (“GAAP”) requires management to make estimates and assumptions that affect the reported amounts of assets and liabilities. Estimates also affect the reported amounts of revenues and expenses during the reporting period. Actual results could differ from these estimates.</w:t>
      </w:r>
    </w:p>
    <w:p>
      <w:pPr>
        <w:spacing w:after="0" w:line="306" w:lineRule="exact"/>
        <w:rPr>
          <w:sz w:val="20"/>
          <w:szCs w:val="20"/>
          <w:color w:val="auto"/>
        </w:rPr>
      </w:pPr>
    </w:p>
    <w:p>
      <w:pPr>
        <w:ind w:right="8340" w:firstLine="8"/>
        <w:spacing w:after="0" w:line="375" w:lineRule="auto"/>
        <w:tabs>
          <w:tab w:leader="none" w:pos="200" w:val="left"/>
        </w:tabs>
        <w:numPr>
          <w:ilvl w:val="0"/>
          <w:numId w:val="4"/>
        </w:numPr>
        <w:rPr>
          <w:rFonts w:ascii="Arial" w:cs="Arial" w:eastAsia="Arial" w:hAnsi="Arial"/>
          <w:sz w:val="18"/>
          <w:szCs w:val="18"/>
          <w:b w:val="1"/>
          <w:bCs w:val="1"/>
          <w:color w:val="828282"/>
        </w:rPr>
      </w:pPr>
      <w:r>
        <w:rPr>
          <w:rFonts w:ascii="Arial" w:cs="Arial" w:eastAsia="Arial" w:hAnsi="Arial"/>
          <w:sz w:val="18"/>
          <w:szCs w:val="18"/>
          <w:b w:val="1"/>
          <w:bCs w:val="1"/>
          <w:color w:val="828282"/>
        </w:rPr>
        <w:t xml:space="preserve">Significant Accounting Policies </w:t>
      </w:r>
      <w:r>
        <w:rPr>
          <w:rFonts w:ascii="Arial" w:cs="Arial" w:eastAsia="Arial" w:hAnsi="Arial"/>
          <w:sz w:val="18"/>
          <w:szCs w:val="18"/>
          <w:b w:val="1"/>
          <w:bCs w:val="1"/>
          <w:i w:val="1"/>
          <w:iCs w:val="1"/>
          <w:color w:val="000000"/>
        </w:rPr>
        <w:t>Cash and Cash Equivalents</w:t>
      </w:r>
    </w:p>
    <w:p>
      <w:pPr>
        <w:spacing w:after="0" w:line="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Cash and cash equivalents consist of cash and short-term, highly liquid investments that are both readily convertible into known amounts of cash and have a maturity of three months or less on the date of purchase. The following table provides a reconciliation of cash, cash equivalents, and restricted cash and cash equivalents reported within the accompanying consolidated balance sheets that sum to the total of the same such amounts presented in the accompanying consolidated statements of cash flows. The restricted cash and cash equivalents presented below are included in “Restricted investments” in the accompanying consolidated balance sheets.</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8240" w:type="dxa"/>
            <w:vAlign w:val="bottom"/>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gridSpan w:val="3"/>
          </w:tcPr>
          <w:p>
            <w:pPr>
              <w:jc w:val="right"/>
              <w:ind w:right="99"/>
              <w:spacing w:after="0"/>
              <w:rPr>
                <w:sz w:val="20"/>
                <w:szCs w:val="20"/>
                <w:color w:val="auto"/>
              </w:rPr>
            </w:pPr>
            <w:r>
              <w:rPr>
                <w:rFonts w:ascii="Arial" w:cs="Arial" w:eastAsia="Arial" w:hAnsi="Arial"/>
                <w:sz w:val="14"/>
                <w:szCs w:val="14"/>
                <w:b w:val="1"/>
                <w:bCs w:val="1"/>
                <w:color w:val="auto"/>
              </w:rPr>
              <w:t>March 31,</w:t>
            </w:r>
          </w:p>
        </w:tc>
        <w:tc>
          <w:tcPr>
            <w:tcW w:w="9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240" w:type="dxa"/>
            <w:vAlign w:val="bottom"/>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2024</w:t>
            </w:r>
          </w:p>
        </w:tc>
        <w:tc>
          <w:tcPr>
            <w:tcW w:w="5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81"/>
              <w:spacing w:after="0"/>
              <w:rPr>
                <w:sz w:val="20"/>
                <w:szCs w:val="20"/>
                <w:color w:val="auto"/>
              </w:rPr>
            </w:pPr>
            <w:r>
              <w:rPr>
                <w:rFonts w:ascii="Arial" w:cs="Arial" w:eastAsia="Arial" w:hAnsi="Arial"/>
                <w:sz w:val="14"/>
                <w:szCs w:val="14"/>
                <w:b w:val="1"/>
                <w:bCs w:val="1"/>
                <w:color w:val="auto"/>
              </w:rPr>
              <w:t>2023</w:t>
            </w:r>
          </w:p>
        </w:tc>
        <w:tc>
          <w:tcPr>
            <w:tcW w:w="0" w:type="dxa"/>
            <w:vAlign w:val="bottom"/>
          </w:tcPr>
          <w:p>
            <w:pPr>
              <w:spacing w:after="0"/>
              <w:rPr>
                <w:sz w:val="1"/>
                <w:szCs w:val="1"/>
                <w:color w:val="auto"/>
              </w:rPr>
            </w:pPr>
          </w:p>
        </w:tc>
      </w:tr>
      <w:tr>
        <w:trPr>
          <w:trHeight w:val="237"/>
        </w:trPr>
        <w:tc>
          <w:tcPr>
            <w:tcW w:w="8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100" w:type="dxa"/>
            <w:vAlign w:val="bottom"/>
            <w:gridSpan w:val="3"/>
          </w:tcPr>
          <w:p>
            <w:pPr>
              <w:jc w:val="right"/>
              <w:ind w:right="39"/>
              <w:spacing w:after="0"/>
              <w:rPr>
                <w:sz w:val="20"/>
                <w:szCs w:val="20"/>
                <w:color w:val="auto"/>
              </w:rPr>
            </w:pPr>
            <w:r>
              <w:rPr>
                <w:rFonts w:ascii="Arial" w:cs="Arial" w:eastAsia="Arial" w:hAnsi="Arial"/>
                <w:sz w:val="14"/>
                <w:szCs w:val="14"/>
                <w:b w:val="1"/>
                <w:bCs w:val="1"/>
                <w:color w:val="auto"/>
              </w:rPr>
              <w:t>(In millions)</w:t>
            </w: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7"/>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and cash equivalents</w:t>
            </w:r>
          </w:p>
        </w:tc>
        <w:tc>
          <w:tcPr>
            <w:tcW w:w="920" w:type="dxa"/>
            <w:vAlign w:val="bottom"/>
            <w:shd w:val="clear" w:color="auto" w:fill="CCEEFF"/>
          </w:tcPr>
          <w:p>
            <w:pPr>
              <w:jc w:val="right"/>
              <w:ind w:right="722"/>
              <w:spacing w:after="0"/>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4,513</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4,554</w:t>
            </w:r>
          </w:p>
        </w:tc>
        <w:tc>
          <w:tcPr>
            <w:tcW w:w="0" w:type="dxa"/>
            <w:vAlign w:val="bottom"/>
          </w:tcPr>
          <w:p>
            <w:pPr>
              <w:spacing w:after="0"/>
              <w:rPr>
                <w:sz w:val="1"/>
                <w:szCs w:val="1"/>
                <w:color w:val="auto"/>
              </w:rPr>
            </w:pPr>
          </w:p>
        </w:tc>
      </w:tr>
      <w:tr>
        <w:trPr>
          <w:trHeight w:val="215"/>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Restricted cash and cash equivalents</w:t>
            </w:r>
          </w:p>
        </w:tc>
        <w:tc>
          <w:tcPr>
            <w:tcW w:w="9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w:t>
            </w:r>
          </w:p>
        </w:tc>
        <w:tc>
          <w:tcPr>
            <w:tcW w:w="12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43</w:t>
            </w:r>
          </w:p>
        </w:tc>
        <w:tc>
          <w:tcPr>
            <w:tcW w:w="0" w:type="dxa"/>
            <w:vAlign w:val="bottom"/>
          </w:tcPr>
          <w:p>
            <w:pPr>
              <w:spacing w:after="0"/>
              <w:rPr>
                <w:sz w:val="1"/>
                <w:szCs w:val="1"/>
                <w:color w:val="auto"/>
              </w:rPr>
            </w:pPr>
          </w:p>
        </w:tc>
      </w:tr>
      <w:tr>
        <w:trPr>
          <w:trHeight w:val="143"/>
        </w:trPr>
        <w:tc>
          <w:tcPr>
            <w:tcW w:w="8240" w:type="dxa"/>
            <w:vAlign w:val="bottom"/>
            <w:shd w:val="clear" w:color="auto" w:fill="CCEEFF"/>
          </w:tcPr>
          <w:p>
            <w:pPr>
              <w:ind w:left="360"/>
              <w:spacing w:after="0" w:line="143" w:lineRule="exact"/>
              <w:rPr>
                <w:sz w:val="20"/>
                <w:szCs w:val="20"/>
                <w:color w:val="auto"/>
              </w:rPr>
            </w:pPr>
            <w:r>
              <w:rPr>
                <w:rFonts w:ascii="Arial" w:cs="Arial" w:eastAsia="Arial" w:hAnsi="Arial"/>
                <w:sz w:val="16"/>
                <w:szCs w:val="16"/>
                <w:color w:val="auto"/>
              </w:rPr>
              <w:t>Total cash, cash equivalents, and restricted cash and cash equivalents presented in the consolidated</w:t>
            </w:r>
          </w:p>
        </w:tc>
        <w:tc>
          <w:tcPr>
            <w:tcW w:w="920" w:type="dxa"/>
            <w:vAlign w:val="bottom"/>
            <w:vMerge w:val="restart"/>
            <w:shd w:val="clear" w:color="auto" w:fill="CCEEFF"/>
          </w:tcPr>
          <w:p>
            <w:pPr>
              <w:jc w:val="right"/>
              <w:ind w:right="722"/>
              <w:spacing w:after="0"/>
              <w:rPr>
                <w:sz w:val="20"/>
                <w:szCs w:val="20"/>
                <w:color w:val="auto"/>
              </w:rPr>
            </w:pPr>
            <w:r>
              <w:rPr>
                <w:rFonts w:ascii="Arial" w:cs="Arial" w:eastAsia="Arial" w:hAnsi="Arial"/>
                <w:sz w:val="16"/>
                <w:szCs w:val="16"/>
                <w:color w:val="auto"/>
              </w:rPr>
              <w:t>$</w:t>
            </w: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4,572</w:t>
            </w:r>
          </w:p>
        </w:tc>
        <w:tc>
          <w:tcPr>
            <w:tcW w:w="120" w:type="dxa"/>
            <w:vAlign w:val="bottom"/>
            <w:shd w:val="clear" w:color="auto" w:fill="CCEEFF"/>
          </w:tcPr>
          <w:p>
            <w:pPr>
              <w:spacing w:after="0"/>
              <w:rPr>
                <w:sz w:val="12"/>
                <w:szCs w:val="12"/>
                <w:color w:val="auto"/>
              </w:rPr>
            </w:pPr>
          </w:p>
        </w:tc>
        <w:tc>
          <w:tcPr>
            <w:tcW w:w="460" w:type="dxa"/>
            <w:vAlign w:val="bottom"/>
            <w:vMerge w:val="restart"/>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980" w:type="dxa"/>
            <w:vAlign w:val="bottom"/>
            <w:vMerge w:val="restart"/>
            <w:shd w:val="clear" w:color="auto" w:fill="CCEEFF"/>
          </w:tcPr>
          <w:p>
            <w:pPr>
              <w:jc w:val="right"/>
              <w:ind w:right="1"/>
              <w:spacing w:after="0"/>
              <w:rPr>
                <w:sz w:val="20"/>
                <w:szCs w:val="20"/>
                <w:color w:val="auto"/>
              </w:rPr>
            </w:pPr>
            <w:r>
              <w:rPr>
                <w:rFonts w:ascii="Arial" w:cs="Arial" w:eastAsia="Arial" w:hAnsi="Arial"/>
                <w:sz w:val="16"/>
                <w:szCs w:val="16"/>
                <w:color w:val="auto"/>
              </w:rPr>
              <w:t>4,597</w:t>
            </w:r>
          </w:p>
        </w:tc>
        <w:tc>
          <w:tcPr>
            <w:tcW w:w="0" w:type="dxa"/>
            <w:vAlign w:val="bottom"/>
          </w:tcPr>
          <w:p>
            <w:pPr>
              <w:spacing w:after="0"/>
              <w:rPr>
                <w:sz w:val="1"/>
                <w:szCs w:val="1"/>
                <w:color w:val="auto"/>
              </w:rPr>
            </w:pPr>
          </w:p>
        </w:tc>
      </w:tr>
      <w:tr>
        <w:trPr>
          <w:trHeight w:val="209"/>
        </w:trPr>
        <w:tc>
          <w:tcPr>
            <w:tcW w:w="824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6"/>
                <w:szCs w:val="16"/>
                <w:color w:val="auto"/>
              </w:rPr>
              <w:t>statements of cash flows</w:t>
            </w:r>
          </w:p>
        </w:tc>
        <w:tc>
          <w:tcPr>
            <w:tcW w:w="920" w:type="dxa"/>
            <w:vAlign w:val="bottom"/>
            <w:tcBorders>
              <w:bottom w:val="single" w:sz="8" w:color="auto"/>
            </w:tcBorders>
            <w:vMerge w:val="continue"/>
            <w:shd w:val="clear" w:color="auto" w:fill="CCEEFF"/>
          </w:tcPr>
          <w:p>
            <w:pPr>
              <w:spacing w:after="0"/>
              <w:rPr>
                <w:sz w:val="18"/>
                <w:szCs w:val="18"/>
                <w:color w:val="auto"/>
              </w:rPr>
            </w:pPr>
          </w:p>
        </w:tc>
        <w:tc>
          <w:tcPr>
            <w:tcW w:w="52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auto"/>
            </w:tcBorders>
            <w:vMerge w:val="continue"/>
            <w:shd w:val="clear" w:color="auto" w:fill="CCEEFF"/>
          </w:tcPr>
          <w:p>
            <w:pPr>
              <w:spacing w:after="0"/>
              <w:rPr>
                <w:sz w:val="18"/>
                <w:szCs w:val="18"/>
                <w:color w:val="auto"/>
              </w:rPr>
            </w:pPr>
          </w:p>
        </w:tc>
        <w:tc>
          <w:tcPr>
            <w:tcW w:w="98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March 31, 2024 Form 10-Q |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Receivables</w:t>
      </w:r>
    </w:p>
    <w:p>
      <w:pPr>
        <w:spacing w:after="0" w:line="11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Receivables consist primarily of premium amounts due from government agencies, which are subject to potential retroactive adjustments. We apply the current expected credit loss model to measure expected credits losses on our receivables based on available information about past events and reasonable and supportable forecasts. Because substantially all of our receivable amounts are readily determinable and substantially all of our creditors are governmental authorities, our allowance for credit losses is insignificant. Any amounts determined to be uncollectible are charged to expense when such determination is made.</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00" w:type="dxa"/>
            <w:vAlign w:val="bottom"/>
            <w:gridSpan w:val="2"/>
          </w:tcPr>
          <w:p>
            <w:pPr>
              <w:ind w:left="140"/>
              <w:spacing w:after="0"/>
              <w:rPr>
                <w:sz w:val="20"/>
                <w:szCs w:val="20"/>
                <w:color w:val="auto"/>
              </w:rPr>
            </w:pPr>
            <w:r>
              <w:rPr>
                <w:rFonts w:ascii="Arial" w:cs="Arial" w:eastAsia="Arial" w:hAnsi="Arial"/>
                <w:sz w:val="14"/>
                <w:szCs w:val="14"/>
                <w:b w:val="1"/>
                <w:bCs w:val="1"/>
                <w:color w:val="auto"/>
              </w:rPr>
              <w:t>March 31,</w:t>
            </w:r>
          </w:p>
        </w:tc>
        <w:tc>
          <w:tcPr>
            <w:tcW w:w="180" w:type="dxa"/>
            <w:vAlign w:val="bottom"/>
          </w:tcPr>
          <w:p>
            <w:pPr>
              <w:spacing w:after="0"/>
              <w:rPr>
                <w:sz w:val="14"/>
                <w:szCs w:val="14"/>
                <w:color w:val="auto"/>
              </w:rPr>
            </w:pPr>
          </w:p>
        </w:tc>
        <w:tc>
          <w:tcPr>
            <w:tcW w:w="1280" w:type="dxa"/>
            <w:vAlign w:val="bottom"/>
          </w:tcPr>
          <w:p>
            <w:pPr>
              <w:jc w:val="right"/>
              <w:ind w:right="182"/>
              <w:spacing w:after="0"/>
              <w:rPr>
                <w:sz w:val="20"/>
                <w:szCs w:val="20"/>
                <w:color w:val="auto"/>
              </w:rPr>
            </w:pPr>
            <w:r>
              <w:rPr>
                <w:rFonts w:ascii="Arial" w:cs="Arial" w:eastAsia="Arial" w:hAnsi="Arial"/>
                <w:sz w:val="14"/>
                <w:szCs w:val="14"/>
                <w:b w:val="1"/>
                <w:bCs w:val="1"/>
                <w:color w:val="auto"/>
              </w:rPr>
              <w:t>December 31,</w:t>
            </w:r>
          </w:p>
        </w:tc>
      </w:tr>
      <w:tr>
        <w:trPr>
          <w:trHeight w:val="185"/>
        </w:trPr>
        <w:tc>
          <w:tcPr>
            <w:tcW w:w="81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83"/>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482"/>
              <w:spacing w:after="0"/>
              <w:rPr>
                <w:sz w:val="20"/>
                <w:szCs w:val="20"/>
                <w:color w:val="auto"/>
              </w:rPr>
            </w:pPr>
            <w:r>
              <w:rPr>
                <w:rFonts w:ascii="Arial" w:cs="Arial" w:eastAsia="Arial" w:hAnsi="Arial"/>
                <w:sz w:val="14"/>
                <w:szCs w:val="14"/>
                <w:b w:val="1"/>
                <w:bCs w:val="1"/>
                <w:color w:val="auto"/>
              </w:rPr>
              <w:t>2023</w:t>
            </w:r>
          </w:p>
        </w:tc>
      </w:tr>
      <w:tr>
        <w:trPr>
          <w:trHeight w:val="235"/>
        </w:trPr>
        <w:tc>
          <w:tcPr>
            <w:tcW w:w="8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760" w:type="dxa"/>
            <w:vAlign w:val="bottom"/>
            <w:gridSpan w:val="4"/>
          </w:tcPr>
          <w:p>
            <w:pPr>
              <w:jc w:val="right"/>
              <w:ind w:right="1022"/>
              <w:spacing w:after="0"/>
              <w:rPr>
                <w:sz w:val="20"/>
                <w:szCs w:val="20"/>
                <w:color w:val="auto"/>
              </w:rPr>
            </w:pPr>
            <w:r>
              <w:rPr>
                <w:rFonts w:ascii="Arial" w:cs="Arial" w:eastAsia="Arial" w:hAnsi="Arial"/>
                <w:sz w:val="14"/>
                <w:szCs w:val="14"/>
                <w:b w:val="1"/>
                <w:bCs w:val="1"/>
                <w:color w:val="auto"/>
              </w:rPr>
              <w:t>(In millions)</w:t>
            </w:r>
          </w:p>
        </w:tc>
      </w:tr>
      <w:tr>
        <w:trPr>
          <w:trHeight w:val="217"/>
        </w:trPr>
        <w:tc>
          <w:tcPr>
            <w:tcW w:w="8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Government receivables</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2,270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2,354</w:t>
            </w:r>
          </w:p>
        </w:tc>
      </w:tr>
      <w:tr>
        <w:trPr>
          <w:trHeight w:val="215"/>
        </w:trPr>
        <w:tc>
          <w:tcPr>
            <w:tcW w:w="8180" w:type="dxa"/>
            <w:vAlign w:val="bottom"/>
          </w:tcPr>
          <w:p>
            <w:pPr>
              <w:ind w:left="20"/>
              <w:spacing w:after="0"/>
              <w:rPr>
                <w:sz w:val="20"/>
                <w:szCs w:val="20"/>
                <w:color w:val="auto"/>
              </w:rPr>
            </w:pPr>
            <w:r>
              <w:rPr>
                <w:rFonts w:ascii="Arial" w:cs="Arial" w:eastAsia="Arial" w:hAnsi="Arial"/>
                <w:sz w:val="16"/>
                <w:szCs w:val="16"/>
                <w:color w:val="auto"/>
              </w:rPr>
              <w:t>Pharmacy rebate receivables</w:t>
            </w:r>
          </w:p>
        </w:tc>
        <w:tc>
          <w:tcPr>
            <w:tcW w:w="240" w:type="dxa"/>
            <w:vAlign w:val="bottom"/>
          </w:tcPr>
          <w:p>
            <w:pPr>
              <w:spacing w:after="0"/>
              <w:rPr>
                <w:sz w:val="18"/>
                <w:szCs w:val="18"/>
                <w:color w:val="auto"/>
              </w:rPr>
            </w:pPr>
          </w:p>
        </w:tc>
        <w:tc>
          <w:tcPr>
            <w:tcW w:w="1200" w:type="dxa"/>
            <w:vAlign w:val="bottom"/>
          </w:tcPr>
          <w:p>
            <w:pPr>
              <w:jc w:val="right"/>
              <w:ind w:right="3"/>
              <w:spacing w:after="0"/>
              <w:rPr>
                <w:sz w:val="20"/>
                <w:szCs w:val="20"/>
                <w:color w:val="auto"/>
              </w:rPr>
            </w:pPr>
            <w:r>
              <w:rPr>
                <w:rFonts w:ascii="Arial" w:cs="Arial" w:eastAsia="Arial" w:hAnsi="Arial"/>
                <w:sz w:val="16"/>
                <w:szCs w:val="16"/>
                <w:color w:val="auto"/>
              </w:rPr>
              <w:t>369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ind w:right="2"/>
              <w:spacing w:after="0"/>
              <w:rPr>
                <w:sz w:val="20"/>
                <w:szCs w:val="20"/>
                <w:color w:val="auto"/>
              </w:rPr>
            </w:pPr>
            <w:r>
              <w:rPr>
                <w:rFonts w:ascii="Arial" w:cs="Arial" w:eastAsia="Arial" w:hAnsi="Arial"/>
                <w:sz w:val="16"/>
                <w:szCs w:val="16"/>
                <w:color w:val="auto"/>
              </w:rPr>
              <w:t>330</w:t>
            </w:r>
          </w:p>
        </w:tc>
      </w:tr>
      <w:tr>
        <w:trPr>
          <w:trHeight w:val="217"/>
        </w:trPr>
        <w:tc>
          <w:tcPr>
            <w:tcW w:w="8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w:t>
            </w:r>
          </w:p>
        </w:tc>
        <w:tc>
          <w:tcPr>
            <w:tcW w:w="2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711</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420</w:t>
            </w:r>
          </w:p>
        </w:tc>
      </w:tr>
      <w:tr>
        <w:trPr>
          <w:trHeight w:val="209"/>
        </w:trPr>
        <w:tc>
          <w:tcPr>
            <w:tcW w:w="8180" w:type="dxa"/>
            <w:vAlign w:val="bottom"/>
          </w:tcPr>
          <w:p>
            <w:pPr>
              <w:ind w:left="140"/>
              <w:spacing w:after="0"/>
              <w:rPr>
                <w:sz w:val="20"/>
                <w:szCs w:val="20"/>
                <w:color w:val="auto"/>
              </w:rPr>
            </w:pPr>
            <w:r>
              <w:rPr>
                <w:rFonts w:ascii="Arial" w:cs="Arial" w:eastAsia="Arial" w:hAnsi="Arial"/>
                <w:sz w:val="16"/>
                <w:szCs w:val="16"/>
                <w:color w:val="auto"/>
              </w:rPr>
              <w:t>Total receivables</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3,350</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3,104</w:t>
            </w:r>
          </w:p>
        </w:tc>
      </w:tr>
      <w:tr>
        <w:trPr>
          <w:trHeight w:val="21"/>
        </w:trPr>
        <w:tc>
          <w:tcPr>
            <w:tcW w:w="8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Premium Revenue Recognition and Amounts Due Government Agencies</w:t>
      </w:r>
    </w:p>
    <w:p>
      <w:pPr>
        <w:spacing w:after="0" w:line="11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Premium revenue is generated from our contracts with state and federal agencies, in connection with our participation in the Medicaid, Medicare, and Marketplace programs. Premium revenue is generally received based on per member per month (“PMPM”) rates established in advance of the periods covered. These premium revenues are recognized in the month that members are entitled to receive healthcare services, and premiums collected in advance are deferred. Many of our contracts contain provisions that may adjust or limit revenue or profit, as described below. Consequently, we recognize premium revenue as it is earned under such provisions. Liabilities accrued for premiums to be returned under such provisions are reported in the aggregate as “Amounts due government agencies,” in the accompanying consolidated balance sheets. State Medicaid programs and the federal Medicare program periodically adjust premium rates, including certain components of premium revenue that are subject to accounting estimates and are described below, and in our 2023 Annual Report on Form 10-K, Note 2, “Significant Accounting Policies,” under “Premium Revenue Recognition and Amounts Due Government Agencies,” and “Quality Incentives.”</w:t>
      </w:r>
    </w:p>
    <w:p>
      <w:pPr>
        <w:spacing w:after="0" w:line="73"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b w:val="1"/>
          <w:bCs w:val="1"/>
          <w:i w:val="1"/>
          <w:iCs w:val="1"/>
          <w:color w:val="auto"/>
        </w:rPr>
        <w:t xml:space="preserve">Minimum MLR, Medical Cost Corridors and Profit Sharing. </w:t>
      </w:r>
      <w:r>
        <w:rPr>
          <w:rFonts w:ascii="Arial" w:cs="Arial" w:eastAsia="Arial" w:hAnsi="Arial"/>
          <w:sz w:val="18"/>
          <w:szCs w:val="18"/>
          <w:color w:val="auto"/>
        </w:rPr>
        <w:t>A portion of our Medicaid premium revenue may be returned if certain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minimum amounts are not spent on defined medical care costs as a percentage of premium revenue, or minimum medical loss ratio (“Minimum MLR”). Under certain medical cost corridor provisions, the health plans may receive additional premiums if amounts spent on medical care costs exceed a defined maximum threshold. This includes remaining risk corridors that were enacted by various states in 2020 in response to the reduced demand for medical services stemming from COVID-19. Our contracts with certain states contain profit sharing provisions under which we refund amounts to the states if our health plans generate profit above a certain specified percentage. In some cases, we are limited in the amount of administrative costs that we may deduct in calculating the refund, if any. We recorded aggregate liabilities under the terms of such contract provisions of $1,443 million and $1,344 million at March 31, 2024 and December 31, 2023, respectively, to amounts due government agencies.</w:t>
      </w:r>
    </w:p>
    <w:p>
      <w:pPr>
        <w:spacing w:after="0" w:line="7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Affordable Care Act (“ACA”) established a Minimum MLR of 85% for Medicare. Federal regulations define what constitutes medical costs and premium revenue. If the Minimum MLR is not met, we may be required to pay rebates to the federal government. Our dual-eligible plans may also be subject to state-specific Minimum MLRs, medical cost corridors, and profit-sharing provisions. We recognize estimated rebates as an adjustment to premium revenue in our consolidated statements of income. We recorded a liability under the terms of such contract provisions of $49 million and $64 million at March 31, 2024 and December 31, 2023, respectively, to amounts due government agencies.</w:t>
      </w:r>
    </w:p>
    <w:p>
      <w:pPr>
        <w:spacing w:after="0" w:line="71"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The ACA established a Minimum MLR of 80% for the Marketplace. If the Minimum MLR is not met, we may be required to pay rebates to our Marketplace policyholders. The Marketplace risk adjustment program discussed below is taken into consideration when computing the Minimum MLR. We recognize estimated rebates under the Minimum MLR as an adjustment to premium revenue in our consolidated statements of income. The amounts were insignificant at March 31, 2024 and December 31, 2023.</w:t>
      </w:r>
    </w:p>
    <w:p>
      <w:pPr>
        <w:spacing w:after="0" w:line="68"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b w:val="1"/>
          <w:bCs w:val="1"/>
          <w:i w:val="1"/>
          <w:iCs w:val="1"/>
          <w:color w:val="auto"/>
        </w:rPr>
        <w:t xml:space="preserve">Risk Adjustment. </w:t>
      </w:r>
      <w:r>
        <w:rPr>
          <w:rFonts w:ascii="Arial" w:cs="Arial" w:eastAsia="Arial" w:hAnsi="Arial"/>
          <w:sz w:val="18"/>
          <w:szCs w:val="18"/>
          <w:color w:val="auto"/>
        </w:rPr>
        <w:t>Our Medicare premiums are subject to retroactive increase or decrease based on the health status of our Medicare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members (as measured by member risk score). We estimate our members’ risk scores and the related amount of Medicare revenue that will ultimately be realized for the periods presented based on our knowledge of our members’ health status, risk scores and CMS practices. We also estimate amounts owed to CMS</w:t>
      </w:r>
    </w:p>
    <w:p>
      <w:pPr>
        <w:spacing w:after="0" w:line="200" w:lineRule="exact"/>
        <w:rPr>
          <w:sz w:val="20"/>
          <w:szCs w:val="20"/>
          <w:color w:val="auto"/>
        </w:rPr>
      </w:pPr>
    </w:p>
    <w:p>
      <w:pPr>
        <w:spacing w:after="0" w:line="31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March 31, 2024 Form 10-Q |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right="260"/>
        <w:spacing w:after="0" w:line="287" w:lineRule="auto"/>
        <w:rPr>
          <w:sz w:val="20"/>
          <w:szCs w:val="20"/>
          <w:color w:val="auto"/>
        </w:rPr>
      </w:pPr>
      <w:r>
        <w:rPr>
          <w:rFonts w:ascii="Arial" w:cs="Arial" w:eastAsia="Arial" w:hAnsi="Arial"/>
          <w:sz w:val="18"/>
          <w:szCs w:val="18"/>
          <w:color w:val="auto"/>
        </w:rPr>
        <w:t>for Part D settlements. We recorded a liability under the terms of such contract provisions of $91 million and $66 million at March 31, 2024 and December 31, 2023, respectively, to amounts due government agencies.</w:t>
      </w:r>
    </w:p>
    <w:p>
      <w:pPr>
        <w:spacing w:after="0" w:line="4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Under this program for our Marketplace business, our health plans’ composite risk scores are compared with the overall average risk score for the relevant state and market pool. Generally, our health plans will make a risk adjustment payment into the pool if their composite risk scores are below the average risk score (risk adjustment payable), and will receive a risk adjustment payment from the pool if their composite risk scores are above the average risk score (risk adjustment receivable). We estimate our ultimate premium based on insurance policy year-to-date experience, and recognize estimated premiums relating to the risk adjustment program as an adjustment to premium revenue in our consolidated statements of income. As of March 31, 2024, Marketplace risk adjustment payables amounted to $267 million and related receivables amounted to $296 million, for a net receivable of $29 million. As of December 31, 2023, Marketplace risk adjustment payables amounted to $201 million and related receivables amounted to $241 million, for a net receivable of $40 million.</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Premium Deficiency Reserve on Loss Contracts</w:t>
      </w:r>
    </w:p>
    <w:p>
      <w:pPr>
        <w:spacing w:after="0" w:line="11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assess the profitability of our contracts to determine if it is probable that a loss will be incurred in the future by reviewing current results and forecasts. For purposes of this assessment, contracts are grouped in a manner consistent with our method of acquiring, servicing and measuring the profitability of such contracts. A premium deficiency reserve (“PDR”) is recognized if anticipated future medical care and administrative costs exceed anticipated future premium revenue, investment income and reinsurance recoveries. Once established, a PDR is reduced over the contract period as an offset to actual losses.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Concentrations of Credit Risk</w:t>
      </w:r>
    </w:p>
    <w:p>
      <w:pPr>
        <w:spacing w:after="0" w:line="115"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Financial instruments that potentially subject us to concentrations of credit risk consist primarily of cash and cash equivalents, investments, receivables, and restricted investments. Our investments and a portion of our cash equivalents are managed by professional portfolio managers operating under documented investment guidelines. Our portfolio managers must obtain our prior approval before selling investments where the loss position of those investments exceeds certain levels. Our investments consist primarily of investment-grade debt securities with final maturities of less than 15 years, or less than 15 years average life for structured securities. Restricted investments are invested principally in cash, cash equivalents, U.S. Treasury securities, and corporate debt securities. Concentration of credit risk with respect to accounts receivable is limited because our payors consist principally of the federal government, and governments of each state in which our health plan subsidiaries operate.</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15" w:lineRule="exact"/>
        <w:rPr>
          <w:sz w:val="20"/>
          <w:szCs w:val="20"/>
          <w:color w:val="auto"/>
        </w:rPr>
      </w:pPr>
    </w:p>
    <w:p>
      <w:pPr>
        <w:ind w:right="540"/>
        <w:spacing w:after="0" w:line="268" w:lineRule="auto"/>
        <w:rPr>
          <w:sz w:val="20"/>
          <w:szCs w:val="20"/>
          <w:color w:val="auto"/>
        </w:rPr>
      </w:pPr>
      <w:r>
        <w:rPr>
          <w:rFonts w:ascii="Arial" w:cs="Arial" w:eastAsia="Arial" w:hAnsi="Arial"/>
          <w:sz w:val="18"/>
          <w:szCs w:val="18"/>
          <w:color w:val="auto"/>
        </w:rPr>
        <w:t>The provision for income taxes is determined using an estimated annual effective tax rate, which generally differs from the U.S. federal statutory rate primarily because of state taxes and nondeductible expenses such as certain compensation and other general and administrative expenses.</w:t>
      </w:r>
    </w:p>
    <w:p>
      <w:pPr>
        <w:spacing w:after="0" w:line="63"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The effective tax rate may be subject to fluctuations during the year as new information is obtained. Such information may affect the assumptions used to estimate the annual effective tax rate, including projected pretax earnings, the mix of pretax earnings in the various tax jurisdictions in which we operate, valuation allowances against deferred tax assets, the recognition or the reversal of the recognition of tax benefits related to uncertain tax positions, and changes in or the interpretation of tax laws in jurisdictions where we conduct business. We recognize deferred tax assets and liabilities for temporary differences between the financial reporting basis and the tax basis of our assets and liabilities, along with net operating loss and tax credit carryovers.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15"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Recent accounting pronouncements issued by the Financial Accounting Standards Board (including its Emerging Issues Task Force), the American Institute of Certified Public Accountants, and the Securities and Exchange Commission (“SEC”) did not have, nor does management expect such pronouncements to have, a significant impact on our present or future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March 31, 2024 Form 10-Q |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828282"/>
        </w:rPr>
        <w:t>3. Net Income Per Share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calculation of basic and diluted net income per share:</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920" w:type="dxa"/>
            <w:vAlign w:val="bottom"/>
          </w:tcPr>
          <w:p>
            <w:pPr>
              <w:spacing w:after="0"/>
              <w:rPr>
                <w:sz w:val="17"/>
                <w:szCs w:val="17"/>
                <w:color w:val="auto"/>
              </w:rPr>
            </w:pPr>
          </w:p>
        </w:tc>
        <w:tc>
          <w:tcPr>
            <w:tcW w:w="2820" w:type="dxa"/>
            <w:vAlign w:val="bottom"/>
            <w:tcBorders>
              <w:bottom w:val="single" w:sz="8" w:color="auto"/>
            </w:tcBorders>
            <w:gridSpan w:val="4"/>
          </w:tcPr>
          <w:p>
            <w:pPr>
              <w:jc w:val="right"/>
              <w:ind w:right="21"/>
              <w:spacing w:after="0"/>
              <w:rPr>
                <w:sz w:val="20"/>
                <w:szCs w:val="20"/>
                <w:color w:val="auto"/>
              </w:rPr>
            </w:pPr>
            <w:r>
              <w:rPr>
                <w:rFonts w:ascii="Arial" w:cs="Arial" w:eastAsia="Arial" w:hAnsi="Arial"/>
                <w:sz w:val="14"/>
                <w:szCs w:val="14"/>
                <w:b w:val="1"/>
                <w:bCs w:val="1"/>
                <w:color w:val="auto"/>
              </w:rPr>
              <w:t>Three Months Ended March 31,</w:t>
            </w:r>
          </w:p>
        </w:tc>
        <w:tc>
          <w:tcPr>
            <w:tcW w:w="500" w:type="dxa"/>
            <w:vAlign w:val="bottom"/>
            <w:tcBorders>
              <w:bottom w:val="single" w:sz="8" w:color="auto"/>
            </w:tcBorders>
          </w:tcPr>
          <w:p>
            <w:pPr>
              <w:spacing w:after="0"/>
              <w:rPr>
                <w:sz w:val="17"/>
                <w:szCs w:val="17"/>
                <w:color w:val="auto"/>
              </w:rPr>
            </w:pPr>
          </w:p>
        </w:tc>
      </w:tr>
      <w:tr>
        <w:trPr>
          <w:trHeight w:val="196"/>
        </w:trPr>
        <w:tc>
          <w:tcPr>
            <w:tcW w:w="7920" w:type="dxa"/>
            <w:vAlign w:val="bottom"/>
          </w:tcPr>
          <w:p>
            <w:pPr>
              <w:spacing w:after="0"/>
              <w:rPr>
                <w:sz w:val="17"/>
                <w:szCs w:val="17"/>
                <w:color w:val="auto"/>
              </w:rPr>
            </w:pPr>
          </w:p>
        </w:tc>
        <w:tc>
          <w:tcPr>
            <w:tcW w:w="1100" w:type="dxa"/>
            <w:vAlign w:val="bottom"/>
            <w:tcBorders>
              <w:bottom w:val="single" w:sz="8" w:color="auto"/>
            </w:tcBorders>
          </w:tcPr>
          <w:p>
            <w:pPr>
              <w:jc w:val="right"/>
              <w:ind w:right="64"/>
              <w:spacing w:after="0"/>
              <w:rPr>
                <w:sz w:val="20"/>
                <w:szCs w:val="20"/>
                <w:color w:val="auto"/>
              </w:rPr>
            </w:pPr>
            <w:r>
              <w:rPr>
                <w:rFonts w:ascii="Arial" w:cs="Arial" w:eastAsia="Arial" w:hAnsi="Arial"/>
                <w:sz w:val="14"/>
                <w:szCs w:val="14"/>
                <w:b w:val="1"/>
                <w:bCs w:val="1"/>
                <w:color w:val="auto"/>
              </w:rPr>
              <w:t>2024</w:t>
            </w:r>
          </w:p>
        </w:tc>
        <w:tc>
          <w:tcPr>
            <w:tcW w:w="50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Borders>
              <w:bottom w:val="single" w:sz="8" w:color="auto"/>
            </w:tcBorders>
          </w:tcPr>
          <w:p>
            <w:pPr>
              <w:jc w:val="right"/>
              <w:ind w:right="61"/>
              <w:spacing w:after="0"/>
              <w:rPr>
                <w:sz w:val="20"/>
                <w:szCs w:val="20"/>
                <w:color w:val="auto"/>
              </w:rPr>
            </w:pPr>
            <w:r>
              <w:rPr>
                <w:rFonts w:ascii="Arial" w:cs="Arial" w:eastAsia="Arial" w:hAnsi="Arial"/>
                <w:sz w:val="14"/>
                <w:szCs w:val="14"/>
                <w:b w:val="1"/>
                <w:bCs w:val="1"/>
                <w:color w:val="auto"/>
              </w:rPr>
              <w:t>2023</w:t>
            </w:r>
          </w:p>
        </w:tc>
        <w:tc>
          <w:tcPr>
            <w:tcW w:w="500" w:type="dxa"/>
            <w:vAlign w:val="bottom"/>
            <w:tcBorders>
              <w:bottom w:val="single" w:sz="8" w:color="auto"/>
            </w:tcBorders>
          </w:tcPr>
          <w:p>
            <w:pPr>
              <w:spacing w:after="0"/>
              <w:rPr>
                <w:sz w:val="17"/>
                <w:szCs w:val="17"/>
                <w:color w:val="auto"/>
              </w:rPr>
            </w:pPr>
          </w:p>
        </w:tc>
      </w:tr>
      <w:tr>
        <w:trPr>
          <w:trHeight w:val="236"/>
        </w:trPr>
        <w:tc>
          <w:tcPr>
            <w:tcW w:w="7920" w:type="dxa"/>
            <w:vAlign w:val="bottom"/>
          </w:tcPr>
          <w:p>
            <w:pPr>
              <w:spacing w:after="0"/>
              <w:rPr>
                <w:sz w:val="20"/>
                <w:szCs w:val="20"/>
                <w:color w:val="auto"/>
              </w:rPr>
            </w:pPr>
          </w:p>
        </w:tc>
        <w:tc>
          <w:tcPr>
            <w:tcW w:w="3320" w:type="dxa"/>
            <w:vAlign w:val="bottom"/>
            <w:gridSpan w:val="5"/>
          </w:tcPr>
          <w:p>
            <w:pPr>
              <w:jc w:val="right"/>
              <w:ind w:right="159"/>
              <w:spacing w:after="0"/>
              <w:rPr>
                <w:sz w:val="20"/>
                <w:szCs w:val="20"/>
                <w:color w:val="auto"/>
              </w:rPr>
            </w:pPr>
            <w:r>
              <w:rPr>
                <w:rFonts w:ascii="Arial" w:cs="Arial" w:eastAsia="Arial" w:hAnsi="Arial"/>
                <w:sz w:val="14"/>
                <w:szCs w:val="14"/>
                <w:b w:val="1"/>
                <w:bCs w:val="1"/>
                <w:color w:val="auto"/>
              </w:rPr>
              <w:t>(In millions, except net income per share)</w:t>
            </w:r>
          </w:p>
        </w:tc>
      </w:tr>
      <w:tr>
        <w:trPr>
          <w:trHeight w:val="217"/>
        </w:trPr>
        <w:tc>
          <w:tcPr>
            <w:tcW w:w="7920" w:type="dxa"/>
            <w:vAlign w:val="bottom"/>
            <w:shd w:val="clear" w:color="auto" w:fill="CCEEFF"/>
          </w:tcPr>
          <w:p>
            <w:pPr>
              <w:ind w:left="20"/>
              <w:spacing w:after="0"/>
              <w:rPr>
                <w:sz w:val="20"/>
                <w:szCs w:val="20"/>
                <w:color w:val="auto"/>
              </w:rPr>
            </w:pPr>
            <w:r>
              <w:rPr>
                <w:rFonts w:ascii="Arial" w:cs="Arial" w:eastAsia="Arial" w:hAnsi="Arial"/>
                <w:sz w:val="16"/>
                <w:szCs w:val="16"/>
                <w:b w:val="1"/>
                <w:bCs w:val="1"/>
                <w:i w:val="1"/>
                <w:iCs w:val="1"/>
                <w:color w:val="auto"/>
              </w:rPr>
              <w:t>Numerator:</w:t>
            </w:r>
          </w:p>
        </w:tc>
        <w:tc>
          <w:tcPr>
            <w:tcW w:w="1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r>
      <w:tr>
        <w:trPr>
          <w:trHeight w:val="216"/>
        </w:trPr>
        <w:tc>
          <w:tcPr>
            <w:tcW w:w="792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1100" w:type="dxa"/>
            <w:vAlign w:val="bottom"/>
            <w:tcBorders>
              <w:bottom w:val="single" w:sz="8" w:color="auto"/>
            </w:tcBorders>
          </w:tcPr>
          <w:p>
            <w:pPr>
              <w:jc w:val="right"/>
              <w:ind w:right="924"/>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301</w:t>
            </w:r>
          </w:p>
        </w:tc>
        <w:tc>
          <w:tcPr>
            <w:tcW w:w="120" w:type="dxa"/>
            <w:vAlign w:val="bottom"/>
          </w:tcPr>
          <w:p>
            <w:pPr>
              <w:spacing w:after="0"/>
              <w:rPr>
                <w:sz w:val="18"/>
                <w:szCs w:val="18"/>
                <w:color w:val="auto"/>
              </w:rPr>
            </w:pPr>
          </w:p>
        </w:tc>
        <w:tc>
          <w:tcPr>
            <w:tcW w:w="1100" w:type="dxa"/>
            <w:vAlign w:val="bottom"/>
            <w:tcBorders>
              <w:bottom w:val="single" w:sz="8" w:color="auto"/>
            </w:tcBorders>
          </w:tcPr>
          <w:p>
            <w:pPr>
              <w:jc w:val="right"/>
              <w:ind w:right="921"/>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321</w:t>
            </w:r>
          </w:p>
        </w:tc>
      </w:tr>
      <w:tr>
        <w:trPr>
          <w:trHeight w:val="20"/>
        </w:trPr>
        <w:tc>
          <w:tcPr>
            <w:tcW w:w="792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r>
      <w:tr>
        <w:trPr>
          <w:trHeight w:val="183"/>
        </w:trPr>
        <w:tc>
          <w:tcPr>
            <w:tcW w:w="7920" w:type="dxa"/>
            <w:vAlign w:val="bottom"/>
            <w:shd w:val="clear" w:color="auto" w:fill="CCEEFF"/>
          </w:tcPr>
          <w:p>
            <w:pPr>
              <w:ind w:left="20"/>
              <w:spacing w:after="0"/>
              <w:rPr>
                <w:sz w:val="20"/>
                <w:szCs w:val="20"/>
                <w:color w:val="auto"/>
              </w:rPr>
            </w:pPr>
            <w:r>
              <w:rPr>
                <w:rFonts w:ascii="Arial" w:cs="Arial" w:eastAsia="Arial" w:hAnsi="Arial"/>
                <w:sz w:val="16"/>
                <w:szCs w:val="16"/>
                <w:b w:val="1"/>
                <w:bCs w:val="1"/>
                <w:i w:val="1"/>
                <w:iCs w:val="1"/>
                <w:color w:val="auto"/>
              </w:rPr>
              <w:t>Denominator:</w:t>
            </w:r>
          </w:p>
        </w:tc>
        <w:tc>
          <w:tcPr>
            <w:tcW w:w="1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r>
      <w:tr>
        <w:trPr>
          <w:trHeight w:val="215"/>
        </w:trPr>
        <w:tc>
          <w:tcPr>
            <w:tcW w:w="7920" w:type="dxa"/>
            <w:vAlign w:val="bottom"/>
          </w:tcPr>
          <w:p>
            <w:pPr>
              <w:ind w:left="20"/>
              <w:spacing w:after="0"/>
              <w:rPr>
                <w:sz w:val="20"/>
                <w:szCs w:val="20"/>
                <w:color w:val="auto"/>
              </w:rPr>
            </w:pPr>
            <w:r>
              <w:rPr>
                <w:rFonts w:ascii="Arial" w:cs="Arial" w:eastAsia="Arial" w:hAnsi="Arial"/>
                <w:sz w:val="16"/>
                <w:szCs w:val="16"/>
                <w:color w:val="auto"/>
              </w:rPr>
              <w:t>Shares outstanding at the beginning of the period</w:t>
            </w:r>
          </w:p>
        </w:tc>
        <w:tc>
          <w:tcPr>
            <w:tcW w:w="1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57.8</w:t>
            </w: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57.4</w:t>
            </w:r>
          </w:p>
        </w:tc>
      </w:tr>
      <w:tr>
        <w:trPr>
          <w:trHeight w:val="217"/>
        </w:trPr>
        <w:tc>
          <w:tcPr>
            <w:tcW w:w="7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Weighted-average number of shares issued:</w:t>
            </w:r>
          </w:p>
        </w:tc>
        <w:tc>
          <w:tcPr>
            <w:tcW w:w="1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r>
      <w:tr>
        <w:trPr>
          <w:trHeight w:val="215"/>
        </w:trPr>
        <w:tc>
          <w:tcPr>
            <w:tcW w:w="792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Stock-based compensation</w:t>
            </w:r>
          </w:p>
        </w:tc>
        <w:tc>
          <w:tcPr>
            <w:tcW w:w="11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w:t>
            </w:r>
          </w:p>
        </w:tc>
        <w:tc>
          <w:tcPr>
            <w:tcW w:w="12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w:t>
            </w:r>
          </w:p>
        </w:tc>
      </w:tr>
      <w:tr>
        <w:trPr>
          <w:trHeight w:val="210"/>
        </w:trPr>
        <w:tc>
          <w:tcPr>
            <w:tcW w:w="7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Denominator for basic net income per share</w:t>
            </w:r>
          </w:p>
        </w:tc>
        <w:tc>
          <w:tcPr>
            <w:tcW w:w="1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57.9</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57.5</w:t>
            </w:r>
          </w:p>
        </w:tc>
      </w:tr>
      <w:tr>
        <w:trPr>
          <w:trHeight w:val="216"/>
        </w:trPr>
        <w:tc>
          <w:tcPr>
            <w:tcW w:w="792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Effect of dilutive securities: </w:t>
            </w:r>
            <w:r>
              <w:rPr>
                <w:rFonts w:ascii="Arial" w:cs="Arial" w:eastAsia="Arial" w:hAnsi="Arial"/>
                <w:sz w:val="21"/>
                <w:szCs w:val="21"/>
                <w:color w:val="auto"/>
                <w:vertAlign w:val="superscript"/>
              </w:rPr>
              <w:t>(1)</w:t>
            </w:r>
          </w:p>
        </w:tc>
        <w:tc>
          <w:tcPr>
            <w:tcW w:w="1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215"/>
        </w:trPr>
        <w:tc>
          <w:tcPr>
            <w:tcW w:w="79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Stock-based compensation</w:t>
            </w:r>
          </w:p>
        </w:tc>
        <w:tc>
          <w:tcPr>
            <w:tcW w:w="1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0.4</w:t>
            </w:r>
          </w:p>
        </w:tc>
        <w:tc>
          <w:tcPr>
            <w:tcW w:w="120" w:type="dxa"/>
            <w:vAlign w:val="bottom"/>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0.5</w:t>
            </w:r>
          </w:p>
        </w:tc>
      </w:tr>
      <w:tr>
        <w:trPr>
          <w:trHeight w:val="210"/>
        </w:trPr>
        <w:tc>
          <w:tcPr>
            <w:tcW w:w="7920" w:type="dxa"/>
            <w:vAlign w:val="bottom"/>
          </w:tcPr>
          <w:p>
            <w:pPr>
              <w:ind w:left="20"/>
              <w:spacing w:after="0"/>
              <w:rPr>
                <w:sz w:val="20"/>
                <w:szCs w:val="20"/>
                <w:color w:val="auto"/>
              </w:rPr>
            </w:pPr>
            <w:r>
              <w:rPr>
                <w:rFonts w:ascii="Arial" w:cs="Arial" w:eastAsia="Arial" w:hAnsi="Arial"/>
                <w:sz w:val="16"/>
                <w:szCs w:val="16"/>
                <w:color w:val="auto"/>
              </w:rPr>
              <w:t>Denominator for diluted net income per share</w:t>
            </w:r>
          </w:p>
        </w:tc>
        <w:tc>
          <w:tcPr>
            <w:tcW w:w="11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58.3</w:t>
            </w:r>
          </w:p>
        </w:tc>
        <w:tc>
          <w:tcPr>
            <w:tcW w:w="120" w:type="dxa"/>
            <w:vAlign w:val="bottom"/>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58.0</w:t>
            </w:r>
          </w:p>
        </w:tc>
      </w:tr>
      <w:tr>
        <w:trPr>
          <w:trHeight w:val="20"/>
        </w:trPr>
        <w:tc>
          <w:tcPr>
            <w:tcW w:w="792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r>
      <w:tr>
        <w:trPr>
          <w:trHeight w:val="223"/>
        </w:trPr>
        <w:tc>
          <w:tcPr>
            <w:tcW w:w="79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r>
      <w:tr>
        <w:trPr>
          <w:trHeight w:val="216"/>
        </w:trPr>
        <w:tc>
          <w:tcPr>
            <w:tcW w:w="7920" w:type="dxa"/>
            <w:vAlign w:val="bottom"/>
          </w:tcPr>
          <w:p>
            <w:pPr>
              <w:ind w:left="40"/>
              <w:spacing w:after="0" w:line="216" w:lineRule="exact"/>
              <w:rPr>
                <w:sz w:val="20"/>
                <w:szCs w:val="20"/>
                <w:color w:val="auto"/>
              </w:rPr>
            </w:pPr>
            <w:r>
              <w:rPr>
                <w:rFonts w:ascii="Arial" w:cs="Arial" w:eastAsia="Arial" w:hAnsi="Arial"/>
                <w:sz w:val="16"/>
                <w:szCs w:val="16"/>
                <w:color w:val="auto"/>
              </w:rPr>
              <w:t xml:space="preserve">Net income per share - Basic </w:t>
            </w:r>
            <w:r>
              <w:rPr>
                <w:rFonts w:ascii="Arial" w:cs="Arial" w:eastAsia="Arial" w:hAnsi="Arial"/>
                <w:sz w:val="21"/>
                <w:szCs w:val="21"/>
                <w:color w:val="auto"/>
                <w:vertAlign w:val="superscript"/>
              </w:rPr>
              <w:t>(2)</w:t>
            </w:r>
          </w:p>
        </w:tc>
        <w:tc>
          <w:tcPr>
            <w:tcW w:w="1100" w:type="dxa"/>
            <w:vAlign w:val="bottom"/>
            <w:tcBorders>
              <w:bottom w:val="single" w:sz="8" w:color="auto"/>
            </w:tcBorders>
          </w:tcPr>
          <w:p>
            <w:pPr>
              <w:jc w:val="right"/>
              <w:ind w:right="924"/>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5.21</w:t>
            </w:r>
          </w:p>
        </w:tc>
        <w:tc>
          <w:tcPr>
            <w:tcW w:w="120" w:type="dxa"/>
            <w:vAlign w:val="bottom"/>
          </w:tcPr>
          <w:p>
            <w:pPr>
              <w:spacing w:after="0"/>
              <w:rPr>
                <w:sz w:val="18"/>
                <w:szCs w:val="18"/>
                <w:color w:val="auto"/>
              </w:rPr>
            </w:pPr>
          </w:p>
        </w:tc>
        <w:tc>
          <w:tcPr>
            <w:tcW w:w="1100" w:type="dxa"/>
            <w:vAlign w:val="bottom"/>
            <w:tcBorders>
              <w:bottom w:val="single" w:sz="8" w:color="auto"/>
            </w:tcBorders>
          </w:tcPr>
          <w:p>
            <w:pPr>
              <w:jc w:val="right"/>
              <w:ind w:right="921"/>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5.58</w:t>
            </w:r>
          </w:p>
        </w:tc>
      </w:tr>
      <w:tr>
        <w:trPr>
          <w:trHeight w:val="20"/>
        </w:trPr>
        <w:tc>
          <w:tcPr>
            <w:tcW w:w="792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r>
      <w:tr>
        <w:trPr>
          <w:trHeight w:val="235"/>
        </w:trPr>
        <w:tc>
          <w:tcPr>
            <w:tcW w:w="7920" w:type="dxa"/>
            <w:vAlign w:val="bottom"/>
            <w:tcBorders>
              <w:bottom w:val="single" w:sz="8" w:color="CCEEFF"/>
            </w:tcBorders>
            <w:shd w:val="clear" w:color="auto" w:fill="CCEEFF"/>
          </w:tcPr>
          <w:p>
            <w:pPr>
              <w:ind w:left="40"/>
              <w:spacing w:after="0" w:line="210" w:lineRule="exact"/>
              <w:rPr>
                <w:sz w:val="20"/>
                <w:szCs w:val="20"/>
                <w:color w:val="auto"/>
              </w:rPr>
            </w:pPr>
            <w:r>
              <w:rPr>
                <w:rFonts w:ascii="Arial" w:cs="Arial" w:eastAsia="Arial" w:hAnsi="Arial"/>
                <w:sz w:val="16"/>
                <w:szCs w:val="16"/>
                <w:color w:val="auto"/>
              </w:rPr>
              <w:t xml:space="preserve">Net income per share - Diluted </w:t>
            </w:r>
            <w:r>
              <w:rPr>
                <w:rFonts w:ascii="Arial" w:cs="Arial" w:eastAsia="Arial" w:hAnsi="Arial"/>
                <w:sz w:val="21"/>
                <w:szCs w:val="21"/>
                <w:color w:val="auto"/>
                <w:vertAlign w:val="superscript"/>
              </w:rPr>
              <w:t>(2)</w:t>
            </w:r>
          </w:p>
        </w:tc>
        <w:tc>
          <w:tcPr>
            <w:tcW w:w="1100" w:type="dxa"/>
            <w:vAlign w:val="bottom"/>
            <w:tcBorders>
              <w:bottom w:val="single" w:sz="8" w:color="auto"/>
            </w:tcBorders>
            <w:shd w:val="clear" w:color="auto" w:fill="CCEEFF"/>
          </w:tcPr>
          <w:p>
            <w:pPr>
              <w:jc w:val="right"/>
              <w:ind w:right="924"/>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5.17</w:t>
            </w:r>
          </w:p>
        </w:tc>
        <w:tc>
          <w:tcPr>
            <w:tcW w:w="1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ind w:right="921"/>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5.52</w:t>
            </w:r>
          </w:p>
        </w:tc>
      </w:tr>
      <w:tr>
        <w:trPr>
          <w:trHeight w:val="20"/>
        </w:trPr>
        <w:tc>
          <w:tcPr>
            <w:tcW w:w="79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r>
    </w:tbl>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w:t>
      </w:r>
    </w:p>
    <w:p>
      <w:pPr>
        <w:spacing w:after="0" w:line="68" w:lineRule="exact"/>
        <w:rPr>
          <w:sz w:val="20"/>
          <w:szCs w:val="20"/>
          <w:color w:val="auto"/>
        </w:rPr>
      </w:pPr>
    </w:p>
    <w:p>
      <w:pPr>
        <w:ind w:left="380" w:hanging="372"/>
        <w:spacing w:after="0"/>
        <w:tabs>
          <w:tab w:leader="none" w:pos="38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dilutive effect of all potentially dilutive common shares is calculated using the treasury stock method.</w:t>
      </w:r>
    </w:p>
    <w:p>
      <w:pPr>
        <w:spacing w:after="0" w:line="21" w:lineRule="exact"/>
        <w:rPr>
          <w:rFonts w:ascii="Arial" w:cs="Arial" w:eastAsia="Arial" w:hAnsi="Arial"/>
          <w:sz w:val="16"/>
          <w:szCs w:val="16"/>
          <w:color w:val="auto"/>
        </w:rPr>
      </w:pPr>
    </w:p>
    <w:p>
      <w:pPr>
        <w:ind w:left="380" w:hanging="372"/>
        <w:spacing w:after="0"/>
        <w:tabs>
          <w:tab w:leader="none" w:pos="380" w:val="left"/>
        </w:tabs>
        <w:numPr>
          <w:ilvl w:val="0"/>
          <w:numId w:val="5"/>
        </w:numPr>
        <w:rPr>
          <w:rFonts w:ascii="Arial" w:cs="Arial" w:eastAsia="Arial" w:hAnsi="Arial"/>
          <w:sz w:val="16"/>
          <w:szCs w:val="16"/>
          <w:color w:val="auto"/>
        </w:rPr>
      </w:pPr>
      <w:r>
        <w:rPr>
          <w:rFonts w:ascii="Arial" w:cs="Arial" w:eastAsia="Arial" w:hAnsi="Arial"/>
          <w:sz w:val="16"/>
          <w:szCs w:val="16"/>
          <w:color w:val="auto"/>
        </w:rPr>
        <w:t>Source data for calculations in thousands.</w:t>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828282"/>
        </w:rPr>
        <w:t>4. Business Combinations</w:t>
      </w:r>
    </w:p>
    <w:p>
      <w:pPr>
        <w:spacing w:after="0" w:line="117"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i w:val="1"/>
          <w:iCs w:val="1"/>
          <w:color w:val="auto"/>
        </w:rPr>
        <w:t xml:space="preserve">Bright Health Medicare. </w:t>
      </w:r>
      <w:r>
        <w:rPr>
          <w:rFonts w:ascii="Arial" w:cs="Arial" w:eastAsia="Arial" w:hAnsi="Arial"/>
          <w:sz w:val="18"/>
          <w:szCs w:val="18"/>
          <w:color w:val="auto"/>
        </w:rPr>
        <w:t>On January 1, 2024, we closed on our acquisition of Bright Health Medicare for $441 million in cash, consistent with</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our strategy to grow in our existing markets. For this transaction, we applied the acquisition method of accounting, where the total purchase price was preliminarily allocated to the tangible and intangible assets acquired and liabilities assumed, based on their fair values as of the acquisition date. We expect to complete the final determination of the purchase price allocation as soon as practicable, but no later than one year following the acquisition’s closing date in accordance with Accounting Standards Codification (“ASC”) Topic 805, </w:t>
      </w:r>
      <w:r>
        <w:rPr>
          <w:rFonts w:ascii="Arial" w:cs="Arial" w:eastAsia="Arial" w:hAnsi="Arial"/>
          <w:sz w:val="18"/>
          <w:szCs w:val="18"/>
          <w:i w:val="1"/>
          <w:iCs w:val="1"/>
          <w:color w:val="auto"/>
        </w:rPr>
        <w:t>Business</w:t>
      </w:r>
      <w:r>
        <w:rPr>
          <w:rFonts w:ascii="Arial" w:cs="Arial" w:eastAsia="Arial" w:hAnsi="Arial"/>
          <w:sz w:val="18"/>
          <w:szCs w:val="18"/>
          <w:color w:val="auto"/>
        </w:rPr>
        <w:t xml:space="preserve"> </w:t>
      </w:r>
      <w:r>
        <w:rPr>
          <w:rFonts w:ascii="Arial" w:cs="Arial" w:eastAsia="Arial" w:hAnsi="Arial"/>
          <w:sz w:val="18"/>
          <w:szCs w:val="18"/>
          <w:i w:val="1"/>
          <w:iCs w:val="1"/>
          <w:color w:val="auto"/>
        </w:rPr>
        <w:t>Combinations</w:t>
      </w:r>
      <w:r>
        <w:rPr>
          <w:rFonts w:ascii="Arial" w:cs="Arial" w:eastAsia="Arial" w:hAnsi="Arial"/>
          <w:sz w:val="18"/>
          <w:szCs w:val="18"/>
          <w:color w:val="auto"/>
        </w:rPr>
        <w:t>. Measurement period adjustments will be recorded in the period in which they are determined, as if they had been completed</w:t>
      </w:r>
      <w:r>
        <w:rPr>
          <w:rFonts w:ascii="Arial" w:cs="Arial" w:eastAsia="Arial" w:hAnsi="Arial"/>
          <w:sz w:val="18"/>
          <w:szCs w:val="18"/>
          <w:i w:val="1"/>
          <w:iCs w:val="1"/>
          <w:color w:val="auto"/>
        </w:rPr>
        <w:t xml:space="preserve"> </w:t>
      </w:r>
      <w:r>
        <w:rPr>
          <w:rFonts w:ascii="Arial" w:cs="Arial" w:eastAsia="Arial" w:hAnsi="Arial"/>
          <w:sz w:val="18"/>
          <w:szCs w:val="18"/>
          <w:color w:val="auto"/>
        </w:rPr>
        <w:t>at the acquisition date. The pro forma effects of this acquisition for prior periods were not material to our consolidated results of operations. Acquisition costs amounted to $1 million in the aggregate for the period ended March 31, 2024, and were recorded as “General and administrative expenses” in the accompanying consolidated statements of income.</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The acquisition-date fair value of the consideration transferred consisted of the following, in millions:</w:t>
      </w: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8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Fair value of consideration transferred:</w:t>
            </w:r>
          </w:p>
        </w:tc>
        <w:tc>
          <w:tcPr>
            <w:tcW w:w="6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215"/>
        </w:trPr>
        <w:tc>
          <w:tcPr>
            <w:tcW w:w="9800" w:type="dxa"/>
            <w:vAlign w:val="bottom"/>
          </w:tcPr>
          <w:p>
            <w:pPr>
              <w:ind w:left="140"/>
              <w:spacing w:after="0"/>
              <w:rPr>
                <w:sz w:val="20"/>
                <w:szCs w:val="20"/>
                <w:color w:val="auto"/>
              </w:rPr>
            </w:pPr>
            <w:r>
              <w:rPr>
                <w:rFonts w:ascii="Arial" w:cs="Arial" w:eastAsia="Arial" w:hAnsi="Arial"/>
                <w:sz w:val="16"/>
                <w:szCs w:val="16"/>
                <w:color w:val="auto"/>
              </w:rPr>
              <w:t>Cash</w:t>
            </w:r>
          </w:p>
        </w:tc>
        <w:tc>
          <w:tcPr>
            <w:tcW w:w="600" w:type="dxa"/>
            <w:vAlign w:val="bottom"/>
          </w:tcPr>
          <w:p>
            <w:pPr>
              <w:jc w:val="right"/>
              <w:ind w:right="41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341</w:t>
            </w:r>
          </w:p>
        </w:tc>
      </w:tr>
      <w:tr>
        <w:trPr>
          <w:trHeight w:val="216"/>
        </w:trPr>
        <w:tc>
          <w:tcPr>
            <w:tcW w:w="98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Contingent consideration</w:t>
            </w:r>
          </w:p>
        </w:tc>
        <w:tc>
          <w:tcPr>
            <w:tcW w:w="6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86</w:t>
            </w:r>
          </w:p>
        </w:tc>
      </w:tr>
      <w:tr>
        <w:trPr>
          <w:trHeight w:val="210"/>
        </w:trPr>
        <w:tc>
          <w:tcPr>
            <w:tcW w:w="9800" w:type="dxa"/>
            <w:vAlign w:val="bottom"/>
          </w:tcPr>
          <w:p>
            <w:pPr>
              <w:ind w:left="20"/>
              <w:spacing w:after="0"/>
              <w:rPr>
                <w:sz w:val="20"/>
                <w:szCs w:val="20"/>
                <w:color w:val="auto"/>
              </w:rPr>
            </w:pPr>
            <w:r>
              <w:rPr>
                <w:rFonts w:ascii="Arial" w:cs="Arial" w:eastAsia="Arial" w:hAnsi="Arial"/>
                <w:sz w:val="16"/>
                <w:szCs w:val="16"/>
                <w:b w:val="1"/>
                <w:bCs w:val="1"/>
                <w:color w:val="auto"/>
              </w:rPr>
              <w:t>Total</w:t>
            </w:r>
          </w:p>
        </w:tc>
        <w:tc>
          <w:tcPr>
            <w:tcW w:w="60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427</w:t>
            </w:r>
          </w:p>
        </w:tc>
      </w:tr>
      <w:tr>
        <w:trPr>
          <w:trHeight w:val="20"/>
        </w:trPr>
        <w:tc>
          <w:tcPr>
            <w:tcW w:w="98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30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contingent consideration arrangement allows the seller to earn up to $100 million for the satisfaction of certain conditions within the stock purchase agreement by the fourth quarter of 2024. The fair value of the contingent consideration arrangement at the acquisition date was $86 million. This fair value measurement is based on inputs not observable in the market and thus represents a Level 3 measurement. We estimated the fair value using a probability-weighted scenario approach focused on existing and expected membership. On the acquisition date, we placed the $100 million into a third-party escrow and recorded a receivable of $14 million in relation to the fair value measurement. As of March 31, 2024, there were no significant changes in the assumptions for the outcome of the contingencies.</w:t>
      </w:r>
    </w:p>
    <w:p>
      <w:pPr>
        <w:spacing w:after="0" w:line="200" w:lineRule="exact"/>
        <w:rPr>
          <w:sz w:val="20"/>
          <w:szCs w:val="20"/>
          <w:color w:val="auto"/>
        </w:rPr>
      </w:pPr>
    </w:p>
    <w:p>
      <w:pPr>
        <w:spacing w:after="0" w:line="32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March 31, 2024 Form 10-Q |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valuation of the assets acquired and liabilities assumed has not yet been finalized because the acquisition closed at the beginning of the quarter. Further, the finalization of purchase price adjustments as provided in the stock purchase agreement is expected to occur in the second half of 2024. As a result, provisional estimates have been recorded and are subject to change, primarily for accounts that include the use of estimates, such as medical claims and benefits payable, receivables, amounts due government agencies, certain acquired intangible assets, and certain tax assets and liabilities.</w:t>
      </w:r>
    </w:p>
    <w:p>
      <w:pPr>
        <w:spacing w:after="0" w:line="7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Goodwill is calculated as the excess of the consideration transferred over the net assets recognized and represents the estimated future economic benefits arising from other assets acquired that could not be individually identified and separately recognized. Such assets include synergies we expect to achieve as a result of the transaction, such as the use of our existing infrastructure to support the added membership, and future economic benefits arising from the assembled workforce. All of the goodwill was assigned to the Medicare segment and is deductible for income tax purposes. The following table summarizes the provisional fair values assigned to assets acquired and liabilities assumed, in millions.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8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Assets acquired:</w:t>
            </w:r>
          </w:p>
        </w:tc>
        <w:tc>
          <w:tcPr>
            <w:tcW w:w="5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15"/>
        </w:trPr>
        <w:tc>
          <w:tcPr>
            <w:tcW w:w="9800" w:type="dxa"/>
            <w:vAlign w:val="bottom"/>
          </w:tcPr>
          <w:p>
            <w:pPr>
              <w:ind w:left="140"/>
              <w:spacing w:after="0"/>
              <w:rPr>
                <w:sz w:val="20"/>
                <w:szCs w:val="20"/>
                <w:color w:val="auto"/>
              </w:rPr>
            </w:pPr>
            <w:r>
              <w:rPr>
                <w:rFonts w:ascii="Arial" w:cs="Arial" w:eastAsia="Arial" w:hAnsi="Arial"/>
                <w:sz w:val="16"/>
                <w:szCs w:val="16"/>
                <w:color w:val="auto"/>
              </w:rPr>
              <w:t>Current assets</w:t>
            </w:r>
          </w:p>
        </w:tc>
        <w:tc>
          <w:tcPr>
            <w:tcW w:w="560" w:type="dxa"/>
            <w:vAlign w:val="bottom"/>
          </w:tcPr>
          <w:p>
            <w:pPr>
              <w:jc w:val="right"/>
              <w:ind w:right="37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315</w:t>
            </w:r>
          </w:p>
        </w:tc>
      </w:tr>
      <w:tr>
        <w:trPr>
          <w:trHeight w:val="217"/>
        </w:trPr>
        <w:tc>
          <w:tcPr>
            <w:tcW w:w="98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Goodwill</w:t>
            </w:r>
          </w:p>
        </w:tc>
        <w:tc>
          <w:tcPr>
            <w:tcW w:w="5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357</w:t>
            </w:r>
          </w:p>
        </w:tc>
      </w:tr>
      <w:tr>
        <w:trPr>
          <w:trHeight w:val="215"/>
        </w:trPr>
        <w:tc>
          <w:tcPr>
            <w:tcW w:w="9800" w:type="dxa"/>
            <w:vAlign w:val="bottom"/>
          </w:tcPr>
          <w:p>
            <w:pPr>
              <w:ind w:left="140"/>
              <w:spacing w:after="0"/>
              <w:rPr>
                <w:sz w:val="20"/>
                <w:szCs w:val="20"/>
                <w:color w:val="auto"/>
              </w:rPr>
            </w:pPr>
            <w:r>
              <w:rPr>
                <w:rFonts w:ascii="Arial" w:cs="Arial" w:eastAsia="Arial" w:hAnsi="Arial"/>
                <w:sz w:val="16"/>
                <w:szCs w:val="16"/>
                <w:color w:val="auto"/>
              </w:rPr>
              <w:t>Intangible assets</w:t>
            </w:r>
          </w:p>
        </w:tc>
        <w:tc>
          <w:tcPr>
            <w:tcW w:w="5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141</w:t>
            </w:r>
          </w:p>
        </w:tc>
      </w:tr>
      <w:tr>
        <w:trPr>
          <w:trHeight w:val="217"/>
        </w:trPr>
        <w:tc>
          <w:tcPr>
            <w:tcW w:w="98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long-term assets</w:t>
            </w:r>
          </w:p>
        </w:tc>
        <w:tc>
          <w:tcPr>
            <w:tcW w:w="5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w:t>
            </w:r>
          </w:p>
        </w:tc>
      </w:tr>
      <w:tr>
        <w:trPr>
          <w:trHeight w:val="216"/>
        </w:trPr>
        <w:tc>
          <w:tcPr>
            <w:tcW w:w="9800" w:type="dxa"/>
            <w:vAlign w:val="bottom"/>
          </w:tcPr>
          <w:p>
            <w:pPr>
              <w:ind w:left="20"/>
              <w:spacing w:after="0"/>
              <w:rPr>
                <w:sz w:val="20"/>
                <w:szCs w:val="20"/>
                <w:color w:val="auto"/>
              </w:rPr>
            </w:pPr>
            <w:r>
              <w:rPr>
                <w:rFonts w:ascii="Arial" w:cs="Arial" w:eastAsia="Arial" w:hAnsi="Arial"/>
                <w:sz w:val="16"/>
                <w:szCs w:val="16"/>
                <w:b w:val="1"/>
                <w:bCs w:val="1"/>
                <w:color w:val="auto"/>
              </w:rPr>
              <w:t>Liabilities assumed:</w:t>
            </w:r>
          </w:p>
        </w:tc>
        <w:tc>
          <w:tcPr>
            <w:tcW w:w="56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6"/>
        </w:trPr>
        <w:tc>
          <w:tcPr>
            <w:tcW w:w="98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Medical claims and benefits payable</w:t>
            </w:r>
          </w:p>
        </w:tc>
        <w:tc>
          <w:tcPr>
            <w:tcW w:w="5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(391)</w:t>
            </w:r>
          </w:p>
        </w:tc>
      </w:tr>
      <w:tr>
        <w:trPr>
          <w:trHeight w:val="215"/>
        </w:trPr>
        <w:tc>
          <w:tcPr>
            <w:tcW w:w="9800" w:type="dxa"/>
            <w:vAlign w:val="bottom"/>
          </w:tcPr>
          <w:p>
            <w:pPr>
              <w:ind w:left="140"/>
              <w:spacing w:after="0"/>
              <w:rPr>
                <w:sz w:val="20"/>
                <w:szCs w:val="20"/>
                <w:color w:val="auto"/>
              </w:rPr>
            </w:pPr>
            <w:r>
              <w:rPr>
                <w:rFonts w:ascii="Arial" w:cs="Arial" w:eastAsia="Arial" w:hAnsi="Arial"/>
                <w:sz w:val="16"/>
                <w:szCs w:val="16"/>
                <w:color w:val="auto"/>
              </w:rPr>
              <w:t>Amounts due government agencies</w:t>
            </w:r>
          </w:p>
        </w:tc>
        <w:tc>
          <w:tcPr>
            <w:tcW w:w="5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(24)</w:t>
            </w:r>
          </w:p>
        </w:tc>
      </w:tr>
      <w:tr>
        <w:trPr>
          <w:trHeight w:val="216"/>
        </w:trPr>
        <w:tc>
          <w:tcPr>
            <w:tcW w:w="98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Accounts payable, accrued and other long-term liabilities</w:t>
            </w:r>
          </w:p>
        </w:tc>
        <w:tc>
          <w:tcPr>
            <w:tcW w:w="5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w:t>
            </w:r>
          </w:p>
        </w:tc>
      </w:tr>
      <w:tr>
        <w:trPr>
          <w:trHeight w:val="210"/>
        </w:trPr>
        <w:tc>
          <w:tcPr>
            <w:tcW w:w="9800" w:type="dxa"/>
            <w:vAlign w:val="bottom"/>
          </w:tcPr>
          <w:p>
            <w:pPr>
              <w:ind w:left="20"/>
              <w:spacing w:after="0"/>
              <w:rPr>
                <w:sz w:val="20"/>
                <w:szCs w:val="20"/>
                <w:color w:val="auto"/>
              </w:rPr>
            </w:pPr>
            <w:r>
              <w:rPr>
                <w:rFonts w:ascii="Arial" w:cs="Arial" w:eastAsia="Arial" w:hAnsi="Arial"/>
                <w:sz w:val="16"/>
                <w:szCs w:val="16"/>
                <w:b w:val="1"/>
                <w:bCs w:val="1"/>
                <w:color w:val="auto"/>
              </w:rPr>
              <w:t>Fair value of net assets acquired</w:t>
            </w:r>
          </w:p>
        </w:tc>
        <w:tc>
          <w:tcPr>
            <w:tcW w:w="56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427</w:t>
            </w:r>
          </w:p>
        </w:tc>
      </w:tr>
      <w:tr>
        <w:trPr>
          <w:trHeight w:val="20"/>
        </w:trPr>
        <w:tc>
          <w:tcPr>
            <w:tcW w:w="98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right="560"/>
        <w:spacing w:after="0" w:line="287" w:lineRule="auto"/>
        <w:rPr>
          <w:sz w:val="20"/>
          <w:szCs w:val="20"/>
          <w:color w:val="auto"/>
        </w:rPr>
      </w:pPr>
      <w:r>
        <w:rPr>
          <w:rFonts w:ascii="Arial" w:cs="Arial" w:eastAsia="Arial" w:hAnsi="Arial"/>
          <w:sz w:val="18"/>
          <w:szCs w:val="18"/>
          <w:color w:val="auto"/>
        </w:rPr>
        <w:t>The table below presents intangible assets acquired, by major class, for the Bright Health Medicare acquisition. The weighted-average amortization period, in the aggregate, is 11.1 years.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826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302"/>
              <w:spacing w:after="0"/>
              <w:rPr>
                <w:sz w:val="20"/>
                <w:szCs w:val="20"/>
                <w:color w:val="auto"/>
              </w:rPr>
            </w:pPr>
            <w:r>
              <w:rPr>
                <w:rFonts w:ascii="Arial" w:cs="Arial" w:eastAsia="Arial" w:hAnsi="Arial"/>
                <w:sz w:val="14"/>
                <w:szCs w:val="14"/>
                <w:b w:val="1"/>
                <w:bCs w:val="1"/>
                <w:color w:val="auto"/>
              </w:rPr>
              <w:t>Fair Value</w:t>
            </w:r>
          </w:p>
        </w:tc>
        <w:tc>
          <w:tcPr>
            <w:tcW w:w="100" w:type="dxa"/>
            <w:vAlign w:val="bottom"/>
          </w:tcPr>
          <w:p>
            <w:pPr>
              <w:spacing w:after="0"/>
              <w:rPr>
                <w:sz w:val="17"/>
                <w:szCs w:val="17"/>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Life</w:t>
            </w:r>
          </w:p>
        </w:tc>
      </w:tr>
      <w:tr>
        <w:trPr>
          <w:trHeight w:val="250"/>
        </w:trPr>
        <w:tc>
          <w:tcPr>
            <w:tcW w:w="8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jc w:val="right"/>
              <w:ind w:right="242"/>
              <w:spacing w:after="0"/>
              <w:rPr>
                <w:sz w:val="20"/>
                <w:szCs w:val="20"/>
                <w:color w:val="auto"/>
              </w:rPr>
            </w:pPr>
            <w:r>
              <w:rPr>
                <w:rFonts w:ascii="Arial" w:cs="Arial" w:eastAsia="Arial" w:hAnsi="Arial"/>
                <w:sz w:val="14"/>
                <w:szCs w:val="14"/>
                <w:b w:val="1"/>
                <w:bCs w:val="1"/>
                <w:color w:val="auto"/>
              </w:rPr>
              <w:t>(In millions)</w:t>
            </w:r>
          </w:p>
        </w:tc>
        <w:tc>
          <w:tcPr>
            <w:tcW w:w="100" w:type="dxa"/>
            <w:vAlign w:val="bottom"/>
          </w:tcPr>
          <w:p>
            <w:pPr>
              <w:spacing w:after="0"/>
              <w:rPr>
                <w:sz w:val="21"/>
                <w:szCs w:val="21"/>
                <w:color w:val="auto"/>
              </w:rPr>
            </w:pP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rPr>
              <w:t>(Years)</w:t>
            </w:r>
          </w:p>
        </w:tc>
      </w:tr>
      <w:tr>
        <w:trPr>
          <w:trHeight w:val="217"/>
        </w:trPr>
        <w:tc>
          <w:tcPr>
            <w:tcW w:w="8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Contract rights - member list</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104</w:t>
            </w:r>
          </w:p>
        </w:tc>
        <w:tc>
          <w:tcPr>
            <w:tcW w:w="1540" w:type="dxa"/>
            <w:vAlign w:val="bottom"/>
            <w:gridSpan w:val="2"/>
            <w:shd w:val="clear" w:color="auto" w:fill="CCEEFF"/>
          </w:tcPr>
          <w:p>
            <w:pPr>
              <w:jc w:val="center"/>
              <w:ind w:left="39"/>
              <w:spacing w:after="0"/>
              <w:rPr>
                <w:sz w:val="20"/>
                <w:szCs w:val="20"/>
                <w:color w:val="auto"/>
              </w:rPr>
            </w:pPr>
            <w:r>
              <w:rPr>
                <w:rFonts w:ascii="Arial" w:cs="Arial" w:eastAsia="Arial" w:hAnsi="Arial"/>
                <w:sz w:val="16"/>
                <w:szCs w:val="16"/>
                <w:color w:val="auto"/>
              </w:rPr>
              <w:t>10</w:t>
            </w:r>
          </w:p>
        </w:tc>
      </w:tr>
      <w:tr>
        <w:trPr>
          <w:trHeight w:val="215"/>
        </w:trPr>
        <w:tc>
          <w:tcPr>
            <w:tcW w:w="8260" w:type="dxa"/>
            <w:vAlign w:val="bottom"/>
          </w:tcPr>
          <w:p>
            <w:pPr>
              <w:ind w:left="20"/>
              <w:spacing w:after="0"/>
              <w:rPr>
                <w:sz w:val="20"/>
                <w:szCs w:val="20"/>
                <w:color w:val="auto"/>
              </w:rPr>
            </w:pPr>
            <w:r>
              <w:rPr>
                <w:rFonts w:ascii="Arial" w:cs="Arial" w:eastAsia="Arial" w:hAnsi="Arial"/>
                <w:sz w:val="16"/>
                <w:szCs w:val="16"/>
                <w:color w:val="auto"/>
              </w:rPr>
              <w:t>Trade name</w:t>
            </w:r>
          </w:p>
        </w:tc>
        <w:tc>
          <w:tcPr>
            <w:tcW w:w="200" w:type="dxa"/>
            <w:vAlign w:val="bottom"/>
          </w:tcPr>
          <w:p>
            <w:pPr>
              <w:spacing w:after="0"/>
              <w:rPr>
                <w:sz w:val="18"/>
                <w:szCs w:val="18"/>
                <w:color w:val="auto"/>
              </w:rPr>
            </w:pPr>
          </w:p>
        </w:tc>
        <w:tc>
          <w:tcPr>
            <w:tcW w:w="1240" w:type="dxa"/>
            <w:vAlign w:val="bottom"/>
          </w:tcPr>
          <w:p>
            <w:pPr>
              <w:jc w:val="right"/>
              <w:ind w:right="2"/>
              <w:spacing w:after="0"/>
              <w:rPr>
                <w:sz w:val="20"/>
                <w:szCs w:val="20"/>
                <w:color w:val="auto"/>
              </w:rPr>
            </w:pPr>
            <w:r>
              <w:rPr>
                <w:rFonts w:ascii="Arial" w:cs="Arial" w:eastAsia="Arial" w:hAnsi="Arial"/>
                <w:sz w:val="16"/>
                <w:szCs w:val="16"/>
                <w:color w:val="auto"/>
              </w:rPr>
              <w:t>32</w:t>
            </w:r>
          </w:p>
        </w:tc>
        <w:tc>
          <w:tcPr>
            <w:tcW w:w="1540" w:type="dxa"/>
            <w:vAlign w:val="bottom"/>
            <w:gridSpan w:val="2"/>
          </w:tcPr>
          <w:p>
            <w:pPr>
              <w:jc w:val="center"/>
              <w:ind w:left="39"/>
              <w:spacing w:after="0"/>
              <w:rPr>
                <w:sz w:val="20"/>
                <w:szCs w:val="20"/>
                <w:color w:val="auto"/>
              </w:rPr>
            </w:pPr>
            <w:r>
              <w:rPr>
                <w:rFonts w:ascii="Arial" w:cs="Arial" w:eastAsia="Arial" w:hAnsi="Arial"/>
                <w:sz w:val="16"/>
                <w:szCs w:val="16"/>
                <w:color w:val="auto"/>
              </w:rPr>
              <w:t>15</w:t>
            </w:r>
          </w:p>
        </w:tc>
      </w:tr>
      <w:tr>
        <w:trPr>
          <w:trHeight w:val="216"/>
        </w:trPr>
        <w:tc>
          <w:tcPr>
            <w:tcW w:w="8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Provider network</w:t>
            </w:r>
          </w:p>
        </w:tc>
        <w:tc>
          <w:tcPr>
            <w:tcW w:w="2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5</w:t>
            </w:r>
          </w:p>
        </w:tc>
        <w:tc>
          <w:tcPr>
            <w:tcW w:w="1540" w:type="dxa"/>
            <w:vAlign w:val="bottom"/>
            <w:gridSpan w:val="2"/>
            <w:shd w:val="clear" w:color="auto" w:fill="CCEEFF"/>
          </w:tcPr>
          <w:p>
            <w:pPr>
              <w:jc w:val="center"/>
              <w:ind w:left="39"/>
              <w:spacing w:after="0"/>
              <w:rPr>
                <w:sz w:val="20"/>
                <w:szCs w:val="20"/>
                <w:color w:val="auto"/>
              </w:rPr>
            </w:pPr>
            <w:r>
              <w:rPr>
                <w:rFonts w:ascii="Arial" w:cs="Arial" w:eastAsia="Arial" w:hAnsi="Arial"/>
                <w:sz w:val="16"/>
                <w:szCs w:val="16"/>
                <w:color w:val="auto"/>
              </w:rPr>
              <w:t>10</w:t>
            </w:r>
          </w:p>
        </w:tc>
      </w:tr>
      <w:tr>
        <w:trPr>
          <w:trHeight w:val="210"/>
        </w:trPr>
        <w:tc>
          <w:tcPr>
            <w:tcW w:w="826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141</w:t>
            </w: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1"/>
        </w:trPr>
        <w:tc>
          <w:tcPr>
            <w:tcW w:w="8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8"/>
          <w:szCs w:val="18"/>
          <w:b w:val="1"/>
          <w:bCs w:val="1"/>
          <w:color w:val="828282"/>
        </w:rPr>
        <w:t>5. Fair Value Measurements</w:t>
      </w:r>
    </w:p>
    <w:p>
      <w:pPr>
        <w:spacing w:after="0" w:line="117" w:lineRule="exact"/>
        <w:rPr>
          <w:sz w:val="20"/>
          <w:szCs w:val="20"/>
          <w:color w:val="auto"/>
        </w:rPr>
      </w:pPr>
    </w:p>
    <w:p>
      <w:pPr>
        <w:ind w:right="40"/>
        <w:spacing w:after="0" w:line="278" w:lineRule="auto"/>
        <w:rPr>
          <w:sz w:val="20"/>
          <w:szCs w:val="20"/>
          <w:color w:val="auto"/>
        </w:rPr>
      </w:pPr>
      <w:r>
        <w:rPr>
          <w:rFonts w:ascii="Arial" w:cs="Arial" w:eastAsia="Arial" w:hAnsi="Arial"/>
          <w:sz w:val="17"/>
          <w:szCs w:val="17"/>
          <w:color w:val="auto"/>
        </w:rPr>
        <w:t>We consider the carrying amounts of current assets and current liabilities to approximate their fair values because of the relatively short period of time between the origination of these instruments and their expected realization or payment. For our financial instruments measured at fair value on a recurring basis, we prioritize the inputs used in measuring fair value according to the three-tier fair value hierarchy. For a description of the methods and assumptions used to: a) estimate the fair value; and b) determine the classification according to the fair value hierarchy for each financial instrument, refer to our 2023 Annual Report on Form 10-K, Note 5, “Fair Value Measurements.”</w:t>
      </w:r>
    </w:p>
    <w:p>
      <w:pPr>
        <w:spacing w:after="0" w:line="200" w:lineRule="exact"/>
        <w:rPr>
          <w:sz w:val="20"/>
          <w:szCs w:val="20"/>
          <w:color w:val="auto"/>
        </w:rPr>
      </w:pPr>
    </w:p>
    <w:p>
      <w:pPr>
        <w:spacing w:after="0" w:line="30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March 31, 2024 Form 10-Q |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color w:val="auto"/>
        </w:rPr>
        <w:t>Our financial instruments measured at fair value on a recurring basis at March 31, 2024, were as follows: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Observable Inputs</w:t>
            </w:r>
          </w:p>
        </w:tc>
        <w:tc>
          <w:tcPr>
            <w:tcW w:w="16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rPr>
              <w:t>Directly or Indirectly</w:t>
            </w:r>
          </w:p>
        </w:tc>
        <w:tc>
          <w:tcPr>
            <w:tcW w:w="15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Unobservable Inputs</w:t>
            </w:r>
          </w:p>
        </w:tc>
        <w:tc>
          <w:tcPr>
            <w:tcW w:w="0" w:type="dxa"/>
            <w:vAlign w:val="bottom"/>
          </w:tcPr>
          <w:p>
            <w:pPr>
              <w:spacing w:after="0"/>
              <w:rPr>
                <w:sz w:val="1"/>
                <w:szCs w:val="1"/>
                <w:color w:val="auto"/>
              </w:rPr>
            </w:pPr>
          </w:p>
        </w:tc>
      </w:tr>
      <w:tr>
        <w:trPr>
          <w:trHeight w:val="189"/>
        </w:trPr>
        <w:tc>
          <w:tcPr>
            <w:tcW w:w="47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5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Observable Inputs</w:t>
            </w:r>
          </w:p>
        </w:tc>
        <w:tc>
          <w:tcPr>
            <w:tcW w:w="15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4780" w:type="dxa"/>
            <w:vAlign w:val="bottom"/>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Total</w:t>
            </w:r>
          </w:p>
        </w:tc>
        <w:tc>
          <w:tcPr>
            <w:tcW w:w="5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ind w:left="360"/>
              <w:spacing w:after="0"/>
              <w:rPr>
                <w:sz w:val="20"/>
                <w:szCs w:val="20"/>
                <w:color w:val="auto"/>
              </w:rPr>
            </w:pPr>
            <w:r>
              <w:rPr>
                <w:rFonts w:ascii="Arial" w:cs="Arial" w:eastAsia="Arial" w:hAnsi="Arial"/>
                <w:sz w:val="14"/>
                <w:szCs w:val="14"/>
                <w:b w:val="1"/>
                <w:bCs w:val="1"/>
                <w:color w:val="auto"/>
              </w:rPr>
              <w:t>(Level 1)</w:t>
            </w:r>
          </w:p>
        </w:tc>
        <w:tc>
          <w:tcPr>
            <w:tcW w:w="1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center"/>
              <w:ind w:right="21"/>
              <w:spacing w:after="0"/>
              <w:rPr>
                <w:sz w:val="20"/>
                <w:szCs w:val="20"/>
                <w:color w:val="auto"/>
              </w:rPr>
            </w:pPr>
            <w:r>
              <w:rPr>
                <w:rFonts w:ascii="Arial" w:cs="Arial" w:eastAsia="Arial" w:hAnsi="Arial"/>
                <w:sz w:val="14"/>
                <w:szCs w:val="14"/>
                <w:b w:val="1"/>
                <w:bCs w:val="1"/>
                <w:color w:val="auto"/>
              </w:rPr>
              <w:t>(Level 2)</w:t>
            </w: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236"/>
        </w:trPr>
        <w:tc>
          <w:tcPr>
            <w:tcW w:w="47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140" w:type="dxa"/>
            <w:vAlign w:val="bottom"/>
            <w:gridSpan w:val="5"/>
          </w:tcPr>
          <w:p>
            <w:pPr>
              <w:ind w:left="1080"/>
              <w:spacing w:after="0"/>
              <w:rPr>
                <w:sz w:val="20"/>
                <w:szCs w:val="20"/>
                <w:color w:val="auto"/>
              </w:rPr>
            </w:pPr>
            <w:r>
              <w:rPr>
                <w:rFonts w:ascii="Arial" w:cs="Arial" w:eastAsia="Arial" w:hAnsi="Arial"/>
                <w:sz w:val="14"/>
                <w:szCs w:val="14"/>
                <w:b w:val="1"/>
                <w:bCs w:val="1"/>
                <w:color w:val="auto"/>
              </w:rPr>
              <w:t>(In millions)</w:t>
            </w:r>
          </w:p>
        </w:tc>
        <w:tc>
          <w:tcPr>
            <w:tcW w:w="3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7"/>
        </w:trPr>
        <w:tc>
          <w:tcPr>
            <w:tcW w:w="4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Corporate debt securities</w:t>
            </w:r>
          </w:p>
        </w:tc>
        <w:tc>
          <w:tcPr>
            <w:tcW w:w="1000" w:type="dxa"/>
            <w:vAlign w:val="bottom"/>
            <w:shd w:val="clear" w:color="auto" w:fill="CCEEFF"/>
          </w:tcPr>
          <w:p>
            <w:pPr>
              <w:jc w:val="right"/>
              <w:ind w:right="802"/>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2,853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gridSpan w:val="2"/>
            <w:shd w:val="clear" w:color="auto" w:fill="CCEEFF"/>
          </w:tcPr>
          <w:p>
            <w:pPr>
              <w:ind w:left="1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2,853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ind w:left="10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4780" w:type="dxa"/>
            <w:vAlign w:val="bottom"/>
          </w:tcPr>
          <w:p>
            <w:pPr>
              <w:ind w:left="20"/>
              <w:spacing w:after="0"/>
              <w:rPr>
                <w:sz w:val="20"/>
                <w:szCs w:val="20"/>
                <w:color w:val="auto"/>
              </w:rPr>
            </w:pPr>
            <w:r>
              <w:rPr>
                <w:rFonts w:ascii="Arial" w:cs="Arial" w:eastAsia="Arial" w:hAnsi="Arial"/>
                <w:sz w:val="16"/>
                <w:szCs w:val="16"/>
                <w:color w:val="auto"/>
              </w:rPr>
              <w:t>Mortgage-backed securities</w:t>
            </w:r>
          </w:p>
        </w:tc>
        <w:tc>
          <w:tcPr>
            <w:tcW w:w="10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923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2"/>
          </w:tcPr>
          <w:p>
            <w:pPr>
              <w:ind w:left="1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400" w:type="dxa"/>
            <w:vAlign w:val="bottom"/>
          </w:tcPr>
          <w:p>
            <w:pPr>
              <w:jc w:val="right"/>
              <w:ind w:right="1"/>
              <w:spacing w:after="0"/>
              <w:rPr>
                <w:sz w:val="20"/>
                <w:szCs w:val="20"/>
                <w:color w:val="auto"/>
              </w:rPr>
            </w:pPr>
            <w:r>
              <w:rPr>
                <w:rFonts w:ascii="Arial" w:cs="Arial" w:eastAsia="Arial" w:hAnsi="Arial"/>
                <w:sz w:val="16"/>
                <w:szCs w:val="16"/>
                <w:color w:val="auto"/>
              </w:rPr>
              <w:t>923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ind w:left="10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4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Asset-backed securities</w:t>
            </w:r>
          </w:p>
        </w:tc>
        <w:tc>
          <w:tcPr>
            <w:tcW w:w="10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ind w:left="1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381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ind w:left="10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9"/>
        </w:trPr>
        <w:tc>
          <w:tcPr>
            <w:tcW w:w="4780" w:type="dxa"/>
            <w:vAlign w:val="bottom"/>
          </w:tcPr>
          <w:p>
            <w:pPr>
              <w:ind w:left="20"/>
              <w:spacing w:after="0"/>
              <w:rPr>
                <w:sz w:val="20"/>
                <w:szCs w:val="20"/>
                <w:color w:val="auto"/>
              </w:rPr>
            </w:pPr>
            <w:r>
              <w:rPr>
                <w:rFonts w:ascii="Arial" w:cs="Arial" w:eastAsia="Arial" w:hAnsi="Arial"/>
                <w:sz w:val="18"/>
                <w:szCs w:val="18"/>
                <w:color w:val="auto"/>
              </w:rPr>
              <w:t>Municipal securities</w:t>
            </w:r>
          </w:p>
        </w:tc>
        <w:tc>
          <w:tcPr>
            <w:tcW w:w="10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176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20" w:type="dxa"/>
            <w:vAlign w:val="bottom"/>
            <w:gridSpan w:val="2"/>
          </w:tcPr>
          <w:p>
            <w:pPr>
              <w:ind w:left="1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1400" w:type="dxa"/>
            <w:vAlign w:val="bottom"/>
          </w:tcPr>
          <w:p>
            <w:pPr>
              <w:jc w:val="right"/>
              <w:ind w:right="1"/>
              <w:spacing w:after="0"/>
              <w:rPr>
                <w:sz w:val="20"/>
                <w:szCs w:val="20"/>
                <w:color w:val="auto"/>
              </w:rPr>
            </w:pPr>
            <w:r>
              <w:rPr>
                <w:rFonts w:ascii="Arial" w:cs="Arial" w:eastAsia="Arial" w:hAnsi="Arial"/>
                <w:sz w:val="16"/>
                <w:szCs w:val="16"/>
                <w:color w:val="auto"/>
              </w:rPr>
              <w:t>176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ind w:left="10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U.S. Treasury notes</w:t>
            </w:r>
          </w:p>
        </w:tc>
        <w:tc>
          <w:tcPr>
            <w:tcW w:w="10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ind w:left="1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ind w:left="10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4780" w:type="dxa"/>
            <w:vAlign w:val="bottom"/>
          </w:tcPr>
          <w:p>
            <w:pPr>
              <w:ind w:left="20"/>
              <w:spacing w:after="0"/>
              <w:rPr>
                <w:sz w:val="20"/>
                <w:szCs w:val="20"/>
                <w:color w:val="auto"/>
              </w:rPr>
            </w:pPr>
            <w:r>
              <w:rPr>
                <w:rFonts w:ascii="Arial" w:cs="Arial" w:eastAsia="Arial" w:hAnsi="Arial"/>
                <w:sz w:val="16"/>
                <w:szCs w:val="16"/>
                <w:color w:val="auto"/>
              </w:rPr>
              <w:t>Other</w:t>
            </w:r>
          </w:p>
        </w:tc>
        <w:tc>
          <w:tcPr>
            <w:tcW w:w="10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47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2"/>
          </w:tcPr>
          <w:p>
            <w:pPr>
              <w:ind w:left="1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400" w:type="dxa"/>
            <w:vAlign w:val="bottom"/>
          </w:tcPr>
          <w:p>
            <w:pPr>
              <w:jc w:val="right"/>
              <w:ind w:right="1"/>
              <w:spacing w:after="0"/>
              <w:rPr>
                <w:sz w:val="20"/>
                <w:szCs w:val="20"/>
                <w:color w:val="auto"/>
              </w:rPr>
            </w:pPr>
            <w:r>
              <w:rPr>
                <w:rFonts w:ascii="Arial" w:cs="Arial" w:eastAsia="Arial" w:hAnsi="Arial"/>
                <w:sz w:val="16"/>
                <w:szCs w:val="16"/>
                <w:color w:val="auto"/>
              </w:rPr>
              <w:t>47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ind w:left="10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5"/>
        </w:trPr>
        <w:tc>
          <w:tcPr>
            <w:tcW w:w="478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Total assets</w:t>
            </w:r>
          </w:p>
        </w:tc>
        <w:tc>
          <w:tcPr>
            <w:tcW w:w="1000" w:type="dxa"/>
            <w:vAlign w:val="bottom"/>
            <w:tcBorders>
              <w:top w:val="single" w:sz="8" w:color="auto"/>
              <w:bottom w:val="single" w:sz="8" w:color="auto"/>
            </w:tcBorders>
            <w:shd w:val="clear" w:color="auto" w:fill="CCEEFF"/>
          </w:tcPr>
          <w:p>
            <w:pPr>
              <w:jc w:val="right"/>
              <w:ind w:right="802"/>
              <w:spacing w:after="0"/>
              <w:rPr>
                <w:sz w:val="20"/>
                <w:szCs w:val="20"/>
                <w:color w:val="auto"/>
              </w:rPr>
            </w:pPr>
            <w:r>
              <w:rPr>
                <w:rFonts w:ascii="Arial" w:cs="Arial" w:eastAsia="Arial" w:hAnsi="Arial"/>
                <w:sz w:val="16"/>
                <w:szCs w:val="16"/>
                <w:color w:val="auto"/>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4,424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top w:val="single" w:sz="8" w:color="auto"/>
              <w:bottom w:val="single" w:sz="8" w:color="auto"/>
            </w:tcBorders>
            <w:shd w:val="clear" w:color="auto" w:fill="CCEEFF"/>
          </w:tcPr>
          <w:p>
            <w:pPr>
              <w:ind w:left="1180"/>
              <w:spacing w:after="0"/>
              <w:rPr>
                <w:sz w:val="20"/>
                <w:szCs w:val="20"/>
                <w:color w:val="auto"/>
              </w:rPr>
            </w:pPr>
            <w:r>
              <w:rPr>
                <w:rFonts w:ascii="Arial" w:cs="Arial" w:eastAsia="Arial" w:hAnsi="Arial"/>
                <w:sz w:val="16"/>
                <w:szCs w:val="16"/>
                <w:color w:val="auto"/>
              </w:rPr>
              <w:t>—</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4,424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jc w:val="right"/>
              <w:ind w:right="122"/>
              <w:spacing w:after="0"/>
              <w:rPr>
                <w:sz w:val="20"/>
                <w:szCs w:val="20"/>
                <w:color w:val="auto"/>
              </w:rPr>
            </w:pPr>
            <w:r>
              <w:rPr>
                <w:rFonts w:ascii="Arial" w:cs="Arial" w:eastAsia="Arial" w:hAnsi="Arial"/>
                <w:sz w:val="16"/>
                <w:szCs w:val="16"/>
                <w:color w:val="auto"/>
              </w:rPr>
              <w:t>$</w:t>
            </w:r>
          </w:p>
        </w:tc>
        <w:tc>
          <w:tcPr>
            <w:tcW w:w="1240" w:type="dxa"/>
            <w:vAlign w:val="bottom"/>
            <w:tcBorders>
              <w:top w:val="single" w:sz="8" w:color="auto"/>
              <w:bottom w:val="single" w:sz="8" w:color="auto"/>
            </w:tcBorders>
            <w:shd w:val="clear" w:color="auto" w:fill="CCEEFF"/>
          </w:tcPr>
          <w:p>
            <w:pPr>
              <w:ind w:left="10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47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Our financial instruments measured at fair value on a recurring basis at December 31, 2023, were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Observable Inputs</w:t>
            </w:r>
          </w:p>
        </w:tc>
        <w:tc>
          <w:tcPr>
            <w:tcW w:w="16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rPr>
              <w:t>Directly or Indirectly</w:t>
            </w:r>
          </w:p>
        </w:tc>
        <w:tc>
          <w:tcPr>
            <w:tcW w:w="15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Unobservable Inputs</w:t>
            </w:r>
          </w:p>
        </w:tc>
        <w:tc>
          <w:tcPr>
            <w:tcW w:w="0" w:type="dxa"/>
            <w:vAlign w:val="bottom"/>
          </w:tcPr>
          <w:p>
            <w:pPr>
              <w:spacing w:after="0"/>
              <w:rPr>
                <w:sz w:val="1"/>
                <w:szCs w:val="1"/>
                <w:color w:val="auto"/>
              </w:rPr>
            </w:pPr>
          </w:p>
        </w:tc>
      </w:tr>
      <w:tr>
        <w:trPr>
          <w:trHeight w:val="193"/>
        </w:trPr>
        <w:tc>
          <w:tcPr>
            <w:tcW w:w="47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5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Observable Inputs</w:t>
            </w:r>
          </w:p>
        </w:tc>
        <w:tc>
          <w:tcPr>
            <w:tcW w:w="15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4760" w:type="dxa"/>
            <w:vAlign w:val="bottom"/>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Total</w:t>
            </w:r>
          </w:p>
        </w:tc>
        <w:tc>
          <w:tcPr>
            <w:tcW w:w="54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ind w:left="340"/>
              <w:spacing w:after="0"/>
              <w:rPr>
                <w:sz w:val="20"/>
                <w:szCs w:val="20"/>
                <w:color w:val="auto"/>
              </w:rPr>
            </w:pPr>
            <w:r>
              <w:rPr>
                <w:rFonts w:ascii="Arial" w:cs="Arial" w:eastAsia="Arial" w:hAnsi="Arial"/>
                <w:sz w:val="14"/>
                <w:szCs w:val="14"/>
                <w:b w:val="1"/>
                <w:bCs w:val="1"/>
                <w:color w:val="auto"/>
              </w:rPr>
              <w:t>(Level 1)</w:t>
            </w: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center"/>
              <w:ind w:right="41"/>
              <w:spacing w:after="0"/>
              <w:rPr>
                <w:sz w:val="20"/>
                <w:szCs w:val="20"/>
                <w:color w:val="auto"/>
              </w:rPr>
            </w:pPr>
            <w:r>
              <w:rPr>
                <w:rFonts w:ascii="Arial" w:cs="Arial" w:eastAsia="Arial" w:hAnsi="Arial"/>
                <w:sz w:val="14"/>
                <w:szCs w:val="14"/>
                <w:b w:val="1"/>
                <w:bCs w:val="1"/>
                <w:color w:val="auto"/>
              </w:rPr>
              <w:t>(Level 2)</w:t>
            </w:r>
          </w:p>
        </w:tc>
        <w:tc>
          <w:tcPr>
            <w:tcW w:w="1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237"/>
        </w:trPr>
        <w:tc>
          <w:tcPr>
            <w:tcW w:w="47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160" w:type="dxa"/>
            <w:vAlign w:val="bottom"/>
            <w:gridSpan w:val="5"/>
          </w:tcPr>
          <w:p>
            <w:pPr>
              <w:ind w:left="1080"/>
              <w:spacing w:after="0"/>
              <w:rPr>
                <w:sz w:val="20"/>
                <w:szCs w:val="20"/>
                <w:color w:val="auto"/>
              </w:rPr>
            </w:pPr>
            <w:r>
              <w:rPr>
                <w:rFonts w:ascii="Arial" w:cs="Arial" w:eastAsia="Arial" w:hAnsi="Arial"/>
                <w:sz w:val="14"/>
                <w:szCs w:val="14"/>
                <w:b w:val="1"/>
                <w:bCs w:val="1"/>
                <w:color w:val="auto"/>
              </w:rPr>
              <w:t>(In millions)</w:t>
            </w:r>
          </w:p>
        </w:tc>
        <w:tc>
          <w:tcPr>
            <w:tcW w:w="3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7"/>
        </w:trPr>
        <w:tc>
          <w:tcPr>
            <w:tcW w:w="4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Corporate debt securities</w:t>
            </w:r>
          </w:p>
        </w:tc>
        <w:tc>
          <w:tcPr>
            <w:tcW w:w="980" w:type="dxa"/>
            <w:vAlign w:val="bottom"/>
            <w:shd w:val="clear" w:color="auto" w:fill="CCEEFF"/>
          </w:tcPr>
          <w:p>
            <w:pPr>
              <w:jc w:val="right"/>
              <w:ind w:right="802"/>
              <w:spacing w:after="0"/>
              <w:rPr>
                <w:sz w:val="20"/>
                <w:szCs w:val="20"/>
                <w:color w:val="auto"/>
              </w:rPr>
            </w:pPr>
            <w:r>
              <w:rPr>
                <w:rFonts w:ascii="Arial" w:cs="Arial" w:eastAsia="Arial" w:hAnsi="Arial"/>
                <w:sz w:val="16"/>
                <w:szCs w:val="16"/>
                <w:color w:val="auto"/>
                <w:w w:val="8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2,732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gridSpan w:val="2"/>
            <w:shd w:val="clear" w:color="auto" w:fill="CCEEFF"/>
          </w:tcPr>
          <w:p>
            <w:pPr>
              <w:ind w:left="1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2,732</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02"/>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ind w:left="10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4760" w:type="dxa"/>
            <w:vAlign w:val="bottom"/>
          </w:tcPr>
          <w:p>
            <w:pPr>
              <w:ind w:left="20"/>
              <w:spacing w:after="0"/>
              <w:rPr>
                <w:sz w:val="20"/>
                <w:szCs w:val="20"/>
                <w:color w:val="auto"/>
              </w:rPr>
            </w:pPr>
            <w:r>
              <w:rPr>
                <w:rFonts w:ascii="Arial" w:cs="Arial" w:eastAsia="Arial" w:hAnsi="Arial"/>
                <w:sz w:val="16"/>
                <w:szCs w:val="16"/>
                <w:color w:val="auto"/>
              </w:rPr>
              <w:t>Mortgage-backed securities</w:t>
            </w:r>
          </w:p>
        </w:tc>
        <w:tc>
          <w:tcPr>
            <w:tcW w:w="9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911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ind w:left="1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420" w:type="dxa"/>
            <w:vAlign w:val="bottom"/>
          </w:tcPr>
          <w:p>
            <w:pPr>
              <w:jc w:val="right"/>
              <w:ind w:right="1"/>
              <w:spacing w:after="0"/>
              <w:rPr>
                <w:sz w:val="20"/>
                <w:szCs w:val="20"/>
                <w:color w:val="auto"/>
              </w:rPr>
            </w:pPr>
            <w:r>
              <w:rPr>
                <w:rFonts w:ascii="Arial" w:cs="Arial" w:eastAsia="Arial" w:hAnsi="Arial"/>
                <w:sz w:val="16"/>
                <w:szCs w:val="16"/>
                <w:color w:val="auto"/>
              </w:rPr>
              <w:t>911</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tcPr>
          <w:p>
            <w:pPr>
              <w:ind w:left="10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4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Asset-backed securities</w:t>
            </w:r>
          </w:p>
        </w:tc>
        <w:tc>
          <w:tcPr>
            <w:tcW w:w="9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ind w:left="1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365</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shd w:val="clear" w:color="auto" w:fill="CCEEFF"/>
          </w:tcPr>
          <w:p>
            <w:pPr>
              <w:ind w:left="10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4760" w:type="dxa"/>
            <w:vAlign w:val="bottom"/>
          </w:tcPr>
          <w:p>
            <w:pPr>
              <w:ind w:left="20"/>
              <w:spacing w:after="0"/>
              <w:rPr>
                <w:sz w:val="20"/>
                <w:szCs w:val="20"/>
                <w:color w:val="auto"/>
              </w:rPr>
            </w:pPr>
            <w:r>
              <w:rPr>
                <w:rFonts w:ascii="Arial" w:cs="Arial" w:eastAsia="Arial" w:hAnsi="Arial"/>
                <w:sz w:val="16"/>
                <w:szCs w:val="16"/>
                <w:color w:val="auto"/>
              </w:rPr>
              <w:t>Municipal securities</w:t>
            </w:r>
          </w:p>
        </w:tc>
        <w:tc>
          <w:tcPr>
            <w:tcW w:w="9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166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ind w:left="1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420" w:type="dxa"/>
            <w:vAlign w:val="bottom"/>
          </w:tcPr>
          <w:p>
            <w:pPr>
              <w:jc w:val="right"/>
              <w:ind w:right="1"/>
              <w:spacing w:after="0"/>
              <w:rPr>
                <w:sz w:val="20"/>
                <w:szCs w:val="20"/>
                <w:color w:val="auto"/>
              </w:rPr>
            </w:pPr>
            <w:r>
              <w:rPr>
                <w:rFonts w:ascii="Arial" w:cs="Arial" w:eastAsia="Arial" w:hAnsi="Arial"/>
                <w:sz w:val="16"/>
                <w:szCs w:val="16"/>
                <w:color w:val="auto"/>
              </w:rPr>
              <w:t>166</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tcPr>
          <w:p>
            <w:pPr>
              <w:ind w:left="10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4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U.S. Treasury notes</w:t>
            </w:r>
          </w:p>
        </w:tc>
        <w:tc>
          <w:tcPr>
            <w:tcW w:w="9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ind w:left="1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40</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shd w:val="clear" w:color="auto" w:fill="CCEEFF"/>
          </w:tcPr>
          <w:p>
            <w:pPr>
              <w:ind w:left="10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4760" w:type="dxa"/>
            <w:vAlign w:val="bottom"/>
          </w:tcPr>
          <w:p>
            <w:pPr>
              <w:ind w:left="20"/>
              <w:spacing w:after="0"/>
              <w:rPr>
                <w:sz w:val="20"/>
                <w:szCs w:val="20"/>
                <w:color w:val="auto"/>
              </w:rPr>
            </w:pPr>
            <w:r>
              <w:rPr>
                <w:rFonts w:ascii="Arial" w:cs="Arial" w:eastAsia="Arial" w:hAnsi="Arial"/>
                <w:sz w:val="16"/>
                <w:szCs w:val="16"/>
                <w:color w:val="auto"/>
              </w:rPr>
              <w:t>Other</w:t>
            </w:r>
          </w:p>
        </w:tc>
        <w:tc>
          <w:tcPr>
            <w:tcW w:w="9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45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ind w:left="1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420" w:type="dxa"/>
            <w:vAlign w:val="bottom"/>
          </w:tcPr>
          <w:p>
            <w:pPr>
              <w:jc w:val="right"/>
              <w:ind w:right="1"/>
              <w:spacing w:after="0"/>
              <w:rPr>
                <w:sz w:val="20"/>
                <w:szCs w:val="20"/>
                <w:color w:val="auto"/>
              </w:rPr>
            </w:pPr>
            <w:r>
              <w:rPr>
                <w:rFonts w:ascii="Arial" w:cs="Arial" w:eastAsia="Arial" w:hAnsi="Arial"/>
                <w:sz w:val="16"/>
                <w:szCs w:val="16"/>
                <w:color w:val="auto"/>
              </w:rPr>
              <w:t>45</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tcPr>
          <w:p>
            <w:pPr>
              <w:ind w:left="10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8"/>
        </w:trPr>
        <w:tc>
          <w:tcPr>
            <w:tcW w:w="4760" w:type="dxa"/>
            <w:vAlign w:val="bottom"/>
            <w:tcBorders>
              <w:top w:val="single" w:sz="8" w:color="CCEEFF"/>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Total assets</w:t>
            </w:r>
          </w:p>
        </w:tc>
        <w:tc>
          <w:tcPr>
            <w:tcW w:w="980" w:type="dxa"/>
            <w:vAlign w:val="bottom"/>
            <w:tcBorders>
              <w:top w:val="single" w:sz="8" w:color="auto"/>
              <w:bottom w:val="single" w:sz="8" w:color="auto"/>
            </w:tcBorders>
            <w:shd w:val="clear" w:color="auto" w:fill="CCEEFF"/>
          </w:tcPr>
          <w:p>
            <w:pPr>
              <w:jc w:val="right"/>
              <w:ind w:right="802"/>
              <w:spacing w:after="0"/>
              <w:rPr>
                <w:sz w:val="20"/>
                <w:szCs w:val="20"/>
                <w:color w:val="auto"/>
              </w:rPr>
            </w:pPr>
            <w:r>
              <w:rPr>
                <w:rFonts w:ascii="Arial" w:cs="Arial" w:eastAsia="Arial" w:hAnsi="Arial"/>
                <w:sz w:val="16"/>
                <w:szCs w:val="16"/>
                <w:color w:val="auto"/>
                <w:w w:val="89"/>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4,259</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top w:val="single" w:sz="8" w:color="auto"/>
              <w:bottom w:val="single" w:sz="8" w:color="auto"/>
            </w:tcBorders>
            <w:shd w:val="clear" w:color="auto" w:fill="CCEEFF"/>
          </w:tcPr>
          <w:p>
            <w:pPr>
              <w:ind w:left="1160"/>
              <w:spacing w:after="0"/>
              <w:rPr>
                <w:sz w:val="20"/>
                <w:szCs w:val="20"/>
                <w:color w:val="auto"/>
              </w:rPr>
            </w:pPr>
            <w:r>
              <w:rPr>
                <w:rFonts w:ascii="Arial" w:cs="Arial" w:eastAsia="Arial" w:hAnsi="Arial"/>
                <w:sz w:val="16"/>
                <w:szCs w:val="16"/>
                <w:color w:val="auto"/>
              </w:rPr>
              <w:t>—</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2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4,259</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300" w:type="dxa"/>
            <w:vAlign w:val="bottom"/>
            <w:tcBorders>
              <w:top w:val="single" w:sz="8" w:color="auto"/>
              <w:bottom w:val="single" w:sz="8" w:color="auto"/>
            </w:tcBorders>
            <w:shd w:val="clear" w:color="auto" w:fill="CCEEFF"/>
          </w:tcPr>
          <w:p>
            <w:pPr>
              <w:jc w:val="right"/>
              <w:ind w:right="102"/>
              <w:spacing w:after="0"/>
              <w:rPr>
                <w:sz w:val="20"/>
                <w:szCs w:val="20"/>
                <w:color w:val="auto"/>
              </w:rPr>
            </w:pPr>
            <w:r>
              <w:rPr>
                <w:rFonts w:ascii="Arial" w:cs="Arial" w:eastAsia="Arial" w:hAnsi="Arial"/>
                <w:sz w:val="16"/>
                <w:szCs w:val="16"/>
                <w:color w:val="auto"/>
              </w:rPr>
              <w:t>$</w:t>
            </w:r>
          </w:p>
        </w:tc>
        <w:tc>
          <w:tcPr>
            <w:tcW w:w="1260" w:type="dxa"/>
            <w:vAlign w:val="bottom"/>
            <w:tcBorders>
              <w:top w:val="single" w:sz="8" w:color="auto"/>
              <w:bottom w:val="single" w:sz="8" w:color="auto"/>
            </w:tcBorders>
            <w:shd w:val="clear" w:color="auto" w:fill="CCEEFF"/>
          </w:tcPr>
          <w:p>
            <w:pPr>
              <w:ind w:left="10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47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Measurements – Disclosure Only</w:t>
      </w:r>
    </w:p>
    <w:p>
      <w:pPr>
        <w:spacing w:after="0" w:line="115"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The carrying amounts and estimated fair values of our notes payable are classified as Level 2 financial instruments. Fair value for these securities is determined using a market approach based on quoted market prices for similar securities in active markets or quoted prices for identical securities in inactive markets.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800" w:type="dxa"/>
            <w:vAlign w:val="bottom"/>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2120" w:type="dxa"/>
            <w:vAlign w:val="bottom"/>
            <w:tcBorders>
              <w:bottom w:val="single" w:sz="8" w:color="auto"/>
            </w:tcBorders>
            <w:gridSpan w:val="4"/>
          </w:tcPr>
          <w:p>
            <w:pPr>
              <w:jc w:val="right"/>
              <w:ind w:right="982"/>
              <w:spacing w:after="0"/>
              <w:rPr>
                <w:sz w:val="20"/>
                <w:szCs w:val="20"/>
                <w:color w:val="auto"/>
              </w:rPr>
            </w:pPr>
            <w:r>
              <w:rPr>
                <w:rFonts w:ascii="Arial" w:cs="Arial" w:eastAsia="Arial" w:hAnsi="Arial"/>
                <w:sz w:val="14"/>
                <w:szCs w:val="14"/>
                <w:b w:val="1"/>
                <w:bCs w:val="1"/>
                <w:color w:val="auto"/>
              </w:rPr>
              <w:t>March 31, 2024</w:t>
            </w:r>
          </w:p>
        </w:tc>
        <w:tc>
          <w:tcPr>
            <w:tcW w:w="10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2760" w:type="dxa"/>
            <w:vAlign w:val="bottom"/>
            <w:tcBorders>
              <w:bottom w:val="single" w:sz="8" w:color="auto"/>
            </w:tcBorders>
            <w:gridSpan w:val="4"/>
          </w:tcPr>
          <w:p>
            <w:pPr>
              <w:jc w:val="right"/>
              <w:ind w:right="861"/>
              <w:spacing w:after="0"/>
              <w:rPr>
                <w:sz w:val="20"/>
                <w:szCs w:val="20"/>
                <w:color w:val="auto"/>
              </w:rPr>
            </w:pPr>
            <w:r>
              <w:rPr>
                <w:rFonts w:ascii="Arial" w:cs="Arial" w:eastAsia="Arial" w:hAnsi="Arial"/>
                <w:sz w:val="14"/>
                <w:szCs w:val="14"/>
                <w:b w:val="1"/>
                <w:bCs w:val="1"/>
                <w:color w:val="auto"/>
              </w:rPr>
              <w:t>December 31, 2023</w:t>
            </w:r>
          </w:p>
        </w:tc>
        <w:tc>
          <w:tcPr>
            <w:tcW w:w="0" w:type="dxa"/>
            <w:vAlign w:val="bottom"/>
          </w:tcPr>
          <w:p>
            <w:pPr>
              <w:spacing w:after="0"/>
              <w:rPr>
                <w:sz w:val="1"/>
                <w:szCs w:val="1"/>
                <w:color w:val="auto"/>
              </w:rPr>
            </w:pPr>
          </w:p>
        </w:tc>
      </w:tr>
      <w:tr>
        <w:trPr>
          <w:trHeight w:val="147"/>
        </w:trPr>
        <w:tc>
          <w:tcPr>
            <w:tcW w:w="4800" w:type="dxa"/>
            <w:vAlign w:val="bottom"/>
          </w:tcPr>
          <w:p>
            <w:pPr>
              <w:spacing w:after="0"/>
              <w:rPr>
                <w:sz w:val="12"/>
                <w:szCs w:val="12"/>
                <w:color w:val="auto"/>
              </w:rPr>
            </w:pPr>
          </w:p>
        </w:tc>
        <w:tc>
          <w:tcPr>
            <w:tcW w:w="1640" w:type="dxa"/>
            <w:vAlign w:val="bottom"/>
            <w:gridSpan w:val="3"/>
          </w:tcPr>
          <w:p>
            <w:pPr>
              <w:ind w:left="460"/>
              <w:spacing w:after="0" w:line="147" w:lineRule="exact"/>
              <w:rPr>
                <w:sz w:val="20"/>
                <w:szCs w:val="20"/>
                <w:color w:val="auto"/>
              </w:rPr>
            </w:pPr>
            <w:r>
              <w:rPr>
                <w:rFonts w:ascii="Arial" w:cs="Arial" w:eastAsia="Arial" w:hAnsi="Arial"/>
                <w:sz w:val="14"/>
                <w:szCs w:val="14"/>
                <w:b w:val="1"/>
                <w:bCs w:val="1"/>
                <w:color w:val="auto"/>
              </w:rPr>
              <w:t>Carrying</w:t>
            </w:r>
          </w:p>
        </w:tc>
        <w:tc>
          <w:tcPr>
            <w:tcW w:w="260" w:type="dxa"/>
            <w:vAlign w:val="bottom"/>
          </w:tcPr>
          <w:p>
            <w:pPr>
              <w:spacing w:after="0"/>
              <w:rPr>
                <w:sz w:val="12"/>
                <w:szCs w:val="12"/>
                <w:color w:val="auto"/>
              </w:rPr>
            </w:pPr>
          </w:p>
        </w:tc>
        <w:tc>
          <w:tcPr>
            <w:tcW w:w="1260" w:type="dxa"/>
            <w:vAlign w:val="bottom"/>
            <w:vMerge w:val="restart"/>
          </w:tcPr>
          <w:p>
            <w:pPr>
              <w:jc w:val="right"/>
              <w:ind w:right="342"/>
              <w:spacing w:after="0"/>
              <w:rPr>
                <w:sz w:val="20"/>
                <w:szCs w:val="20"/>
                <w:color w:val="auto"/>
              </w:rPr>
            </w:pPr>
            <w:r>
              <w:rPr>
                <w:rFonts w:ascii="Arial" w:cs="Arial" w:eastAsia="Arial" w:hAnsi="Arial"/>
                <w:sz w:val="14"/>
                <w:szCs w:val="14"/>
                <w:b w:val="1"/>
                <w:bCs w:val="1"/>
                <w:color w:val="auto"/>
              </w:rPr>
              <w:t>Fair Value</w:t>
            </w:r>
          </w:p>
        </w:tc>
        <w:tc>
          <w:tcPr>
            <w:tcW w:w="100" w:type="dxa"/>
            <w:vAlign w:val="bottom"/>
            <w:vMerge w:val="restart"/>
          </w:tcPr>
          <w:p>
            <w:pPr>
              <w:spacing w:after="0"/>
              <w:rPr>
                <w:sz w:val="12"/>
                <w:szCs w:val="12"/>
                <w:color w:val="auto"/>
              </w:rPr>
            </w:pPr>
          </w:p>
        </w:tc>
        <w:tc>
          <w:tcPr>
            <w:tcW w:w="420" w:type="dxa"/>
            <w:vAlign w:val="bottom"/>
          </w:tcPr>
          <w:p>
            <w:pPr>
              <w:spacing w:after="0"/>
              <w:rPr>
                <w:sz w:val="12"/>
                <w:szCs w:val="12"/>
                <w:color w:val="auto"/>
              </w:rPr>
            </w:pPr>
          </w:p>
        </w:tc>
        <w:tc>
          <w:tcPr>
            <w:tcW w:w="1220" w:type="dxa"/>
            <w:vAlign w:val="bottom"/>
            <w:gridSpan w:val="2"/>
          </w:tcPr>
          <w:p>
            <w:pPr>
              <w:ind w:left="60"/>
              <w:spacing w:after="0" w:line="147" w:lineRule="exact"/>
              <w:rPr>
                <w:sz w:val="20"/>
                <w:szCs w:val="20"/>
                <w:color w:val="auto"/>
              </w:rPr>
            </w:pPr>
            <w:r>
              <w:rPr>
                <w:rFonts w:ascii="Arial" w:cs="Arial" w:eastAsia="Arial" w:hAnsi="Arial"/>
                <w:sz w:val="14"/>
                <w:szCs w:val="14"/>
                <w:b w:val="1"/>
                <w:bCs w:val="1"/>
                <w:color w:val="auto"/>
              </w:rPr>
              <w:t>Carrying</w:t>
            </w:r>
          </w:p>
        </w:tc>
        <w:tc>
          <w:tcPr>
            <w:tcW w:w="260" w:type="dxa"/>
            <w:vAlign w:val="bottom"/>
          </w:tcPr>
          <w:p>
            <w:pPr>
              <w:spacing w:after="0"/>
              <w:rPr>
                <w:sz w:val="12"/>
                <w:szCs w:val="12"/>
                <w:color w:val="auto"/>
              </w:rPr>
            </w:pPr>
          </w:p>
        </w:tc>
        <w:tc>
          <w:tcPr>
            <w:tcW w:w="1280" w:type="dxa"/>
            <w:vAlign w:val="bottom"/>
            <w:vMerge w:val="restart"/>
          </w:tcPr>
          <w:p>
            <w:pPr>
              <w:jc w:val="right"/>
              <w:ind w:right="341"/>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85"/>
        </w:trPr>
        <w:tc>
          <w:tcPr>
            <w:tcW w:w="4800" w:type="dxa"/>
            <w:vAlign w:val="bottom"/>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Amount</w:t>
            </w:r>
          </w:p>
        </w:tc>
        <w:tc>
          <w:tcPr>
            <w:tcW w:w="4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23"/>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48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78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4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4.375% Notes due 2028</w:t>
            </w:r>
          </w:p>
        </w:tc>
        <w:tc>
          <w:tcPr>
            <w:tcW w:w="1040" w:type="dxa"/>
            <w:vAlign w:val="bottom"/>
            <w:shd w:val="clear" w:color="auto" w:fill="CCEEFF"/>
          </w:tcPr>
          <w:p>
            <w:pPr>
              <w:jc w:val="right"/>
              <w:ind w:right="864"/>
              <w:spacing w:after="0"/>
              <w:rPr>
                <w:sz w:val="20"/>
                <w:szCs w:val="20"/>
                <w:color w:val="auto"/>
              </w:rPr>
            </w:pPr>
            <w:r>
              <w:rPr>
                <w:rFonts w:ascii="Arial" w:cs="Arial" w:eastAsia="Arial" w:hAnsi="Arial"/>
                <w:sz w:val="16"/>
                <w:szCs w:val="16"/>
                <w:color w:val="auto"/>
                <w:w w:val="8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794</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751</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794</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757</w:t>
            </w:r>
          </w:p>
        </w:tc>
        <w:tc>
          <w:tcPr>
            <w:tcW w:w="0" w:type="dxa"/>
            <w:vAlign w:val="bottom"/>
          </w:tcPr>
          <w:p>
            <w:pPr>
              <w:spacing w:after="0"/>
              <w:rPr>
                <w:sz w:val="1"/>
                <w:szCs w:val="1"/>
                <w:color w:val="auto"/>
              </w:rPr>
            </w:pPr>
          </w:p>
        </w:tc>
      </w:tr>
      <w:tr>
        <w:trPr>
          <w:trHeight w:val="215"/>
        </w:trPr>
        <w:tc>
          <w:tcPr>
            <w:tcW w:w="4800" w:type="dxa"/>
            <w:vAlign w:val="bottom"/>
          </w:tcPr>
          <w:p>
            <w:pPr>
              <w:ind w:left="20"/>
              <w:spacing w:after="0"/>
              <w:rPr>
                <w:sz w:val="20"/>
                <w:szCs w:val="20"/>
                <w:color w:val="auto"/>
              </w:rPr>
            </w:pPr>
            <w:r>
              <w:rPr>
                <w:rFonts w:ascii="Arial" w:cs="Arial" w:eastAsia="Arial" w:hAnsi="Arial"/>
                <w:sz w:val="16"/>
                <w:szCs w:val="16"/>
                <w:color w:val="auto"/>
              </w:rPr>
              <w:t>3.875% Notes due 2030</w:t>
            </w:r>
          </w:p>
        </w:tc>
        <w:tc>
          <w:tcPr>
            <w:tcW w:w="10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644</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jc w:val="right"/>
              <w:ind w:right="2"/>
              <w:spacing w:after="0"/>
              <w:rPr>
                <w:sz w:val="20"/>
                <w:szCs w:val="20"/>
                <w:color w:val="auto"/>
              </w:rPr>
            </w:pPr>
            <w:r>
              <w:rPr>
                <w:rFonts w:ascii="Arial" w:cs="Arial" w:eastAsia="Arial" w:hAnsi="Arial"/>
                <w:sz w:val="16"/>
                <w:szCs w:val="16"/>
                <w:color w:val="auto"/>
              </w:rPr>
              <w:t>577</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20" w:type="dxa"/>
            <w:vAlign w:val="bottom"/>
          </w:tcPr>
          <w:p>
            <w:pPr>
              <w:jc w:val="right"/>
              <w:ind w:right="3"/>
              <w:spacing w:after="0"/>
              <w:rPr>
                <w:sz w:val="20"/>
                <w:szCs w:val="20"/>
                <w:color w:val="auto"/>
              </w:rPr>
            </w:pPr>
            <w:r>
              <w:rPr>
                <w:rFonts w:ascii="Arial" w:cs="Arial" w:eastAsia="Arial" w:hAnsi="Arial"/>
                <w:sz w:val="16"/>
                <w:szCs w:val="16"/>
                <w:color w:val="auto"/>
              </w:rPr>
              <w:t>644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jc w:val="right"/>
              <w:ind w:right="1"/>
              <w:spacing w:after="0"/>
              <w:rPr>
                <w:sz w:val="20"/>
                <w:szCs w:val="20"/>
                <w:color w:val="auto"/>
              </w:rPr>
            </w:pPr>
            <w:r>
              <w:rPr>
                <w:rFonts w:ascii="Arial" w:cs="Arial" w:eastAsia="Arial" w:hAnsi="Arial"/>
                <w:sz w:val="16"/>
                <w:szCs w:val="16"/>
                <w:color w:val="auto"/>
              </w:rPr>
              <w:t>583</w:t>
            </w:r>
          </w:p>
        </w:tc>
        <w:tc>
          <w:tcPr>
            <w:tcW w:w="0" w:type="dxa"/>
            <w:vAlign w:val="bottom"/>
          </w:tcPr>
          <w:p>
            <w:pPr>
              <w:spacing w:after="0"/>
              <w:rPr>
                <w:sz w:val="1"/>
                <w:szCs w:val="1"/>
                <w:color w:val="auto"/>
              </w:rPr>
            </w:pPr>
          </w:p>
        </w:tc>
      </w:tr>
      <w:tr>
        <w:trPr>
          <w:trHeight w:val="216"/>
        </w:trPr>
        <w:tc>
          <w:tcPr>
            <w:tcW w:w="4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3.875% Notes due 2032</w:t>
            </w:r>
          </w:p>
        </w:tc>
        <w:tc>
          <w:tcPr>
            <w:tcW w:w="104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742</w:t>
            </w: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651</w:t>
            </w:r>
          </w:p>
        </w:tc>
        <w:tc>
          <w:tcPr>
            <w:tcW w:w="10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742</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654</w:t>
            </w:r>
          </w:p>
        </w:tc>
        <w:tc>
          <w:tcPr>
            <w:tcW w:w="0" w:type="dxa"/>
            <w:vAlign w:val="bottom"/>
          </w:tcPr>
          <w:p>
            <w:pPr>
              <w:spacing w:after="0"/>
              <w:rPr>
                <w:sz w:val="1"/>
                <w:szCs w:val="1"/>
                <w:color w:val="auto"/>
              </w:rPr>
            </w:pPr>
          </w:p>
        </w:tc>
      </w:tr>
      <w:tr>
        <w:trPr>
          <w:trHeight w:val="210"/>
        </w:trPr>
        <w:tc>
          <w:tcPr>
            <w:tcW w:w="4800" w:type="dxa"/>
            <w:vAlign w:val="bottom"/>
          </w:tcPr>
          <w:p>
            <w:pPr>
              <w:ind w:left="140"/>
              <w:spacing w:after="0"/>
              <w:rPr>
                <w:sz w:val="20"/>
                <w:szCs w:val="20"/>
                <w:color w:val="auto"/>
              </w:rPr>
            </w:pPr>
            <w:r>
              <w:rPr>
                <w:rFonts w:ascii="Arial" w:cs="Arial" w:eastAsia="Arial" w:hAnsi="Arial"/>
                <w:sz w:val="16"/>
                <w:szCs w:val="16"/>
                <w:color w:val="auto"/>
              </w:rPr>
              <w:t>Total</w:t>
            </w:r>
          </w:p>
        </w:tc>
        <w:tc>
          <w:tcPr>
            <w:tcW w:w="1040" w:type="dxa"/>
            <w:vAlign w:val="bottom"/>
            <w:tcBorders>
              <w:bottom w:val="single" w:sz="8" w:color="auto"/>
            </w:tcBorders>
          </w:tcPr>
          <w:p>
            <w:pPr>
              <w:jc w:val="right"/>
              <w:ind w:right="864"/>
              <w:spacing w:after="0"/>
              <w:rPr>
                <w:sz w:val="20"/>
                <w:szCs w:val="20"/>
                <w:color w:val="auto"/>
              </w:rPr>
            </w:pPr>
            <w:r>
              <w:rPr>
                <w:rFonts w:ascii="Arial" w:cs="Arial" w:eastAsia="Arial" w:hAnsi="Arial"/>
                <w:sz w:val="16"/>
                <w:szCs w:val="16"/>
                <w:color w:val="auto"/>
                <w:w w:val="89"/>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9"/>
              </w:rPr>
              <w:t>2,180</w:t>
            </w:r>
          </w:p>
        </w:tc>
        <w:tc>
          <w:tcPr>
            <w:tcW w:w="12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1,979</w:t>
            </w:r>
          </w:p>
        </w:tc>
        <w:tc>
          <w:tcPr>
            <w:tcW w:w="100" w:type="dxa"/>
            <w:vAlign w:val="bottom"/>
          </w:tcPr>
          <w:p>
            <w:pPr>
              <w:spacing w:after="0"/>
              <w:rPr>
                <w:sz w:val="18"/>
                <w:szCs w:val="18"/>
                <w:color w:val="auto"/>
              </w:rPr>
            </w:pPr>
          </w:p>
        </w:tc>
        <w:tc>
          <w:tcPr>
            <w:tcW w:w="42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2,180</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1,994</w:t>
            </w:r>
          </w:p>
        </w:tc>
        <w:tc>
          <w:tcPr>
            <w:tcW w:w="0" w:type="dxa"/>
            <w:vAlign w:val="bottom"/>
          </w:tcPr>
          <w:p>
            <w:pPr>
              <w:spacing w:after="0"/>
              <w:rPr>
                <w:sz w:val="1"/>
                <w:szCs w:val="1"/>
                <w:color w:val="auto"/>
              </w:rPr>
            </w:pPr>
          </w:p>
        </w:tc>
      </w:tr>
      <w:tr>
        <w:trPr>
          <w:trHeight w:val="21"/>
        </w:trPr>
        <w:tc>
          <w:tcPr>
            <w:tcW w:w="48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March 31, 2024 Form 10-Q |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828282"/>
        </w:rPr>
        <w:t>6. Investments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Available-for-Sale</w:t>
      </w:r>
    </w:p>
    <w:p>
      <w:pPr>
        <w:spacing w:after="0" w:line="115" w:lineRule="exact"/>
        <w:rPr>
          <w:sz w:val="20"/>
          <w:szCs w:val="20"/>
          <w:color w:val="auto"/>
        </w:rPr>
      </w:pPr>
    </w:p>
    <w:p>
      <w:pPr>
        <w:ind w:right="860"/>
        <w:spacing w:after="0" w:line="287" w:lineRule="auto"/>
        <w:rPr>
          <w:sz w:val="20"/>
          <w:szCs w:val="20"/>
          <w:color w:val="auto"/>
        </w:rPr>
      </w:pPr>
      <w:r>
        <w:rPr>
          <w:rFonts w:ascii="Arial" w:cs="Arial" w:eastAsia="Arial" w:hAnsi="Arial"/>
          <w:sz w:val="18"/>
          <w:szCs w:val="18"/>
          <w:color w:val="auto"/>
        </w:rPr>
        <w:t>We consider all of our investments classified as current assets to be available-for-sale. The following tables summarize our current investments as of the dates indicated:</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8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gridSpan w:val="3"/>
          </w:tcPr>
          <w:p>
            <w:pPr>
              <w:jc w:val="center"/>
              <w:ind w:left="642"/>
              <w:spacing w:after="0"/>
              <w:rPr>
                <w:sz w:val="20"/>
                <w:szCs w:val="20"/>
                <w:color w:val="auto"/>
              </w:rPr>
            </w:pPr>
            <w:r>
              <w:rPr>
                <w:rFonts w:ascii="Arial" w:cs="Arial" w:eastAsia="Arial" w:hAnsi="Arial"/>
                <w:sz w:val="14"/>
                <w:szCs w:val="14"/>
                <w:b w:val="1"/>
                <w:bCs w:val="1"/>
                <w:color w:val="auto"/>
              </w:rPr>
              <w:t>March 31, 2024</w:t>
            </w:r>
          </w:p>
        </w:tc>
        <w:tc>
          <w:tcPr>
            <w:tcW w:w="10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4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840" w:type="dxa"/>
            <w:vAlign w:val="bottom"/>
            <w:tcBorders>
              <w:bottom w:val="single" w:sz="8" w:color="auto"/>
            </w:tcBorders>
            <w:gridSpan w:val="4"/>
          </w:tcPr>
          <w:p>
            <w:pPr>
              <w:jc w:val="center"/>
              <w:ind w:right="260"/>
              <w:spacing w:after="0"/>
              <w:rPr>
                <w:sz w:val="20"/>
                <w:szCs w:val="20"/>
                <w:color w:val="auto"/>
              </w:rPr>
            </w:pPr>
            <w:r>
              <w:rPr>
                <w:rFonts w:ascii="Arial" w:cs="Arial" w:eastAsia="Arial" w:hAnsi="Arial"/>
                <w:sz w:val="14"/>
                <w:szCs w:val="14"/>
                <w:b w:val="1"/>
                <w:bCs w:val="1"/>
                <w:color w:val="auto"/>
              </w:rPr>
              <w:t>Gross Unrealized</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48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140"/>
              <w:spacing w:after="0"/>
              <w:rPr>
                <w:sz w:val="20"/>
                <w:szCs w:val="20"/>
                <w:color w:val="auto"/>
              </w:rPr>
            </w:pPr>
            <w:r>
              <w:rPr>
                <w:rFonts w:ascii="Arial" w:cs="Arial" w:eastAsia="Arial" w:hAnsi="Arial"/>
                <w:sz w:val="14"/>
                <w:szCs w:val="14"/>
                <w:b w:val="1"/>
                <w:bCs w:val="1"/>
                <w:color w:val="auto"/>
              </w:rPr>
              <w:t>Amortized Cost</w:t>
            </w:r>
          </w:p>
        </w:tc>
        <w:tc>
          <w:tcPr>
            <w:tcW w:w="1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482"/>
              <w:spacing w:after="0"/>
              <w:rPr>
                <w:sz w:val="20"/>
                <w:szCs w:val="20"/>
                <w:color w:val="auto"/>
              </w:rPr>
            </w:pPr>
            <w:r>
              <w:rPr>
                <w:rFonts w:ascii="Arial" w:cs="Arial" w:eastAsia="Arial" w:hAnsi="Arial"/>
                <w:sz w:val="14"/>
                <w:szCs w:val="14"/>
                <w:b w:val="1"/>
                <w:bCs w:val="1"/>
                <w:color w:val="auto"/>
              </w:rPr>
              <w:t>Gains</w:t>
            </w:r>
          </w:p>
        </w:tc>
        <w:tc>
          <w:tcPr>
            <w:tcW w:w="100" w:type="dxa"/>
            <w:vAlign w:val="bottom"/>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40"/>
              <w:spacing w:after="0"/>
              <w:rPr>
                <w:sz w:val="20"/>
                <w:szCs w:val="20"/>
                <w:color w:val="auto"/>
              </w:rPr>
            </w:pPr>
            <w:r>
              <w:rPr>
                <w:rFonts w:ascii="Arial" w:cs="Arial" w:eastAsia="Arial" w:hAnsi="Arial"/>
                <w:sz w:val="14"/>
                <w:szCs w:val="14"/>
                <w:b w:val="1"/>
                <w:bCs w:val="1"/>
                <w:color w:val="auto"/>
              </w:rPr>
              <w:t>Losses</w:t>
            </w:r>
          </w:p>
        </w:tc>
        <w:tc>
          <w:tcPr>
            <w:tcW w:w="100" w:type="dxa"/>
            <w:vAlign w:val="bottom"/>
          </w:tcPr>
          <w:p>
            <w:pPr>
              <w:spacing w:after="0"/>
              <w:rPr>
                <w:sz w:val="17"/>
                <w:szCs w:val="17"/>
                <w:color w:val="auto"/>
              </w:rPr>
            </w:pPr>
          </w:p>
        </w:tc>
        <w:tc>
          <w:tcPr>
            <w:tcW w:w="15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Estimated Fair Value</w:t>
            </w:r>
          </w:p>
        </w:tc>
        <w:tc>
          <w:tcPr>
            <w:tcW w:w="0" w:type="dxa"/>
            <w:vAlign w:val="bottom"/>
          </w:tcPr>
          <w:p>
            <w:pPr>
              <w:spacing w:after="0"/>
              <w:rPr>
                <w:sz w:val="1"/>
                <w:szCs w:val="1"/>
                <w:color w:val="auto"/>
              </w:rPr>
            </w:pPr>
          </w:p>
        </w:tc>
      </w:tr>
      <w:tr>
        <w:trPr>
          <w:trHeight w:val="236"/>
        </w:trPr>
        <w:tc>
          <w:tcPr>
            <w:tcW w:w="4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0" w:type="dxa"/>
            <w:vAlign w:val="bottom"/>
            <w:gridSpan w:val="3"/>
          </w:tcPr>
          <w:p>
            <w:pPr>
              <w:jc w:val="center"/>
              <w:ind w:left="642"/>
              <w:spacing w:after="0"/>
              <w:rPr>
                <w:sz w:val="20"/>
                <w:szCs w:val="20"/>
                <w:color w:val="auto"/>
              </w:rPr>
            </w:pPr>
            <w:r>
              <w:rPr>
                <w:rFonts w:ascii="Arial" w:cs="Arial" w:eastAsia="Arial" w:hAnsi="Arial"/>
                <w:sz w:val="14"/>
                <w:szCs w:val="14"/>
                <w:b w:val="1"/>
                <w:bCs w:val="1"/>
                <w:color w:val="auto"/>
              </w:rPr>
              <w:t>(In millions)</w:t>
            </w: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7"/>
        </w:trPr>
        <w:tc>
          <w:tcPr>
            <w:tcW w:w="4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Corporate debt securities</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2,908</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8</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01"/>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2,853</w:t>
            </w:r>
          </w:p>
        </w:tc>
        <w:tc>
          <w:tcPr>
            <w:tcW w:w="0" w:type="dxa"/>
            <w:vAlign w:val="bottom"/>
          </w:tcPr>
          <w:p>
            <w:pPr>
              <w:spacing w:after="0"/>
              <w:rPr>
                <w:sz w:val="1"/>
                <w:szCs w:val="1"/>
                <w:color w:val="auto"/>
              </w:rPr>
            </w:pPr>
          </w:p>
        </w:tc>
      </w:tr>
      <w:tr>
        <w:trPr>
          <w:trHeight w:val="215"/>
        </w:trPr>
        <w:tc>
          <w:tcPr>
            <w:tcW w:w="4800" w:type="dxa"/>
            <w:vAlign w:val="bottom"/>
          </w:tcPr>
          <w:p>
            <w:pPr>
              <w:ind w:left="20"/>
              <w:spacing w:after="0"/>
              <w:rPr>
                <w:sz w:val="20"/>
                <w:szCs w:val="20"/>
                <w:color w:val="auto"/>
              </w:rPr>
            </w:pPr>
            <w:r>
              <w:rPr>
                <w:rFonts w:ascii="Arial" w:cs="Arial" w:eastAsia="Arial" w:hAnsi="Arial"/>
                <w:sz w:val="16"/>
                <w:szCs w:val="16"/>
                <w:color w:val="auto"/>
              </w:rPr>
              <w:t>Mortgage-backed securities</w:t>
            </w:r>
          </w:p>
        </w:tc>
        <w:tc>
          <w:tcPr>
            <w:tcW w:w="1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963</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jc w:val="right"/>
              <w:ind w:right="2"/>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44</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923</w:t>
            </w:r>
          </w:p>
        </w:tc>
        <w:tc>
          <w:tcPr>
            <w:tcW w:w="0" w:type="dxa"/>
            <w:vAlign w:val="bottom"/>
          </w:tcPr>
          <w:p>
            <w:pPr>
              <w:spacing w:after="0"/>
              <w:rPr>
                <w:sz w:val="1"/>
                <w:szCs w:val="1"/>
                <w:color w:val="auto"/>
              </w:rPr>
            </w:pPr>
          </w:p>
        </w:tc>
      </w:tr>
      <w:tr>
        <w:trPr>
          <w:trHeight w:val="217"/>
        </w:trPr>
        <w:tc>
          <w:tcPr>
            <w:tcW w:w="4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Asset-backed securities</w:t>
            </w: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390</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381</w:t>
            </w:r>
          </w:p>
        </w:tc>
        <w:tc>
          <w:tcPr>
            <w:tcW w:w="0" w:type="dxa"/>
            <w:vAlign w:val="bottom"/>
          </w:tcPr>
          <w:p>
            <w:pPr>
              <w:spacing w:after="0"/>
              <w:rPr>
                <w:sz w:val="1"/>
                <w:szCs w:val="1"/>
                <w:color w:val="auto"/>
              </w:rPr>
            </w:pPr>
          </w:p>
        </w:tc>
      </w:tr>
      <w:tr>
        <w:trPr>
          <w:trHeight w:val="215"/>
        </w:trPr>
        <w:tc>
          <w:tcPr>
            <w:tcW w:w="4800" w:type="dxa"/>
            <w:vAlign w:val="bottom"/>
          </w:tcPr>
          <w:p>
            <w:pPr>
              <w:ind w:left="20"/>
              <w:spacing w:after="0"/>
              <w:rPr>
                <w:sz w:val="20"/>
                <w:szCs w:val="20"/>
                <w:color w:val="auto"/>
              </w:rPr>
            </w:pPr>
            <w:r>
              <w:rPr>
                <w:rFonts w:ascii="Arial" w:cs="Arial" w:eastAsia="Arial" w:hAnsi="Arial"/>
                <w:sz w:val="16"/>
                <w:szCs w:val="16"/>
                <w:color w:val="auto"/>
              </w:rPr>
              <w:t>Municipal securities</w:t>
            </w:r>
          </w:p>
        </w:tc>
        <w:tc>
          <w:tcPr>
            <w:tcW w:w="1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183</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176</w:t>
            </w:r>
          </w:p>
        </w:tc>
        <w:tc>
          <w:tcPr>
            <w:tcW w:w="0" w:type="dxa"/>
            <w:vAlign w:val="bottom"/>
          </w:tcPr>
          <w:p>
            <w:pPr>
              <w:spacing w:after="0"/>
              <w:rPr>
                <w:sz w:val="1"/>
                <w:szCs w:val="1"/>
                <w:color w:val="auto"/>
              </w:rPr>
            </w:pPr>
          </w:p>
        </w:tc>
      </w:tr>
      <w:tr>
        <w:trPr>
          <w:trHeight w:val="217"/>
        </w:trPr>
        <w:tc>
          <w:tcPr>
            <w:tcW w:w="4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U.S. Treasury notes</w:t>
            </w: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w:t>
            </w:r>
          </w:p>
        </w:tc>
        <w:tc>
          <w:tcPr>
            <w:tcW w:w="0" w:type="dxa"/>
            <w:vAlign w:val="bottom"/>
          </w:tcPr>
          <w:p>
            <w:pPr>
              <w:spacing w:after="0"/>
              <w:rPr>
                <w:sz w:val="1"/>
                <w:szCs w:val="1"/>
                <w:color w:val="auto"/>
              </w:rPr>
            </w:pPr>
          </w:p>
        </w:tc>
      </w:tr>
      <w:tr>
        <w:trPr>
          <w:trHeight w:val="215"/>
        </w:trPr>
        <w:tc>
          <w:tcPr>
            <w:tcW w:w="4800" w:type="dxa"/>
            <w:vAlign w:val="bottom"/>
          </w:tcPr>
          <w:p>
            <w:pPr>
              <w:ind w:left="20"/>
              <w:spacing w:after="0"/>
              <w:rPr>
                <w:sz w:val="20"/>
                <w:szCs w:val="20"/>
                <w:color w:val="auto"/>
              </w:rPr>
            </w:pPr>
            <w:r>
              <w:rPr>
                <w:rFonts w:ascii="Arial" w:cs="Arial" w:eastAsia="Arial" w:hAnsi="Arial"/>
                <w:sz w:val="16"/>
                <w:szCs w:val="16"/>
                <w:color w:val="auto"/>
              </w:rPr>
              <w:t>Other</w:t>
            </w:r>
          </w:p>
        </w:tc>
        <w:tc>
          <w:tcPr>
            <w:tcW w:w="1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49</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47</w:t>
            </w:r>
          </w:p>
        </w:tc>
        <w:tc>
          <w:tcPr>
            <w:tcW w:w="0" w:type="dxa"/>
            <w:vAlign w:val="bottom"/>
          </w:tcPr>
          <w:p>
            <w:pPr>
              <w:spacing w:after="0"/>
              <w:rPr>
                <w:sz w:val="1"/>
                <w:szCs w:val="1"/>
                <w:color w:val="auto"/>
              </w:rPr>
            </w:pPr>
          </w:p>
        </w:tc>
      </w:tr>
      <w:tr>
        <w:trPr>
          <w:trHeight w:val="235"/>
        </w:trPr>
        <w:tc>
          <w:tcPr>
            <w:tcW w:w="4800" w:type="dxa"/>
            <w:vAlign w:val="bottom"/>
            <w:tcBorders>
              <w:top w:val="single" w:sz="8" w:color="CCEEFF"/>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Total</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4,537</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500" w:type="dxa"/>
            <w:vAlign w:val="bottom"/>
            <w:tcBorders>
              <w:top w:val="single" w:sz="8" w:color="auto"/>
              <w:bottom w:val="single" w:sz="8" w:color="auto"/>
            </w:tcBorders>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80" w:type="dxa"/>
            <w:vAlign w:val="bottom"/>
            <w:tcBorders>
              <w:top w:val="single" w:sz="8" w:color="auto"/>
              <w:bottom w:val="single" w:sz="8" w:color="auto"/>
            </w:tcBorders>
            <w:shd w:val="clear" w:color="auto" w:fill="CCEEFF"/>
          </w:tcPr>
          <w:p>
            <w:pPr>
              <w:jc w:val="right"/>
              <w:ind w:right="201"/>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4,424</w:t>
            </w:r>
          </w:p>
        </w:tc>
        <w:tc>
          <w:tcPr>
            <w:tcW w:w="0" w:type="dxa"/>
            <w:vAlign w:val="bottom"/>
          </w:tcPr>
          <w:p>
            <w:pPr>
              <w:spacing w:after="0"/>
              <w:rPr>
                <w:sz w:val="1"/>
                <w:szCs w:val="1"/>
                <w:color w:val="auto"/>
              </w:rPr>
            </w:pPr>
          </w:p>
        </w:tc>
      </w:tr>
      <w:tr>
        <w:trPr>
          <w:trHeight w:val="20"/>
        </w:trPr>
        <w:tc>
          <w:tcPr>
            <w:tcW w:w="48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2"/>
        </w:trPr>
        <w:tc>
          <w:tcPr>
            <w:tcW w:w="48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gridSpan w:val="5"/>
          </w:tcPr>
          <w:p>
            <w:pPr>
              <w:jc w:val="center"/>
              <w:ind w:right="420"/>
              <w:spacing w:after="0"/>
              <w:rPr>
                <w:sz w:val="20"/>
                <w:szCs w:val="20"/>
                <w:color w:val="auto"/>
              </w:rPr>
            </w:pPr>
            <w:r>
              <w:rPr>
                <w:rFonts w:ascii="Arial" w:cs="Arial" w:eastAsia="Arial" w:hAnsi="Arial"/>
                <w:sz w:val="14"/>
                <w:szCs w:val="14"/>
                <w:b w:val="1"/>
                <w:bCs w:val="1"/>
                <w:color w:val="auto"/>
              </w:rPr>
              <w:t>December 31, 2023</w:t>
            </w:r>
          </w:p>
        </w:tc>
        <w:tc>
          <w:tcPr>
            <w:tcW w:w="3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5"/>
        </w:trPr>
        <w:tc>
          <w:tcPr>
            <w:tcW w:w="4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840" w:type="dxa"/>
            <w:vAlign w:val="bottom"/>
            <w:tcBorders>
              <w:bottom w:val="single" w:sz="8" w:color="auto"/>
            </w:tcBorders>
            <w:gridSpan w:val="4"/>
          </w:tcPr>
          <w:p>
            <w:pPr>
              <w:jc w:val="center"/>
              <w:ind w:right="260"/>
              <w:spacing w:after="0"/>
              <w:rPr>
                <w:sz w:val="20"/>
                <w:szCs w:val="20"/>
                <w:color w:val="auto"/>
              </w:rPr>
            </w:pPr>
            <w:r>
              <w:rPr>
                <w:rFonts w:ascii="Arial" w:cs="Arial" w:eastAsia="Arial" w:hAnsi="Arial"/>
                <w:sz w:val="14"/>
                <w:szCs w:val="14"/>
                <w:b w:val="1"/>
                <w:bCs w:val="1"/>
                <w:color w:val="auto"/>
              </w:rPr>
              <w:t>Gross Unrealized</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48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140"/>
              <w:spacing w:after="0"/>
              <w:rPr>
                <w:sz w:val="20"/>
                <w:szCs w:val="20"/>
                <w:color w:val="auto"/>
              </w:rPr>
            </w:pPr>
            <w:r>
              <w:rPr>
                <w:rFonts w:ascii="Arial" w:cs="Arial" w:eastAsia="Arial" w:hAnsi="Arial"/>
                <w:sz w:val="14"/>
                <w:szCs w:val="14"/>
                <w:b w:val="1"/>
                <w:bCs w:val="1"/>
                <w:color w:val="auto"/>
              </w:rPr>
              <w:t>Amortized Cost</w:t>
            </w:r>
          </w:p>
        </w:tc>
        <w:tc>
          <w:tcPr>
            <w:tcW w:w="1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482"/>
              <w:spacing w:after="0"/>
              <w:rPr>
                <w:sz w:val="20"/>
                <w:szCs w:val="20"/>
                <w:color w:val="auto"/>
              </w:rPr>
            </w:pPr>
            <w:r>
              <w:rPr>
                <w:rFonts w:ascii="Arial" w:cs="Arial" w:eastAsia="Arial" w:hAnsi="Arial"/>
                <w:sz w:val="14"/>
                <w:szCs w:val="14"/>
                <w:b w:val="1"/>
                <w:bCs w:val="1"/>
                <w:color w:val="auto"/>
              </w:rPr>
              <w:t>Gains</w:t>
            </w:r>
          </w:p>
        </w:tc>
        <w:tc>
          <w:tcPr>
            <w:tcW w:w="100" w:type="dxa"/>
            <w:vAlign w:val="bottom"/>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40"/>
              <w:spacing w:after="0"/>
              <w:rPr>
                <w:sz w:val="20"/>
                <w:szCs w:val="20"/>
                <w:color w:val="auto"/>
              </w:rPr>
            </w:pPr>
            <w:r>
              <w:rPr>
                <w:rFonts w:ascii="Arial" w:cs="Arial" w:eastAsia="Arial" w:hAnsi="Arial"/>
                <w:sz w:val="14"/>
                <w:szCs w:val="14"/>
                <w:b w:val="1"/>
                <w:bCs w:val="1"/>
                <w:color w:val="auto"/>
              </w:rPr>
              <w:t>Losses</w:t>
            </w:r>
          </w:p>
        </w:tc>
        <w:tc>
          <w:tcPr>
            <w:tcW w:w="100" w:type="dxa"/>
            <w:vAlign w:val="bottom"/>
          </w:tcPr>
          <w:p>
            <w:pPr>
              <w:spacing w:after="0"/>
              <w:rPr>
                <w:sz w:val="17"/>
                <w:szCs w:val="17"/>
                <w:color w:val="auto"/>
              </w:rPr>
            </w:pPr>
          </w:p>
        </w:tc>
        <w:tc>
          <w:tcPr>
            <w:tcW w:w="15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Estimated Fair Value</w:t>
            </w:r>
          </w:p>
        </w:tc>
        <w:tc>
          <w:tcPr>
            <w:tcW w:w="0" w:type="dxa"/>
            <w:vAlign w:val="bottom"/>
          </w:tcPr>
          <w:p>
            <w:pPr>
              <w:spacing w:after="0"/>
              <w:rPr>
                <w:sz w:val="1"/>
                <w:szCs w:val="1"/>
                <w:color w:val="auto"/>
              </w:rPr>
            </w:pPr>
          </w:p>
        </w:tc>
      </w:tr>
      <w:tr>
        <w:trPr>
          <w:trHeight w:val="236"/>
        </w:trPr>
        <w:tc>
          <w:tcPr>
            <w:tcW w:w="4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0" w:type="dxa"/>
            <w:vAlign w:val="bottom"/>
            <w:gridSpan w:val="3"/>
          </w:tcPr>
          <w:p>
            <w:pPr>
              <w:jc w:val="center"/>
              <w:ind w:left="642"/>
              <w:spacing w:after="0"/>
              <w:rPr>
                <w:sz w:val="20"/>
                <w:szCs w:val="20"/>
                <w:color w:val="auto"/>
              </w:rPr>
            </w:pPr>
            <w:r>
              <w:rPr>
                <w:rFonts w:ascii="Arial" w:cs="Arial" w:eastAsia="Arial" w:hAnsi="Arial"/>
                <w:sz w:val="14"/>
                <w:szCs w:val="14"/>
                <w:b w:val="1"/>
                <w:bCs w:val="1"/>
                <w:color w:val="auto"/>
              </w:rPr>
              <w:t>(In millions)</w:t>
            </w: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7"/>
        </w:trPr>
        <w:tc>
          <w:tcPr>
            <w:tcW w:w="4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Corporate debt securities</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2,781</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16</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01"/>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2,732</w:t>
            </w:r>
          </w:p>
        </w:tc>
        <w:tc>
          <w:tcPr>
            <w:tcW w:w="0" w:type="dxa"/>
            <w:vAlign w:val="bottom"/>
          </w:tcPr>
          <w:p>
            <w:pPr>
              <w:spacing w:after="0"/>
              <w:rPr>
                <w:sz w:val="1"/>
                <w:szCs w:val="1"/>
                <w:color w:val="auto"/>
              </w:rPr>
            </w:pPr>
          </w:p>
        </w:tc>
      </w:tr>
      <w:tr>
        <w:trPr>
          <w:trHeight w:val="215"/>
        </w:trPr>
        <w:tc>
          <w:tcPr>
            <w:tcW w:w="4800" w:type="dxa"/>
            <w:vAlign w:val="bottom"/>
          </w:tcPr>
          <w:p>
            <w:pPr>
              <w:ind w:left="20"/>
              <w:spacing w:after="0"/>
              <w:rPr>
                <w:sz w:val="20"/>
                <w:szCs w:val="20"/>
                <w:color w:val="auto"/>
              </w:rPr>
            </w:pPr>
            <w:r>
              <w:rPr>
                <w:rFonts w:ascii="Arial" w:cs="Arial" w:eastAsia="Arial" w:hAnsi="Arial"/>
                <w:sz w:val="16"/>
                <w:szCs w:val="16"/>
                <w:color w:val="auto"/>
              </w:rPr>
              <w:t>Mortgage-backed securities</w:t>
            </w:r>
          </w:p>
        </w:tc>
        <w:tc>
          <w:tcPr>
            <w:tcW w:w="1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951</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jc w:val="right"/>
              <w:ind w:right="2"/>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44</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911</w:t>
            </w:r>
          </w:p>
        </w:tc>
        <w:tc>
          <w:tcPr>
            <w:tcW w:w="0" w:type="dxa"/>
            <w:vAlign w:val="bottom"/>
          </w:tcPr>
          <w:p>
            <w:pPr>
              <w:spacing w:after="0"/>
              <w:rPr>
                <w:sz w:val="1"/>
                <w:szCs w:val="1"/>
                <w:color w:val="auto"/>
              </w:rPr>
            </w:pPr>
          </w:p>
        </w:tc>
      </w:tr>
      <w:tr>
        <w:trPr>
          <w:trHeight w:val="217"/>
        </w:trPr>
        <w:tc>
          <w:tcPr>
            <w:tcW w:w="4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Asset-backed securities</w:t>
            </w: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376</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365</w:t>
            </w:r>
          </w:p>
        </w:tc>
        <w:tc>
          <w:tcPr>
            <w:tcW w:w="0" w:type="dxa"/>
            <w:vAlign w:val="bottom"/>
          </w:tcPr>
          <w:p>
            <w:pPr>
              <w:spacing w:after="0"/>
              <w:rPr>
                <w:sz w:val="1"/>
                <w:szCs w:val="1"/>
                <w:color w:val="auto"/>
              </w:rPr>
            </w:pPr>
          </w:p>
        </w:tc>
      </w:tr>
      <w:tr>
        <w:trPr>
          <w:trHeight w:val="215"/>
        </w:trPr>
        <w:tc>
          <w:tcPr>
            <w:tcW w:w="4800" w:type="dxa"/>
            <w:vAlign w:val="bottom"/>
          </w:tcPr>
          <w:p>
            <w:pPr>
              <w:ind w:left="20"/>
              <w:spacing w:after="0"/>
              <w:rPr>
                <w:sz w:val="20"/>
                <w:szCs w:val="20"/>
                <w:color w:val="auto"/>
              </w:rPr>
            </w:pPr>
            <w:r>
              <w:rPr>
                <w:rFonts w:ascii="Arial" w:cs="Arial" w:eastAsia="Arial" w:hAnsi="Arial"/>
                <w:sz w:val="16"/>
                <w:szCs w:val="16"/>
                <w:color w:val="auto"/>
              </w:rPr>
              <w:t>Municipal securities</w:t>
            </w:r>
          </w:p>
        </w:tc>
        <w:tc>
          <w:tcPr>
            <w:tcW w:w="1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172</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166</w:t>
            </w:r>
          </w:p>
        </w:tc>
        <w:tc>
          <w:tcPr>
            <w:tcW w:w="0" w:type="dxa"/>
            <w:vAlign w:val="bottom"/>
          </w:tcPr>
          <w:p>
            <w:pPr>
              <w:spacing w:after="0"/>
              <w:rPr>
                <w:sz w:val="1"/>
                <w:szCs w:val="1"/>
                <w:color w:val="auto"/>
              </w:rPr>
            </w:pPr>
          </w:p>
        </w:tc>
      </w:tr>
      <w:tr>
        <w:trPr>
          <w:trHeight w:val="217"/>
        </w:trPr>
        <w:tc>
          <w:tcPr>
            <w:tcW w:w="4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U.S. Treasury notes</w:t>
            </w: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w:t>
            </w:r>
          </w:p>
        </w:tc>
        <w:tc>
          <w:tcPr>
            <w:tcW w:w="0" w:type="dxa"/>
            <w:vAlign w:val="bottom"/>
          </w:tcPr>
          <w:p>
            <w:pPr>
              <w:spacing w:after="0"/>
              <w:rPr>
                <w:sz w:val="1"/>
                <w:szCs w:val="1"/>
                <w:color w:val="auto"/>
              </w:rPr>
            </w:pPr>
          </w:p>
        </w:tc>
      </w:tr>
      <w:tr>
        <w:trPr>
          <w:trHeight w:val="215"/>
        </w:trPr>
        <w:tc>
          <w:tcPr>
            <w:tcW w:w="4800" w:type="dxa"/>
            <w:vAlign w:val="bottom"/>
          </w:tcPr>
          <w:p>
            <w:pPr>
              <w:ind w:left="20"/>
              <w:spacing w:after="0"/>
              <w:rPr>
                <w:sz w:val="20"/>
                <w:szCs w:val="20"/>
                <w:color w:val="auto"/>
              </w:rPr>
            </w:pPr>
            <w:r>
              <w:rPr>
                <w:rFonts w:ascii="Arial" w:cs="Arial" w:eastAsia="Arial" w:hAnsi="Arial"/>
                <w:sz w:val="16"/>
                <w:szCs w:val="16"/>
                <w:color w:val="auto"/>
              </w:rPr>
              <w:t>Other</w:t>
            </w:r>
          </w:p>
        </w:tc>
        <w:tc>
          <w:tcPr>
            <w:tcW w:w="1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47</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45</w:t>
            </w:r>
          </w:p>
        </w:tc>
        <w:tc>
          <w:tcPr>
            <w:tcW w:w="0" w:type="dxa"/>
            <w:vAlign w:val="bottom"/>
          </w:tcPr>
          <w:p>
            <w:pPr>
              <w:spacing w:after="0"/>
              <w:rPr>
                <w:sz w:val="1"/>
                <w:szCs w:val="1"/>
                <w:color w:val="auto"/>
              </w:rPr>
            </w:pPr>
          </w:p>
        </w:tc>
      </w:tr>
      <w:tr>
        <w:trPr>
          <w:trHeight w:val="235"/>
        </w:trPr>
        <w:tc>
          <w:tcPr>
            <w:tcW w:w="4800" w:type="dxa"/>
            <w:vAlign w:val="bottom"/>
            <w:tcBorders>
              <w:top w:val="single" w:sz="8" w:color="CCEEFF"/>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Total</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4,367</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21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500" w:type="dxa"/>
            <w:vAlign w:val="bottom"/>
            <w:tcBorders>
              <w:top w:val="single" w:sz="8" w:color="auto"/>
              <w:bottom w:val="single" w:sz="8" w:color="auto"/>
            </w:tcBorders>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80" w:type="dxa"/>
            <w:vAlign w:val="bottom"/>
            <w:tcBorders>
              <w:top w:val="single" w:sz="8" w:color="auto"/>
              <w:bottom w:val="single" w:sz="8" w:color="auto"/>
            </w:tcBorders>
            <w:shd w:val="clear" w:color="auto" w:fill="CCEEFF"/>
          </w:tcPr>
          <w:p>
            <w:pPr>
              <w:jc w:val="right"/>
              <w:ind w:right="201"/>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4,259</w:t>
            </w:r>
          </w:p>
        </w:tc>
        <w:tc>
          <w:tcPr>
            <w:tcW w:w="0" w:type="dxa"/>
            <w:vAlign w:val="bottom"/>
          </w:tcPr>
          <w:p>
            <w:pPr>
              <w:spacing w:after="0"/>
              <w:rPr>
                <w:sz w:val="1"/>
                <w:szCs w:val="1"/>
                <w:color w:val="auto"/>
              </w:rPr>
            </w:pPr>
          </w:p>
        </w:tc>
      </w:tr>
      <w:tr>
        <w:trPr>
          <w:trHeight w:val="20"/>
        </w:trPr>
        <w:tc>
          <w:tcPr>
            <w:tcW w:w="48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7"/>
        </w:trPr>
        <w:tc>
          <w:tcPr>
            <w:tcW w:w="8060" w:type="dxa"/>
            <w:vAlign w:val="bottom"/>
            <w:gridSpan w:val="7"/>
          </w:tcPr>
          <w:p>
            <w:pPr>
              <w:spacing w:after="0"/>
              <w:rPr>
                <w:sz w:val="20"/>
                <w:szCs w:val="20"/>
                <w:color w:val="auto"/>
              </w:rPr>
            </w:pPr>
            <w:r>
              <w:rPr>
                <w:rFonts w:ascii="Arial" w:cs="Arial" w:eastAsia="Arial" w:hAnsi="Arial"/>
                <w:sz w:val="18"/>
                <w:szCs w:val="18"/>
                <w:color w:val="auto"/>
              </w:rPr>
              <w:t>The contractual maturities of our current investments as of March 31, 2024 are summarized below:</w:t>
            </w:r>
          </w:p>
        </w:tc>
        <w:tc>
          <w:tcPr>
            <w:tcW w:w="5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0"/>
        </w:trPr>
        <w:tc>
          <w:tcPr>
            <w:tcW w:w="4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gridSpan w:val="2"/>
            <w:vMerge w:val="restart"/>
          </w:tcPr>
          <w:p>
            <w:pPr>
              <w:jc w:val="right"/>
              <w:ind w:right="160"/>
              <w:spacing w:after="0"/>
              <w:rPr>
                <w:sz w:val="20"/>
                <w:szCs w:val="20"/>
                <w:color w:val="auto"/>
              </w:rPr>
            </w:pPr>
            <w:r>
              <w:rPr>
                <w:rFonts w:ascii="Arial" w:cs="Arial" w:eastAsia="Arial" w:hAnsi="Arial"/>
                <w:sz w:val="14"/>
                <w:szCs w:val="14"/>
                <w:b w:val="1"/>
                <w:bCs w:val="1"/>
                <w:color w:val="auto"/>
              </w:rPr>
              <w:t>Amortized Cost</w:t>
            </w:r>
          </w:p>
        </w:tc>
        <w:tc>
          <w:tcPr>
            <w:tcW w:w="100" w:type="dxa"/>
            <w:vAlign w:val="bottom"/>
            <w:vMerge w:val="restart"/>
          </w:tcPr>
          <w:p>
            <w:pPr>
              <w:spacing w:after="0"/>
              <w:rPr>
                <w:sz w:val="24"/>
                <w:szCs w:val="24"/>
                <w:color w:val="auto"/>
              </w:rPr>
            </w:pPr>
          </w:p>
        </w:tc>
        <w:tc>
          <w:tcPr>
            <w:tcW w:w="380" w:type="dxa"/>
            <w:vAlign w:val="bottom"/>
          </w:tcPr>
          <w:p>
            <w:pPr>
              <w:spacing w:after="0"/>
              <w:rPr>
                <w:sz w:val="24"/>
                <w:szCs w:val="24"/>
                <w:color w:val="auto"/>
              </w:rPr>
            </w:pPr>
          </w:p>
        </w:tc>
        <w:tc>
          <w:tcPr>
            <w:tcW w:w="1160" w:type="dxa"/>
            <w:vAlign w:val="bottom"/>
          </w:tcPr>
          <w:p>
            <w:pPr>
              <w:jc w:val="center"/>
              <w:ind w:right="300"/>
              <w:spacing w:after="0"/>
              <w:rPr>
                <w:sz w:val="20"/>
                <w:szCs w:val="20"/>
                <w:color w:val="auto"/>
              </w:rPr>
            </w:pPr>
            <w:r>
              <w:rPr>
                <w:rFonts w:ascii="Arial" w:cs="Arial" w:eastAsia="Arial" w:hAnsi="Arial"/>
                <w:sz w:val="14"/>
                <w:szCs w:val="14"/>
                <w:b w:val="1"/>
                <w:bCs w:val="1"/>
                <w:color w:val="auto"/>
              </w:rPr>
              <w:t>Estimated</w:t>
            </w:r>
          </w:p>
        </w:tc>
        <w:tc>
          <w:tcPr>
            <w:tcW w:w="0" w:type="dxa"/>
            <w:vAlign w:val="bottom"/>
          </w:tcPr>
          <w:p>
            <w:pPr>
              <w:spacing w:after="0"/>
              <w:rPr>
                <w:sz w:val="1"/>
                <w:szCs w:val="1"/>
                <w:color w:val="auto"/>
              </w:rPr>
            </w:pPr>
          </w:p>
        </w:tc>
      </w:tr>
      <w:tr>
        <w:trPr>
          <w:trHeight w:val="189"/>
        </w:trPr>
        <w:tc>
          <w:tcPr>
            <w:tcW w:w="4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tcBorders>
              <w:bottom w:val="single" w:sz="8" w:color="auto"/>
            </w:tcBorders>
            <w:gridSpan w:val="2"/>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28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35"/>
        </w:trPr>
        <w:tc>
          <w:tcPr>
            <w:tcW w:w="4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52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7"/>
        </w:trPr>
        <w:tc>
          <w:tcPr>
            <w:tcW w:w="4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Due in one year or less</w:t>
            </w: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320"/>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634</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01"/>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625</w:t>
            </w:r>
          </w:p>
        </w:tc>
        <w:tc>
          <w:tcPr>
            <w:tcW w:w="0" w:type="dxa"/>
            <w:vAlign w:val="bottom"/>
          </w:tcPr>
          <w:p>
            <w:pPr>
              <w:spacing w:after="0"/>
              <w:rPr>
                <w:sz w:val="1"/>
                <w:szCs w:val="1"/>
                <w:color w:val="auto"/>
              </w:rPr>
            </w:pPr>
          </w:p>
        </w:tc>
      </w:tr>
      <w:tr>
        <w:trPr>
          <w:trHeight w:val="215"/>
        </w:trPr>
        <w:tc>
          <w:tcPr>
            <w:tcW w:w="4800" w:type="dxa"/>
            <w:vAlign w:val="bottom"/>
          </w:tcPr>
          <w:p>
            <w:pPr>
              <w:ind w:left="20"/>
              <w:spacing w:after="0"/>
              <w:rPr>
                <w:sz w:val="20"/>
                <w:szCs w:val="20"/>
                <w:color w:val="auto"/>
              </w:rPr>
            </w:pPr>
            <w:r>
              <w:rPr>
                <w:rFonts w:ascii="Arial" w:cs="Arial" w:eastAsia="Arial" w:hAnsi="Arial"/>
                <w:sz w:val="16"/>
                <w:szCs w:val="16"/>
                <w:color w:val="auto"/>
              </w:rPr>
              <w:t>Due after one year through five years</w:t>
            </w: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2,419</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2,366</w:t>
            </w:r>
          </w:p>
        </w:tc>
        <w:tc>
          <w:tcPr>
            <w:tcW w:w="0" w:type="dxa"/>
            <w:vAlign w:val="bottom"/>
          </w:tcPr>
          <w:p>
            <w:pPr>
              <w:spacing w:after="0"/>
              <w:rPr>
                <w:sz w:val="1"/>
                <w:szCs w:val="1"/>
                <w:color w:val="auto"/>
              </w:rPr>
            </w:pPr>
          </w:p>
        </w:tc>
      </w:tr>
      <w:tr>
        <w:trPr>
          <w:trHeight w:val="217"/>
        </w:trPr>
        <w:tc>
          <w:tcPr>
            <w:tcW w:w="4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Due after five years through ten years</w:t>
            </w: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431</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427</w:t>
            </w:r>
          </w:p>
        </w:tc>
        <w:tc>
          <w:tcPr>
            <w:tcW w:w="0" w:type="dxa"/>
            <w:vAlign w:val="bottom"/>
          </w:tcPr>
          <w:p>
            <w:pPr>
              <w:spacing w:after="0"/>
              <w:rPr>
                <w:sz w:val="1"/>
                <w:szCs w:val="1"/>
                <w:color w:val="auto"/>
              </w:rPr>
            </w:pPr>
          </w:p>
        </w:tc>
      </w:tr>
      <w:tr>
        <w:trPr>
          <w:trHeight w:val="215"/>
        </w:trPr>
        <w:tc>
          <w:tcPr>
            <w:tcW w:w="48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Due after ten years</w:t>
            </w:r>
          </w:p>
        </w:tc>
        <w:tc>
          <w:tcPr>
            <w:tcW w:w="180" w:type="dxa"/>
            <w:vAlign w:val="bottom"/>
            <w:tcBorders>
              <w:bottom w:val="single" w:sz="8" w:color="CCEEFF"/>
            </w:tcBorders>
          </w:tcPr>
          <w:p>
            <w:pPr>
              <w:spacing w:after="0"/>
              <w:rPr>
                <w:sz w:val="18"/>
                <w:szCs w:val="18"/>
                <w:color w:val="auto"/>
              </w:rPr>
            </w:pPr>
          </w:p>
        </w:tc>
        <w:tc>
          <w:tcPr>
            <w:tcW w:w="13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CCEEFF"/>
            </w:tcBorders>
          </w:tcPr>
          <w:p>
            <w:pPr>
              <w:spacing w:after="0"/>
              <w:rPr>
                <w:sz w:val="18"/>
                <w:szCs w:val="18"/>
                <w:color w:val="auto"/>
              </w:rPr>
            </w:pPr>
          </w:p>
        </w:tc>
        <w:tc>
          <w:tcPr>
            <w:tcW w:w="12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1,053</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1,006</w:t>
            </w:r>
          </w:p>
        </w:tc>
        <w:tc>
          <w:tcPr>
            <w:tcW w:w="0" w:type="dxa"/>
            <w:vAlign w:val="bottom"/>
          </w:tcPr>
          <w:p>
            <w:pPr>
              <w:spacing w:after="0"/>
              <w:rPr>
                <w:sz w:val="1"/>
                <w:szCs w:val="1"/>
                <w:color w:val="auto"/>
              </w:rPr>
            </w:pPr>
          </w:p>
        </w:tc>
      </w:tr>
      <w:tr>
        <w:trPr>
          <w:trHeight w:val="235"/>
        </w:trPr>
        <w:tc>
          <w:tcPr>
            <w:tcW w:w="48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Total</w:t>
            </w:r>
          </w:p>
        </w:tc>
        <w:tc>
          <w:tcPr>
            <w:tcW w:w="18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ind w:right="320"/>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4,537</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201"/>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4,424</w:t>
            </w:r>
          </w:p>
        </w:tc>
        <w:tc>
          <w:tcPr>
            <w:tcW w:w="0" w:type="dxa"/>
            <w:vAlign w:val="bottom"/>
          </w:tcPr>
          <w:p>
            <w:pPr>
              <w:spacing w:after="0"/>
              <w:rPr>
                <w:sz w:val="1"/>
                <w:szCs w:val="1"/>
                <w:color w:val="auto"/>
              </w:rPr>
            </w:pPr>
          </w:p>
        </w:tc>
      </w:tr>
      <w:tr>
        <w:trPr>
          <w:trHeight w:val="20"/>
        </w:trPr>
        <w:tc>
          <w:tcPr>
            <w:tcW w:w="48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6"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In the three months ended March 31, 2024, and 2023, maturities and redemptions of available-for-sale securities amounted to $188 million and $118 million, respectively, and sales amounted to $ 23 million and $253 million, respectively. Gross realized gains and losses from sales of available-for-sale securities are calculated under the specific identification method and are included in investment income. Gross realized investment gains were insignificant for the three months ended March 31, 2024, and 2023. Gross realized investment losses amounted to $2 million and $10 million in three months ended March 31, 2024 and 2023, respectively, and were reclassified into earnings from other comprehensive income on a net-of-tax basis.</w:t>
      </w:r>
    </w:p>
    <w:p>
      <w:pPr>
        <w:spacing w:after="0" w:line="74"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color w:val="auto"/>
        </w:rPr>
        <w:t>We have determined that unrealized losses at March 31, 2024, and December 31, 2023, primarily resulted from fluctuating interest rates, rather than a deterioration of the creditworthiness of the issuers. Therefore, we determined that an allowance for credit losses was not necessary. So long as we maintain the intent and ability to hold these securities to maturity, we are unlikely to experience realized losses. In the event that we dispose of these securities before maturity, we expect that realized losses, if any, will be insignificant.</w:t>
      </w:r>
    </w:p>
    <w:p>
      <w:pPr>
        <w:spacing w:after="0" w:line="200" w:lineRule="exact"/>
        <w:rPr>
          <w:sz w:val="20"/>
          <w:szCs w:val="20"/>
          <w:color w:val="auto"/>
        </w:rPr>
      </w:pPr>
    </w:p>
    <w:p>
      <w:pPr>
        <w:spacing w:after="0" w:line="31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March 31, 2024 Form 10-Q |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The following table segregates those available-for-sale investments that have been in a continuous loss position for less than 12 months, and those that have been in a continuous loss position for 12 months or more as of March 31, 2024:</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360" w:type="dxa"/>
            <w:vAlign w:val="bottom"/>
            <w:gridSpan w:val="9"/>
          </w:tcPr>
          <w:p>
            <w:pPr>
              <w:jc w:val="center"/>
              <w:ind w:right="1020"/>
              <w:spacing w:after="0"/>
              <w:rPr>
                <w:sz w:val="20"/>
                <w:szCs w:val="20"/>
                <w:color w:val="auto"/>
              </w:rPr>
            </w:pPr>
            <w:r>
              <w:rPr>
                <w:rFonts w:ascii="Arial" w:cs="Arial" w:eastAsia="Arial" w:hAnsi="Arial"/>
                <w:sz w:val="14"/>
                <w:szCs w:val="14"/>
                <w:b w:val="1"/>
                <w:bCs w:val="1"/>
                <w:color w:val="auto"/>
              </w:rPr>
              <w:t>In a Continuous Loss Position</w:t>
            </w:r>
          </w:p>
        </w:tc>
        <w:tc>
          <w:tcPr>
            <w:tcW w:w="220" w:type="dxa"/>
            <w:vAlign w:val="bottom"/>
          </w:tcPr>
          <w:p>
            <w:pPr>
              <w:spacing w:after="0"/>
              <w:rPr>
                <w:sz w:val="14"/>
                <w:szCs w:val="14"/>
                <w:color w:val="auto"/>
              </w:rPr>
            </w:pPr>
          </w:p>
        </w:tc>
        <w:tc>
          <w:tcPr>
            <w:tcW w:w="3960" w:type="dxa"/>
            <w:vAlign w:val="bottom"/>
            <w:gridSpan w:val="6"/>
          </w:tcPr>
          <w:p>
            <w:pPr>
              <w:jc w:val="center"/>
              <w:ind w:right="141"/>
              <w:spacing w:after="0"/>
              <w:rPr>
                <w:sz w:val="20"/>
                <w:szCs w:val="20"/>
                <w:color w:val="auto"/>
              </w:rPr>
            </w:pPr>
            <w:r>
              <w:rPr>
                <w:rFonts w:ascii="Arial" w:cs="Arial" w:eastAsia="Arial" w:hAnsi="Arial"/>
                <w:sz w:val="14"/>
                <w:szCs w:val="14"/>
                <w:b w:val="1"/>
                <w:bCs w:val="1"/>
                <w:color w:val="auto"/>
              </w:rPr>
              <w:t>In a Continuous Loss Position</w:t>
            </w:r>
          </w:p>
        </w:tc>
        <w:tc>
          <w:tcPr>
            <w:tcW w:w="0" w:type="dxa"/>
            <w:vAlign w:val="bottom"/>
          </w:tcPr>
          <w:p>
            <w:pPr>
              <w:spacing w:after="0"/>
              <w:rPr>
                <w:sz w:val="1"/>
                <w:szCs w:val="1"/>
                <w:color w:val="auto"/>
              </w:rPr>
            </w:pPr>
          </w:p>
        </w:tc>
      </w:tr>
      <w:tr>
        <w:trPr>
          <w:trHeight w:val="185"/>
        </w:trPr>
        <w:tc>
          <w:tcPr>
            <w:tcW w:w="276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6"/>
          </w:tcPr>
          <w:p>
            <w:pPr>
              <w:jc w:val="center"/>
              <w:ind w:right="20"/>
              <w:spacing w:after="0"/>
              <w:rPr>
                <w:sz w:val="20"/>
                <w:szCs w:val="20"/>
                <w:color w:val="auto"/>
              </w:rPr>
            </w:pPr>
            <w:r>
              <w:rPr>
                <w:rFonts w:ascii="Arial" w:cs="Arial" w:eastAsia="Arial" w:hAnsi="Arial"/>
                <w:sz w:val="14"/>
                <w:szCs w:val="14"/>
                <w:b w:val="1"/>
                <w:bCs w:val="1"/>
                <w:color w:val="auto"/>
              </w:rPr>
              <w:t>for Less than 12 Months</w:t>
            </w:r>
          </w:p>
        </w:tc>
        <w:tc>
          <w:tcPr>
            <w:tcW w:w="12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rPr>
              <w:t>for 12 Months or More</w:t>
            </w:r>
          </w:p>
        </w:tc>
        <w:tc>
          <w:tcPr>
            <w:tcW w:w="13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2760" w:type="dxa"/>
            <w:vAlign w:val="bottom"/>
          </w:tcPr>
          <w:p>
            <w:pPr>
              <w:spacing w:after="0"/>
              <w:rPr>
                <w:sz w:val="12"/>
                <w:szCs w:val="12"/>
                <w:color w:val="auto"/>
              </w:rPr>
            </w:pPr>
          </w:p>
        </w:tc>
        <w:tc>
          <w:tcPr>
            <w:tcW w:w="1240" w:type="dxa"/>
            <w:vAlign w:val="bottom"/>
            <w:gridSpan w:val="2"/>
          </w:tcPr>
          <w:p>
            <w:pPr>
              <w:jc w:val="center"/>
              <w:ind w:left="4"/>
              <w:spacing w:after="0" w:line="147" w:lineRule="exact"/>
              <w:rPr>
                <w:sz w:val="20"/>
                <w:szCs w:val="20"/>
                <w:color w:val="auto"/>
              </w:rPr>
            </w:pPr>
            <w:r>
              <w:rPr>
                <w:rFonts w:ascii="Arial" w:cs="Arial" w:eastAsia="Arial" w:hAnsi="Arial"/>
                <w:sz w:val="14"/>
                <w:szCs w:val="14"/>
                <w:b w:val="1"/>
                <w:bCs w:val="1"/>
                <w:color w:val="auto"/>
              </w:rPr>
              <w:t>Estimated</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00" w:type="dxa"/>
            <w:vAlign w:val="bottom"/>
            <w:gridSpan w:val="3"/>
            <w:vMerge w:val="restart"/>
          </w:tcPr>
          <w:p>
            <w:pPr>
              <w:jc w:val="center"/>
              <w:ind w:right="380"/>
              <w:spacing w:after="0"/>
              <w:rPr>
                <w:sz w:val="20"/>
                <w:szCs w:val="20"/>
                <w:color w:val="auto"/>
              </w:rPr>
            </w:pPr>
            <w:r>
              <w:rPr>
                <w:rFonts w:ascii="Arial" w:cs="Arial" w:eastAsia="Arial" w:hAnsi="Arial"/>
                <w:sz w:val="14"/>
                <w:szCs w:val="14"/>
                <w:b w:val="1"/>
                <w:bCs w:val="1"/>
                <w:color w:val="auto"/>
              </w:rPr>
              <w:t>Unrealized</w:t>
            </w:r>
          </w:p>
        </w:tc>
        <w:tc>
          <w:tcPr>
            <w:tcW w:w="13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Total Number of</w:t>
            </w:r>
          </w:p>
        </w:tc>
        <w:tc>
          <w:tcPr>
            <w:tcW w:w="220" w:type="dxa"/>
            <w:vAlign w:val="bottom"/>
          </w:tcPr>
          <w:p>
            <w:pPr>
              <w:spacing w:after="0"/>
              <w:rPr>
                <w:sz w:val="12"/>
                <w:szCs w:val="12"/>
                <w:color w:val="auto"/>
              </w:rPr>
            </w:pPr>
          </w:p>
        </w:tc>
        <w:tc>
          <w:tcPr>
            <w:tcW w:w="1120" w:type="dxa"/>
            <w:vAlign w:val="bottom"/>
          </w:tcPr>
          <w:p>
            <w:pPr>
              <w:jc w:val="center"/>
              <w:ind w:right="143"/>
              <w:spacing w:after="0" w:line="147" w:lineRule="exact"/>
              <w:rPr>
                <w:sz w:val="20"/>
                <w:szCs w:val="20"/>
                <w:color w:val="auto"/>
              </w:rPr>
            </w:pPr>
            <w:r>
              <w:rPr>
                <w:rFonts w:ascii="Arial" w:cs="Arial" w:eastAsia="Arial" w:hAnsi="Arial"/>
                <w:sz w:val="14"/>
                <w:szCs w:val="14"/>
                <w:b w:val="1"/>
                <w:bCs w:val="1"/>
                <w:color w:val="auto"/>
              </w:rPr>
              <w:t>Estimated</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rPr>
              <w:t>Unrealized</w:t>
            </w:r>
          </w:p>
        </w:tc>
        <w:tc>
          <w:tcPr>
            <w:tcW w:w="1320" w:type="dxa"/>
            <w:vAlign w:val="bottom"/>
            <w:vMerge w:val="restart"/>
          </w:tcPr>
          <w:p>
            <w:pPr>
              <w:jc w:val="right"/>
              <w:ind w:right="21"/>
              <w:spacing w:after="0"/>
              <w:rPr>
                <w:sz w:val="20"/>
                <w:szCs w:val="20"/>
                <w:color w:val="auto"/>
              </w:rPr>
            </w:pPr>
            <w:r>
              <w:rPr>
                <w:rFonts w:ascii="Arial" w:cs="Arial" w:eastAsia="Arial" w:hAnsi="Arial"/>
                <w:sz w:val="14"/>
                <w:szCs w:val="14"/>
                <w:b w:val="1"/>
                <w:bCs w:val="1"/>
                <w:color w:val="auto"/>
              </w:rPr>
              <w:t>Total Number of</w:t>
            </w:r>
          </w:p>
        </w:tc>
        <w:tc>
          <w:tcPr>
            <w:tcW w:w="0" w:type="dxa"/>
            <w:vAlign w:val="bottom"/>
          </w:tcPr>
          <w:p>
            <w:pPr>
              <w:spacing w:after="0"/>
              <w:rPr>
                <w:sz w:val="1"/>
                <w:szCs w:val="1"/>
                <w:color w:val="auto"/>
              </w:rPr>
            </w:pPr>
          </w:p>
        </w:tc>
      </w:tr>
      <w:tr>
        <w:trPr>
          <w:trHeight w:val="144"/>
        </w:trPr>
        <w:tc>
          <w:tcPr>
            <w:tcW w:w="2760" w:type="dxa"/>
            <w:vAlign w:val="bottom"/>
          </w:tcPr>
          <w:p>
            <w:pPr>
              <w:spacing w:after="0"/>
              <w:rPr>
                <w:sz w:val="12"/>
                <w:szCs w:val="12"/>
                <w:color w:val="auto"/>
              </w:rPr>
            </w:pPr>
          </w:p>
        </w:tc>
        <w:tc>
          <w:tcPr>
            <w:tcW w:w="900" w:type="dxa"/>
            <w:vAlign w:val="bottom"/>
          </w:tcPr>
          <w:p>
            <w:pPr>
              <w:jc w:val="center"/>
              <w:ind w:left="324"/>
              <w:spacing w:after="0" w:line="145" w:lineRule="exact"/>
              <w:rPr>
                <w:sz w:val="20"/>
                <w:szCs w:val="20"/>
                <w:color w:val="auto"/>
              </w:rPr>
            </w:pPr>
            <w:r>
              <w:rPr>
                <w:rFonts w:ascii="Arial" w:cs="Arial" w:eastAsia="Arial" w:hAnsi="Arial"/>
                <w:sz w:val="14"/>
                <w:szCs w:val="14"/>
                <w:b w:val="1"/>
                <w:bCs w:val="1"/>
                <w:color w:val="auto"/>
              </w:rPr>
              <w:t>Fair</w:t>
            </w: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00" w:type="dxa"/>
            <w:vAlign w:val="bottom"/>
            <w:gridSpan w:val="3"/>
            <w:vMerge w:val="continue"/>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jc w:val="center"/>
              <w:ind w:right="143"/>
              <w:spacing w:after="0" w:line="145" w:lineRule="exact"/>
              <w:rPr>
                <w:sz w:val="20"/>
                <w:szCs w:val="20"/>
                <w:color w:val="auto"/>
              </w:rPr>
            </w:pPr>
            <w:r>
              <w:rPr>
                <w:rFonts w:ascii="Arial" w:cs="Arial" w:eastAsia="Arial" w:hAnsi="Arial"/>
                <w:sz w:val="14"/>
                <w:szCs w:val="14"/>
                <w:b w:val="1"/>
                <w:bCs w:val="1"/>
                <w:color w:val="auto"/>
              </w:rPr>
              <w:t>Fair</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3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760" w:type="dxa"/>
            <w:vAlign w:val="bottom"/>
          </w:tcPr>
          <w:p>
            <w:pPr>
              <w:spacing w:after="0"/>
              <w:rPr>
                <w:sz w:val="16"/>
                <w:szCs w:val="16"/>
                <w:color w:val="auto"/>
              </w:rPr>
            </w:pPr>
          </w:p>
        </w:tc>
        <w:tc>
          <w:tcPr>
            <w:tcW w:w="900" w:type="dxa"/>
            <w:vAlign w:val="bottom"/>
            <w:tcBorders>
              <w:bottom w:val="single" w:sz="8" w:color="auto"/>
            </w:tcBorders>
          </w:tcPr>
          <w:p>
            <w:pPr>
              <w:jc w:val="center"/>
              <w:ind w:left="324"/>
              <w:spacing w:after="0"/>
              <w:rPr>
                <w:sz w:val="20"/>
                <w:szCs w:val="20"/>
                <w:color w:val="auto"/>
              </w:rPr>
            </w:pPr>
            <w:r>
              <w:rPr>
                <w:rFonts w:ascii="Arial" w:cs="Arial" w:eastAsia="Arial" w:hAnsi="Arial"/>
                <w:sz w:val="14"/>
                <w:szCs w:val="14"/>
                <w:b w:val="1"/>
                <w:bCs w:val="1"/>
                <w:color w:val="auto"/>
              </w:rPr>
              <w:t>Value</w:t>
            </w:r>
          </w:p>
        </w:tc>
        <w:tc>
          <w:tcPr>
            <w:tcW w:w="3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121"/>
              <w:spacing w:after="0"/>
              <w:rPr>
                <w:sz w:val="20"/>
                <w:szCs w:val="20"/>
                <w:color w:val="auto"/>
              </w:rPr>
            </w:pPr>
            <w:r>
              <w:rPr>
                <w:rFonts w:ascii="Arial" w:cs="Arial" w:eastAsia="Arial" w:hAnsi="Arial"/>
                <w:sz w:val="14"/>
                <w:szCs w:val="14"/>
                <w:b w:val="1"/>
                <w:bCs w:val="1"/>
                <w:color w:val="auto"/>
              </w:rPr>
              <w:t>Losses</w:t>
            </w:r>
          </w:p>
        </w:tc>
        <w:tc>
          <w:tcPr>
            <w:tcW w:w="12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262"/>
              <w:spacing w:after="0"/>
              <w:rPr>
                <w:sz w:val="20"/>
                <w:szCs w:val="20"/>
                <w:color w:val="auto"/>
              </w:rPr>
            </w:pPr>
            <w:r>
              <w:rPr>
                <w:rFonts w:ascii="Arial" w:cs="Arial" w:eastAsia="Arial" w:hAnsi="Arial"/>
                <w:sz w:val="14"/>
                <w:szCs w:val="14"/>
                <w:b w:val="1"/>
                <w:bCs w:val="1"/>
                <w:color w:val="auto"/>
              </w:rPr>
              <w:t>Positions</w:t>
            </w: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143"/>
              <w:spacing w:after="0"/>
              <w:rPr>
                <w:sz w:val="20"/>
                <w:szCs w:val="20"/>
                <w:color w:val="auto"/>
              </w:rPr>
            </w:pPr>
            <w:r>
              <w:rPr>
                <w:rFonts w:ascii="Arial" w:cs="Arial" w:eastAsia="Arial" w:hAnsi="Arial"/>
                <w:sz w:val="14"/>
                <w:szCs w:val="14"/>
                <w:b w:val="1"/>
                <w:bCs w:val="1"/>
                <w:color w:val="auto"/>
              </w:rPr>
              <w:t>Value</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121"/>
              <w:spacing w:after="0"/>
              <w:rPr>
                <w:sz w:val="20"/>
                <w:szCs w:val="20"/>
                <w:color w:val="auto"/>
              </w:rPr>
            </w:pPr>
            <w:r>
              <w:rPr>
                <w:rFonts w:ascii="Arial" w:cs="Arial" w:eastAsia="Arial" w:hAnsi="Arial"/>
                <w:sz w:val="14"/>
                <w:szCs w:val="14"/>
                <w:b w:val="1"/>
                <w:bCs w:val="1"/>
                <w:color w:val="auto"/>
                <w:w w:val="99"/>
              </w:rPr>
              <w:t>Losses</w:t>
            </w:r>
          </w:p>
        </w:tc>
        <w:tc>
          <w:tcPr>
            <w:tcW w:w="100" w:type="dxa"/>
            <w:vAlign w:val="bottom"/>
          </w:tcPr>
          <w:p>
            <w:pPr>
              <w:spacing w:after="0"/>
              <w:rPr>
                <w:sz w:val="16"/>
                <w:szCs w:val="16"/>
                <w:color w:val="auto"/>
              </w:rPr>
            </w:pPr>
          </w:p>
        </w:tc>
        <w:tc>
          <w:tcPr>
            <w:tcW w:w="1320" w:type="dxa"/>
            <w:vAlign w:val="bottom"/>
            <w:tcBorders>
              <w:bottom w:val="single" w:sz="8" w:color="auto"/>
            </w:tcBorders>
          </w:tcPr>
          <w:p>
            <w:pPr>
              <w:jc w:val="right"/>
              <w:ind w:right="261"/>
              <w:spacing w:after="0"/>
              <w:rPr>
                <w:sz w:val="20"/>
                <w:szCs w:val="20"/>
                <w:color w:val="auto"/>
              </w:rPr>
            </w:pPr>
            <w:r>
              <w:rPr>
                <w:rFonts w:ascii="Arial" w:cs="Arial" w:eastAsia="Arial" w:hAnsi="Arial"/>
                <w:sz w:val="14"/>
                <w:szCs w:val="14"/>
                <w:b w:val="1"/>
                <w:bCs w:val="1"/>
                <w:color w:val="auto"/>
              </w:rPr>
              <w:t>Positions</w:t>
            </w:r>
          </w:p>
        </w:tc>
        <w:tc>
          <w:tcPr>
            <w:tcW w:w="0" w:type="dxa"/>
            <w:vAlign w:val="bottom"/>
          </w:tcPr>
          <w:p>
            <w:pPr>
              <w:spacing w:after="0"/>
              <w:rPr>
                <w:sz w:val="1"/>
                <w:szCs w:val="1"/>
                <w:color w:val="auto"/>
              </w:rPr>
            </w:pPr>
          </w:p>
        </w:tc>
      </w:tr>
      <w:tr>
        <w:trPr>
          <w:trHeight w:val="249"/>
        </w:trPr>
        <w:tc>
          <w:tcPr>
            <w:tcW w:w="27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80" w:type="dxa"/>
            <w:vAlign w:val="bottom"/>
            <w:gridSpan w:val="4"/>
          </w:tcPr>
          <w:p>
            <w:pPr>
              <w:jc w:val="right"/>
              <w:ind w:right="643"/>
              <w:spacing w:after="0"/>
              <w:rPr>
                <w:sz w:val="20"/>
                <w:szCs w:val="20"/>
                <w:color w:val="auto"/>
              </w:rPr>
            </w:pPr>
            <w:r>
              <w:rPr>
                <w:rFonts w:ascii="Arial" w:cs="Arial" w:eastAsia="Arial" w:hAnsi="Arial"/>
                <w:sz w:val="14"/>
                <w:szCs w:val="14"/>
                <w:b w:val="1"/>
                <w:bCs w:val="1"/>
                <w:color w:val="auto"/>
              </w:rPr>
              <w:t>(Dollars in millions)</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2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Corporate debt securities</w:t>
            </w:r>
          </w:p>
        </w:tc>
        <w:tc>
          <w:tcPr>
            <w:tcW w:w="900" w:type="dxa"/>
            <w:vAlign w:val="bottom"/>
            <w:shd w:val="clear" w:color="auto" w:fill="CCEEFF"/>
          </w:tcPr>
          <w:p>
            <w:pPr>
              <w:jc w:val="right"/>
              <w:ind w:right="704"/>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596</w:t>
            </w:r>
          </w:p>
        </w:tc>
        <w:tc>
          <w:tcPr>
            <w:tcW w:w="380" w:type="dxa"/>
            <w:vAlign w:val="bottom"/>
            <w:gridSpan w:val="3"/>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345</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1,502</w:t>
            </w:r>
          </w:p>
        </w:tc>
        <w:tc>
          <w:tcPr>
            <w:tcW w:w="300" w:type="dxa"/>
            <w:vAlign w:val="bottom"/>
            <w:gridSpan w:val="2"/>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w:t>
            </w: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738</w:t>
            </w:r>
          </w:p>
        </w:tc>
        <w:tc>
          <w:tcPr>
            <w:tcW w:w="0" w:type="dxa"/>
            <w:vAlign w:val="bottom"/>
          </w:tcPr>
          <w:p>
            <w:pPr>
              <w:spacing w:after="0"/>
              <w:rPr>
                <w:sz w:val="1"/>
                <w:szCs w:val="1"/>
                <w:color w:val="auto"/>
              </w:rPr>
            </w:pPr>
          </w:p>
        </w:tc>
      </w:tr>
      <w:tr>
        <w:trPr>
          <w:trHeight w:val="215"/>
        </w:trPr>
        <w:tc>
          <w:tcPr>
            <w:tcW w:w="2760" w:type="dxa"/>
            <w:vAlign w:val="bottom"/>
          </w:tcPr>
          <w:p>
            <w:pPr>
              <w:ind w:left="20"/>
              <w:spacing w:after="0"/>
              <w:rPr>
                <w:sz w:val="20"/>
                <w:szCs w:val="20"/>
                <w:color w:val="auto"/>
              </w:rPr>
            </w:pPr>
            <w:r>
              <w:rPr>
                <w:rFonts w:ascii="Arial" w:cs="Arial" w:eastAsia="Arial" w:hAnsi="Arial"/>
                <w:sz w:val="16"/>
                <w:szCs w:val="16"/>
                <w:color w:val="auto"/>
              </w:rPr>
              <w:t>Mortgage-backed securities</w:t>
            </w:r>
          </w:p>
        </w:tc>
        <w:tc>
          <w:tcPr>
            <w:tcW w:w="9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rPr>
              <w:t>154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tcPr>
          <w:p>
            <w:pPr>
              <w:jc w:val="right"/>
              <w:ind w:right="2"/>
              <w:spacing w:after="0"/>
              <w:rPr>
                <w:sz w:val="20"/>
                <w:szCs w:val="20"/>
                <w:color w:val="auto"/>
              </w:rPr>
            </w:pPr>
            <w:r>
              <w:rPr>
                <w:rFonts w:ascii="Arial" w:cs="Arial" w:eastAsia="Arial" w:hAnsi="Arial"/>
                <w:sz w:val="16"/>
                <w:szCs w:val="16"/>
                <w:color w:val="auto"/>
              </w:rPr>
              <w:t>137</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right"/>
              <w:ind w:right="3"/>
              <w:spacing w:after="0"/>
              <w:rPr>
                <w:sz w:val="20"/>
                <w:szCs w:val="20"/>
                <w:color w:val="auto"/>
              </w:rPr>
            </w:pPr>
            <w:r>
              <w:rPr>
                <w:rFonts w:ascii="Arial" w:cs="Arial" w:eastAsia="Arial" w:hAnsi="Arial"/>
                <w:sz w:val="16"/>
                <w:szCs w:val="16"/>
                <w:color w:val="auto"/>
              </w:rPr>
              <w:t>485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42</w:t>
            </w:r>
          </w:p>
        </w:tc>
        <w:tc>
          <w:tcPr>
            <w:tcW w:w="100" w:type="dxa"/>
            <w:vAlign w:val="bottom"/>
          </w:tcPr>
          <w:p>
            <w:pPr>
              <w:spacing w:after="0"/>
              <w:rPr>
                <w:sz w:val="18"/>
                <w:szCs w:val="18"/>
                <w:color w:val="auto"/>
              </w:rPr>
            </w:pPr>
          </w:p>
        </w:tc>
        <w:tc>
          <w:tcPr>
            <w:tcW w:w="1320" w:type="dxa"/>
            <w:vAlign w:val="bottom"/>
          </w:tcPr>
          <w:p>
            <w:pPr>
              <w:jc w:val="right"/>
              <w:ind w:right="1"/>
              <w:spacing w:after="0"/>
              <w:rPr>
                <w:sz w:val="20"/>
                <w:szCs w:val="20"/>
                <w:color w:val="auto"/>
              </w:rPr>
            </w:pPr>
            <w:r>
              <w:rPr>
                <w:rFonts w:ascii="Arial" w:cs="Arial" w:eastAsia="Arial" w:hAnsi="Arial"/>
                <w:sz w:val="16"/>
                <w:szCs w:val="16"/>
                <w:color w:val="auto"/>
              </w:rPr>
              <w:t>267</w:t>
            </w:r>
          </w:p>
        </w:tc>
        <w:tc>
          <w:tcPr>
            <w:tcW w:w="0" w:type="dxa"/>
            <w:vAlign w:val="bottom"/>
          </w:tcPr>
          <w:p>
            <w:pPr>
              <w:spacing w:after="0"/>
              <w:rPr>
                <w:sz w:val="1"/>
                <w:szCs w:val="1"/>
                <w:color w:val="auto"/>
              </w:rPr>
            </w:pPr>
          </w:p>
        </w:tc>
      </w:tr>
      <w:tr>
        <w:trPr>
          <w:trHeight w:val="217"/>
        </w:trPr>
        <w:tc>
          <w:tcPr>
            <w:tcW w:w="2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Asset-backed securities</w:t>
            </w:r>
          </w:p>
        </w:tc>
        <w:tc>
          <w:tcPr>
            <w:tcW w:w="90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208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97</w:t>
            </w:r>
          </w:p>
        </w:tc>
        <w:tc>
          <w:tcPr>
            <w:tcW w:w="0" w:type="dxa"/>
            <w:vAlign w:val="bottom"/>
          </w:tcPr>
          <w:p>
            <w:pPr>
              <w:spacing w:after="0"/>
              <w:rPr>
                <w:sz w:val="1"/>
                <w:szCs w:val="1"/>
                <w:color w:val="auto"/>
              </w:rPr>
            </w:pPr>
          </w:p>
        </w:tc>
      </w:tr>
      <w:tr>
        <w:trPr>
          <w:trHeight w:val="215"/>
        </w:trPr>
        <w:tc>
          <w:tcPr>
            <w:tcW w:w="2760" w:type="dxa"/>
            <w:vAlign w:val="bottom"/>
          </w:tcPr>
          <w:p>
            <w:pPr>
              <w:ind w:left="20"/>
              <w:spacing w:after="0"/>
              <w:rPr>
                <w:sz w:val="20"/>
                <w:szCs w:val="20"/>
                <w:color w:val="auto"/>
              </w:rPr>
            </w:pPr>
            <w:r>
              <w:rPr>
                <w:rFonts w:ascii="Arial" w:cs="Arial" w:eastAsia="Arial" w:hAnsi="Arial"/>
                <w:sz w:val="16"/>
                <w:szCs w:val="16"/>
                <w:color w:val="auto"/>
              </w:rPr>
              <w:t>Municipal securities</w:t>
            </w:r>
          </w:p>
        </w:tc>
        <w:tc>
          <w:tcPr>
            <w:tcW w:w="9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gridSpan w:val="3"/>
          </w:tcPr>
          <w:p>
            <w:pPr>
              <w:jc w:val="right"/>
              <w:ind w:right="260"/>
              <w:spacing w:after="0"/>
              <w:rPr>
                <w:sz w:val="20"/>
                <w:szCs w:val="20"/>
                <w:color w:val="auto"/>
              </w:rPr>
            </w:pPr>
            <w:r>
              <w:rPr>
                <w:rFonts w:ascii="Arial" w:cs="Arial" w:eastAsia="Arial" w:hAnsi="Arial"/>
                <w:sz w:val="16"/>
                <w:szCs w:val="16"/>
                <w:color w:val="auto"/>
              </w:rPr>
              <w:t>—</w:t>
            </w:r>
          </w:p>
        </w:tc>
        <w:tc>
          <w:tcPr>
            <w:tcW w:w="13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120" w:type="dxa"/>
            <w:vAlign w:val="bottom"/>
          </w:tcPr>
          <w:p>
            <w:pPr>
              <w:jc w:val="right"/>
              <w:ind w:right="3"/>
              <w:spacing w:after="0"/>
              <w:rPr>
                <w:sz w:val="20"/>
                <w:szCs w:val="20"/>
                <w:color w:val="auto"/>
              </w:rPr>
            </w:pPr>
            <w:r>
              <w:rPr>
                <w:rFonts w:ascii="Arial" w:cs="Arial" w:eastAsia="Arial" w:hAnsi="Arial"/>
                <w:sz w:val="16"/>
                <w:szCs w:val="16"/>
                <w:color w:val="auto"/>
              </w:rPr>
              <w:t>112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18"/>
                <w:szCs w:val="18"/>
                <w:color w:val="auto"/>
              </w:rPr>
            </w:pPr>
          </w:p>
        </w:tc>
        <w:tc>
          <w:tcPr>
            <w:tcW w:w="1320" w:type="dxa"/>
            <w:vAlign w:val="bottom"/>
          </w:tcPr>
          <w:p>
            <w:pPr>
              <w:jc w:val="right"/>
              <w:ind w:right="1"/>
              <w:spacing w:after="0"/>
              <w:rPr>
                <w:sz w:val="20"/>
                <w:szCs w:val="20"/>
                <w:color w:val="auto"/>
              </w:rPr>
            </w:pPr>
            <w:r>
              <w:rPr>
                <w:rFonts w:ascii="Arial" w:cs="Arial" w:eastAsia="Arial" w:hAnsi="Arial"/>
                <w:sz w:val="16"/>
                <w:szCs w:val="16"/>
                <w:color w:val="auto"/>
              </w:rPr>
              <w:t>110</w:t>
            </w:r>
          </w:p>
        </w:tc>
        <w:tc>
          <w:tcPr>
            <w:tcW w:w="0" w:type="dxa"/>
            <w:vAlign w:val="bottom"/>
          </w:tcPr>
          <w:p>
            <w:pPr>
              <w:spacing w:after="0"/>
              <w:rPr>
                <w:sz w:val="1"/>
                <w:szCs w:val="1"/>
                <w:color w:val="auto"/>
              </w:rPr>
            </w:pPr>
          </w:p>
        </w:tc>
      </w:tr>
      <w:tr>
        <w:trPr>
          <w:trHeight w:val="217"/>
        </w:trPr>
        <w:tc>
          <w:tcPr>
            <w:tcW w:w="2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w:t>
            </w:r>
          </w:p>
        </w:tc>
        <w:tc>
          <w:tcPr>
            <w:tcW w:w="90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16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209"/>
        </w:trPr>
        <w:tc>
          <w:tcPr>
            <w:tcW w:w="2760" w:type="dxa"/>
            <w:vAlign w:val="bottom"/>
          </w:tcPr>
          <w:p>
            <w:pPr>
              <w:ind w:left="140"/>
              <w:spacing w:after="0"/>
              <w:rPr>
                <w:sz w:val="20"/>
                <w:szCs w:val="20"/>
                <w:color w:val="auto"/>
              </w:rPr>
            </w:pPr>
            <w:r>
              <w:rPr>
                <w:rFonts w:ascii="Arial" w:cs="Arial" w:eastAsia="Arial" w:hAnsi="Arial"/>
                <w:sz w:val="16"/>
                <w:szCs w:val="16"/>
                <w:color w:val="auto"/>
              </w:rPr>
              <w:t>Total</w:t>
            </w:r>
          </w:p>
        </w:tc>
        <w:tc>
          <w:tcPr>
            <w:tcW w:w="900" w:type="dxa"/>
            <w:vAlign w:val="bottom"/>
            <w:tcBorders>
              <w:top w:val="single" w:sz="8" w:color="auto"/>
              <w:bottom w:val="single" w:sz="8" w:color="auto"/>
            </w:tcBorders>
          </w:tcPr>
          <w:p>
            <w:pPr>
              <w:jc w:val="right"/>
              <w:ind w:right="704"/>
              <w:spacing w:after="0"/>
              <w:rPr>
                <w:sz w:val="20"/>
                <w:szCs w:val="20"/>
                <w:color w:val="auto"/>
              </w:rPr>
            </w:pPr>
            <w:r>
              <w:rPr>
                <w:rFonts w:ascii="Arial" w:cs="Arial" w:eastAsia="Arial" w:hAnsi="Arial"/>
                <w:sz w:val="16"/>
                <w:szCs w:val="16"/>
                <w:color w:val="auto"/>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750</w:t>
            </w:r>
          </w:p>
        </w:tc>
        <w:tc>
          <w:tcPr>
            <w:tcW w:w="80" w:type="dxa"/>
            <w:vAlign w:val="bottom"/>
            <w:tcBorders>
              <w:top w:val="single" w:sz="8" w:color="auto"/>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w:t>
            </w:r>
          </w:p>
        </w:tc>
        <w:tc>
          <w:tcPr>
            <w:tcW w:w="12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6"/>
                <w:szCs w:val="16"/>
                <w:color w:val="auto"/>
              </w:rPr>
              <w:t>482</w:t>
            </w:r>
          </w:p>
        </w:tc>
        <w:tc>
          <w:tcPr>
            <w:tcW w:w="12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12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6"/>
                <w:szCs w:val="16"/>
                <w:color w:val="auto"/>
              </w:rPr>
              <w:t>2,323</w:t>
            </w: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119</w:t>
            </w:r>
          </w:p>
        </w:tc>
        <w:tc>
          <w:tcPr>
            <w:tcW w:w="100" w:type="dxa"/>
            <w:vAlign w:val="bottom"/>
          </w:tcPr>
          <w:p>
            <w:pPr>
              <w:spacing w:after="0"/>
              <w:rPr>
                <w:sz w:val="18"/>
                <w:szCs w:val="18"/>
                <w:color w:val="auto"/>
              </w:rPr>
            </w:pPr>
          </w:p>
        </w:tc>
        <w:tc>
          <w:tcPr>
            <w:tcW w:w="132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6"/>
                <w:szCs w:val="16"/>
                <w:color w:val="auto"/>
              </w:rPr>
              <w:t>1,228</w:t>
            </w:r>
          </w:p>
        </w:tc>
        <w:tc>
          <w:tcPr>
            <w:tcW w:w="0" w:type="dxa"/>
            <w:vAlign w:val="bottom"/>
          </w:tcPr>
          <w:p>
            <w:pPr>
              <w:spacing w:after="0"/>
              <w:rPr>
                <w:sz w:val="1"/>
                <w:szCs w:val="1"/>
                <w:color w:val="auto"/>
              </w:rPr>
            </w:pPr>
          </w:p>
        </w:tc>
      </w:tr>
      <w:tr>
        <w:trPr>
          <w:trHeight w:val="21"/>
        </w:trPr>
        <w:tc>
          <w:tcPr>
            <w:tcW w:w="27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The following table segregates those available-for-sale investments that have been in a continuous loss position for less than 12 months, and those that have been in a continuous loss position for 12 months or more as of December 31, 2023:</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340" w:type="dxa"/>
            <w:vAlign w:val="bottom"/>
            <w:gridSpan w:val="9"/>
          </w:tcPr>
          <w:p>
            <w:pPr>
              <w:jc w:val="center"/>
              <w:ind w:right="1020"/>
              <w:spacing w:after="0"/>
              <w:rPr>
                <w:sz w:val="20"/>
                <w:szCs w:val="20"/>
                <w:color w:val="auto"/>
              </w:rPr>
            </w:pPr>
            <w:r>
              <w:rPr>
                <w:rFonts w:ascii="Arial" w:cs="Arial" w:eastAsia="Arial" w:hAnsi="Arial"/>
                <w:sz w:val="14"/>
                <w:szCs w:val="14"/>
                <w:b w:val="1"/>
                <w:bCs w:val="1"/>
                <w:color w:val="auto"/>
              </w:rPr>
              <w:t>In a Continuous Loss Position</w:t>
            </w:r>
          </w:p>
        </w:tc>
        <w:tc>
          <w:tcPr>
            <w:tcW w:w="200" w:type="dxa"/>
            <w:vAlign w:val="bottom"/>
          </w:tcPr>
          <w:p>
            <w:pPr>
              <w:spacing w:after="0"/>
              <w:rPr>
                <w:sz w:val="14"/>
                <w:szCs w:val="14"/>
                <w:color w:val="auto"/>
              </w:rPr>
            </w:pPr>
          </w:p>
        </w:tc>
        <w:tc>
          <w:tcPr>
            <w:tcW w:w="3960" w:type="dxa"/>
            <w:vAlign w:val="bottom"/>
            <w:gridSpan w:val="6"/>
          </w:tcPr>
          <w:p>
            <w:pPr>
              <w:jc w:val="center"/>
              <w:ind w:right="121"/>
              <w:spacing w:after="0"/>
              <w:rPr>
                <w:sz w:val="20"/>
                <w:szCs w:val="20"/>
                <w:color w:val="auto"/>
              </w:rPr>
            </w:pPr>
            <w:r>
              <w:rPr>
                <w:rFonts w:ascii="Arial" w:cs="Arial" w:eastAsia="Arial" w:hAnsi="Arial"/>
                <w:sz w:val="14"/>
                <w:szCs w:val="14"/>
                <w:b w:val="1"/>
                <w:bCs w:val="1"/>
                <w:color w:val="auto"/>
              </w:rPr>
              <w:t>In a Continuous Loss Position</w:t>
            </w:r>
          </w:p>
        </w:tc>
        <w:tc>
          <w:tcPr>
            <w:tcW w:w="0" w:type="dxa"/>
            <w:vAlign w:val="bottom"/>
          </w:tcPr>
          <w:p>
            <w:pPr>
              <w:spacing w:after="0"/>
              <w:rPr>
                <w:sz w:val="1"/>
                <w:szCs w:val="1"/>
                <w:color w:val="auto"/>
              </w:rPr>
            </w:pPr>
          </w:p>
        </w:tc>
      </w:tr>
      <w:tr>
        <w:trPr>
          <w:trHeight w:val="189"/>
        </w:trPr>
        <w:tc>
          <w:tcPr>
            <w:tcW w:w="278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6"/>
          </w:tcPr>
          <w:p>
            <w:pPr>
              <w:jc w:val="center"/>
              <w:ind w:right="40"/>
              <w:spacing w:after="0"/>
              <w:rPr>
                <w:sz w:val="20"/>
                <w:szCs w:val="20"/>
                <w:color w:val="auto"/>
              </w:rPr>
            </w:pPr>
            <w:r>
              <w:rPr>
                <w:rFonts w:ascii="Arial" w:cs="Arial" w:eastAsia="Arial" w:hAnsi="Arial"/>
                <w:sz w:val="14"/>
                <w:szCs w:val="14"/>
                <w:b w:val="1"/>
                <w:bCs w:val="1"/>
                <w:color w:val="auto"/>
              </w:rPr>
              <w:t>for Less than 12 Months</w:t>
            </w:r>
          </w:p>
        </w:tc>
        <w:tc>
          <w:tcPr>
            <w:tcW w:w="12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rPr>
              <w:t>for 12 Months or More</w:t>
            </w:r>
          </w:p>
        </w:tc>
        <w:tc>
          <w:tcPr>
            <w:tcW w:w="13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2780" w:type="dxa"/>
            <w:vAlign w:val="bottom"/>
          </w:tcPr>
          <w:p>
            <w:pPr>
              <w:spacing w:after="0"/>
              <w:rPr>
                <w:sz w:val="12"/>
                <w:szCs w:val="12"/>
                <w:color w:val="auto"/>
              </w:rPr>
            </w:pPr>
          </w:p>
        </w:tc>
        <w:tc>
          <w:tcPr>
            <w:tcW w:w="1240" w:type="dxa"/>
            <w:vAlign w:val="bottom"/>
            <w:gridSpan w:val="2"/>
          </w:tcPr>
          <w:p>
            <w:pPr>
              <w:jc w:val="center"/>
              <w:spacing w:after="0" w:line="142" w:lineRule="exact"/>
              <w:rPr>
                <w:sz w:val="20"/>
                <w:szCs w:val="20"/>
                <w:color w:val="auto"/>
              </w:rPr>
            </w:pPr>
            <w:r>
              <w:rPr>
                <w:rFonts w:ascii="Arial" w:cs="Arial" w:eastAsia="Arial" w:hAnsi="Arial"/>
                <w:sz w:val="14"/>
                <w:szCs w:val="14"/>
                <w:b w:val="1"/>
                <w:bCs w:val="1"/>
                <w:color w:val="auto"/>
              </w:rPr>
              <w:t>Estimated</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00" w:type="dxa"/>
            <w:vAlign w:val="bottom"/>
            <w:gridSpan w:val="3"/>
            <w:vMerge w:val="restart"/>
          </w:tcPr>
          <w:p>
            <w:pPr>
              <w:jc w:val="center"/>
              <w:ind w:right="400"/>
              <w:spacing w:after="0"/>
              <w:rPr>
                <w:sz w:val="20"/>
                <w:szCs w:val="20"/>
                <w:color w:val="auto"/>
              </w:rPr>
            </w:pPr>
            <w:r>
              <w:rPr>
                <w:rFonts w:ascii="Arial" w:cs="Arial" w:eastAsia="Arial" w:hAnsi="Arial"/>
                <w:sz w:val="14"/>
                <w:szCs w:val="14"/>
                <w:b w:val="1"/>
                <w:bCs w:val="1"/>
                <w:color w:val="auto"/>
              </w:rPr>
              <w:t>Unrealized</w:t>
            </w:r>
          </w:p>
        </w:tc>
        <w:tc>
          <w:tcPr>
            <w:tcW w:w="13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Total Number of</w:t>
            </w:r>
          </w:p>
        </w:tc>
        <w:tc>
          <w:tcPr>
            <w:tcW w:w="200" w:type="dxa"/>
            <w:vAlign w:val="bottom"/>
          </w:tcPr>
          <w:p>
            <w:pPr>
              <w:spacing w:after="0"/>
              <w:rPr>
                <w:sz w:val="12"/>
                <w:szCs w:val="12"/>
                <w:color w:val="auto"/>
              </w:rPr>
            </w:pPr>
          </w:p>
        </w:tc>
        <w:tc>
          <w:tcPr>
            <w:tcW w:w="1120" w:type="dxa"/>
            <w:vAlign w:val="bottom"/>
          </w:tcPr>
          <w:p>
            <w:pPr>
              <w:jc w:val="center"/>
              <w:ind w:right="123"/>
              <w:spacing w:after="0" w:line="142" w:lineRule="exact"/>
              <w:rPr>
                <w:sz w:val="20"/>
                <w:szCs w:val="20"/>
                <w:color w:val="auto"/>
              </w:rPr>
            </w:pPr>
            <w:r>
              <w:rPr>
                <w:rFonts w:ascii="Arial" w:cs="Arial" w:eastAsia="Arial" w:hAnsi="Arial"/>
                <w:sz w:val="14"/>
                <w:szCs w:val="14"/>
                <w:b w:val="1"/>
                <w:bCs w:val="1"/>
                <w:color w:val="auto"/>
              </w:rPr>
              <w:t>Estimated</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rPr>
              <w:t>Unrealized</w:t>
            </w:r>
          </w:p>
        </w:tc>
        <w:tc>
          <w:tcPr>
            <w:tcW w:w="1300" w:type="dxa"/>
            <w:vAlign w:val="bottom"/>
            <w:vMerge w:val="restart"/>
          </w:tcPr>
          <w:p>
            <w:pPr>
              <w:jc w:val="right"/>
              <w:ind w:right="21"/>
              <w:spacing w:after="0"/>
              <w:rPr>
                <w:sz w:val="20"/>
                <w:szCs w:val="20"/>
                <w:color w:val="auto"/>
              </w:rPr>
            </w:pPr>
            <w:r>
              <w:rPr>
                <w:rFonts w:ascii="Arial" w:cs="Arial" w:eastAsia="Arial" w:hAnsi="Arial"/>
                <w:sz w:val="14"/>
                <w:szCs w:val="14"/>
                <w:b w:val="1"/>
                <w:bCs w:val="1"/>
                <w:color w:val="auto"/>
              </w:rPr>
              <w:t>Total Number of</w:t>
            </w:r>
          </w:p>
        </w:tc>
        <w:tc>
          <w:tcPr>
            <w:tcW w:w="0" w:type="dxa"/>
            <w:vAlign w:val="bottom"/>
          </w:tcPr>
          <w:p>
            <w:pPr>
              <w:spacing w:after="0"/>
              <w:rPr>
                <w:sz w:val="1"/>
                <w:szCs w:val="1"/>
                <w:color w:val="auto"/>
              </w:rPr>
            </w:pPr>
          </w:p>
        </w:tc>
      </w:tr>
      <w:tr>
        <w:trPr>
          <w:trHeight w:val="148"/>
        </w:trPr>
        <w:tc>
          <w:tcPr>
            <w:tcW w:w="2780" w:type="dxa"/>
            <w:vAlign w:val="bottom"/>
          </w:tcPr>
          <w:p>
            <w:pPr>
              <w:spacing w:after="0"/>
              <w:rPr>
                <w:sz w:val="12"/>
                <w:szCs w:val="12"/>
                <w:color w:val="auto"/>
              </w:rPr>
            </w:pPr>
          </w:p>
        </w:tc>
        <w:tc>
          <w:tcPr>
            <w:tcW w:w="900" w:type="dxa"/>
            <w:vAlign w:val="bottom"/>
          </w:tcPr>
          <w:p>
            <w:pPr>
              <w:jc w:val="center"/>
              <w:ind w:left="324"/>
              <w:spacing w:after="0" w:line="149" w:lineRule="exact"/>
              <w:rPr>
                <w:sz w:val="20"/>
                <w:szCs w:val="20"/>
                <w:color w:val="auto"/>
              </w:rPr>
            </w:pPr>
            <w:r>
              <w:rPr>
                <w:rFonts w:ascii="Arial" w:cs="Arial" w:eastAsia="Arial" w:hAnsi="Arial"/>
                <w:sz w:val="14"/>
                <w:szCs w:val="14"/>
                <w:b w:val="1"/>
                <w:bCs w:val="1"/>
                <w:color w:val="auto"/>
              </w:rPr>
              <w:t>Fair</w:t>
            </w: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00" w:type="dxa"/>
            <w:vAlign w:val="bottom"/>
            <w:gridSpan w:val="3"/>
            <w:vMerge w:val="continue"/>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tcPr>
          <w:p>
            <w:pPr>
              <w:jc w:val="center"/>
              <w:ind w:right="143"/>
              <w:spacing w:after="0" w:line="149" w:lineRule="exact"/>
              <w:rPr>
                <w:sz w:val="20"/>
                <w:szCs w:val="20"/>
                <w:color w:val="auto"/>
              </w:rPr>
            </w:pPr>
            <w:r>
              <w:rPr>
                <w:rFonts w:ascii="Arial" w:cs="Arial" w:eastAsia="Arial" w:hAnsi="Arial"/>
                <w:sz w:val="14"/>
                <w:szCs w:val="14"/>
                <w:b w:val="1"/>
                <w:bCs w:val="1"/>
                <w:color w:val="auto"/>
              </w:rPr>
              <w:t>Fair</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3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780" w:type="dxa"/>
            <w:vAlign w:val="bottom"/>
          </w:tcPr>
          <w:p>
            <w:pPr>
              <w:spacing w:after="0"/>
              <w:rPr>
                <w:sz w:val="16"/>
                <w:szCs w:val="16"/>
                <w:color w:val="auto"/>
              </w:rPr>
            </w:pPr>
          </w:p>
        </w:tc>
        <w:tc>
          <w:tcPr>
            <w:tcW w:w="900" w:type="dxa"/>
            <w:vAlign w:val="bottom"/>
            <w:tcBorders>
              <w:bottom w:val="single" w:sz="8" w:color="auto"/>
            </w:tcBorders>
          </w:tcPr>
          <w:p>
            <w:pPr>
              <w:jc w:val="center"/>
              <w:ind w:left="324"/>
              <w:spacing w:after="0"/>
              <w:rPr>
                <w:sz w:val="20"/>
                <w:szCs w:val="20"/>
                <w:color w:val="auto"/>
              </w:rPr>
            </w:pPr>
            <w:r>
              <w:rPr>
                <w:rFonts w:ascii="Arial" w:cs="Arial" w:eastAsia="Arial" w:hAnsi="Arial"/>
                <w:sz w:val="14"/>
                <w:szCs w:val="14"/>
                <w:b w:val="1"/>
                <w:bCs w:val="1"/>
                <w:color w:val="auto"/>
              </w:rPr>
              <w:t>Value</w:t>
            </w:r>
          </w:p>
        </w:tc>
        <w:tc>
          <w:tcPr>
            <w:tcW w:w="3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121"/>
              <w:spacing w:after="0"/>
              <w:rPr>
                <w:sz w:val="20"/>
                <w:szCs w:val="20"/>
                <w:color w:val="auto"/>
              </w:rPr>
            </w:pPr>
            <w:r>
              <w:rPr>
                <w:rFonts w:ascii="Arial" w:cs="Arial" w:eastAsia="Arial" w:hAnsi="Arial"/>
                <w:sz w:val="14"/>
                <w:szCs w:val="14"/>
                <w:b w:val="1"/>
                <w:bCs w:val="1"/>
                <w:color w:val="auto"/>
              </w:rPr>
              <w:t>Losses</w:t>
            </w:r>
          </w:p>
        </w:tc>
        <w:tc>
          <w:tcPr>
            <w:tcW w:w="12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242"/>
              <w:spacing w:after="0"/>
              <w:rPr>
                <w:sz w:val="20"/>
                <w:szCs w:val="20"/>
                <w:color w:val="auto"/>
              </w:rPr>
            </w:pPr>
            <w:r>
              <w:rPr>
                <w:rFonts w:ascii="Arial" w:cs="Arial" w:eastAsia="Arial" w:hAnsi="Arial"/>
                <w:sz w:val="14"/>
                <w:szCs w:val="14"/>
                <w:b w:val="1"/>
                <w:bCs w:val="1"/>
                <w:color w:val="auto"/>
              </w:rPr>
              <w:t>Positions</w:t>
            </w: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143"/>
              <w:spacing w:after="0"/>
              <w:rPr>
                <w:sz w:val="20"/>
                <w:szCs w:val="20"/>
                <w:color w:val="auto"/>
              </w:rPr>
            </w:pPr>
            <w:r>
              <w:rPr>
                <w:rFonts w:ascii="Arial" w:cs="Arial" w:eastAsia="Arial" w:hAnsi="Arial"/>
                <w:sz w:val="14"/>
                <w:szCs w:val="14"/>
                <w:b w:val="1"/>
                <w:bCs w:val="1"/>
                <w:color w:val="auto"/>
              </w:rPr>
              <w:t>Value</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101"/>
              <w:spacing w:after="0"/>
              <w:rPr>
                <w:sz w:val="20"/>
                <w:szCs w:val="20"/>
                <w:color w:val="auto"/>
              </w:rPr>
            </w:pPr>
            <w:r>
              <w:rPr>
                <w:rFonts w:ascii="Arial" w:cs="Arial" w:eastAsia="Arial" w:hAnsi="Arial"/>
                <w:sz w:val="14"/>
                <w:szCs w:val="14"/>
                <w:b w:val="1"/>
                <w:bCs w:val="1"/>
                <w:color w:val="auto"/>
              </w:rPr>
              <w:t>Losses</w:t>
            </w:r>
          </w:p>
        </w:tc>
        <w:tc>
          <w:tcPr>
            <w:tcW w:w="120" w:type="dxa"/>
            <w:vAlign w:val="bottom"/>
          </w:tcPr>
          <w:p>
            <w:pPr>
              <w:spacing w:after="0"/>
              <w:rPr>
                <w:sz w:val="16"/>
                <w:szCs w:val="16"/>
                <w:color w:val="auto"/>
              </w:rPr>
            </w:pPr>
          </w:p>
        </w:tc>
        <w:tc>
          <w:tcPr>
            <w:tcW w:w="1300" w:type="dxa"/>
            <w:vAlign w:val="bottom"/>
            <w:tcBorders>
              <w:bottom w:val="single" w:sz="8" w:color="auto"/>
            </w:tcBorders>
          </w:tcPr>
          <w:p>
            <w:pPr>
              <w:jc w:val="right"/>
              <w:ind w:right="241"/>
              <w:spacing w:after="0"/>
              <w:rPr>
                <w:sz w:val="20"/>
                <w:szCs w:val="20"/>
                <w:color w:val="auto"/>
              </w:rPr>
            </w:pPr>
            <w:r>
              <w:rPr>
                <w:rFonts w:ascii="Arial" w:cs="Arial" w:eastAsia="Arial" w:hAnsi="Arial"/>
                <w:sz w:val="14"/>
                <w:szCs w:val="14"/>
                <w:b w:val="1"/>
                <w:bCs w:val="1"/>
                <w:color w:val="auto"/>
              </w:rPr>
              <w:t>Positions</w:t>
            </w:r>
          </w:p>
        </w:tc>
        <w:tc>
          <w:tcPr>
            <w:tcW w:w="0" w:type="dxa"/>
            <w:vAlign w:val="bottom"/>
          </w:tcPr>
          <w:p>
            <w:pPr>
              <w:spacing w:after="0"/>
              <w:rPr>
                <w:sz w:val="1"/>
                <w:szCs w:val="1"/>
                <w:color w:val="auto"/>
              </w:rPr>
            </w:pPr>
          </w:p>
        </w:tc>
      </w:tr>
      <w:tr>
        <w:trPr>
          <w:trHeight w:val="249"/>
        </w:trPr>
        <w:tc>
          <w:tcPr>
            <w:tcW w:w="27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40" w:type="dxa"/>
            <w:vAlign w:val="bottom"/>
            <w:gridSpan w:val="4"/>
          </w:tcPr>
          <w:p>
            <w:pPr>
              <w:jc w:val="right"/>
              <w:ind w:right="623"/>
              <w:spacing w:after="0"/>
              <w:rPr>
                <w:sz w:val="20"/>
                <w:szCs w:val="20"/>
                <w:color w:val="auto"/>
              </w:rPr>
            </w:pPr>
            <w:r>
              <w:rPr>
                <w:rFonts w:ascii="Arial" w:cs="Arial" w:eastAsia="Arial" w:hAnsi="Arial"/>
                <w:sz w:val="14"/>
                <w:szCs w:val="14"/>
                <w:b w:val="1"/>
                <w:bCs w:val="1"/>
                <w:color w:val="auto"/>
              </w:rPr>
              <w:t>(Dollars in millions)</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2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Corporate debt securities</w:t>
            </w:r>
          </w:p>
        </w:tc>
        <w:tc>
          <w:tcPr>
            <w:tcW w:w="900" w:type="dxa"/>
            <w:vAlign w:val="bottom"/>
            <w:shd w:val="clear" w:color="auto" w:fill="CCEEFF"/>
          </w:tcPr>
          <w:p>
            <w:pPr>
              <w:jc w:val="right"/>
              <w:ind w:right="724"/>
              <w:spacing w:after="0"/>
              <w:rPr>
                <w:sz w:val="20"/>
                <w:szCs w:val="20"/>
                <w:color w:val="auto"/>
              </w:rPr>
            </w:pPr>
            <w:r>
              <w:rPr>
                <w:rFonts w:ascii="Arial" w:cs="Arial" w:eastAsia="Arial" w:hAnsi="Arial"/>
                <w:sz w:val="16"/>
                <w:szCs w:val="16"/>
                <w:color w:val="auto"/>
                <w:w w:val="89"/>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263</w:t>
            </w:r>
          </w:p>
        </w:tc>
        <w:tc>
          <w:tcPr>
            <w:tcW w:w="380" w:type="dxa"/>
            <w:vAlign w:val="bottom"/>
            <w:gridSpan w:val="3"/>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160</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1,553</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w:t>
            </w: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754</w:t>
            </w:r>
          </w:p>
        </w:tc>
        <w:tc>
          <w:tcPr>
            <w:tcW w:w="0" w:type="dxa"/>
            <w:vAlign w:val="bottom"/>
          </w:tcPr>
          <w:p>
            <w:pPr>
              <w:spacing w:after="0"/>
              <w:rPr>
                <w:sz w:val="1"/>
                <w:szCs w:val="1"/>
                <w:color w:val="auto"/>
              </w:rPr>
            </w:pPr>
          </w:p>
        </w:tc>
      </w:tr>
      <w:tr>
        <w:trPr>
          <w:trHeight w:val="215"/>
        </w:trPr>
        <w:tc>
          <w:tcPr>
            <w:tcW w:w="2780" w:type="dxa"/>
            <w:vAlign w:val="bottom"/>
          </w:tcPr>
          <w:p>
            <w:pPr>
              <w:ind w:left="20"/>
              <w:spacing w:after="0"/>
              <w:rPr>
                <w:sz w:val="20"/>
                <w:szCs w:val="20"/>
                <w:color w:val="auto"/>
              </w:rPr>
            </w:pPr>
            <w:r>
              <w:rPr>
                <w:rFonts w:ascii="Arial" w:cs="Arial" w:eastAsia="Arial" w:hAnsi="Arial"/>
                <w:sz w:val="16"/>
                <w:szCs w:val="16"/>
                <w:color w:val="auto"/>
              </w:rPr>
              <w:t>Mortgage-backed securities</w:t>
            </w:r>
          </w:p>
        </w:tc>
        <w:tc>
          <w:tcPr>
            <w:tcW w:w="9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rPr>
              <w:t>123</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98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jc w:val="right"/>
              <w:ind w:right="3"/>
              <w:spacing w:after="0"/>
              <w:rPr>
                <w:sz w:val="20"/>
                <w:szCs w:val="20"/>
                <w:color w:val="auto"/>
              </w:rPr>
            </w:pPr>
            <w:r>
              <w:rPr>
                <w:rFonts w:ascii="Arial" w:cs="Arial" w:eastAsia="Arial" w:hAnsi="Arial"/>
                <w:sz w:val="16"/>
                <w:szCs w:val="16"/>
                <w:color w:val="auto"/>
              </w:rPr>
              <w:t>549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42</w:t>
            </w: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283</w:t>
            </w:r>
          </w:p>
        </w:tc>
        <w:tc>
          <w:tcPr>
            <w:tcW w:w="0" w:type="dxa"/>
            <w:vAlign w:val="bottom"/>
          </w:tcPr>
          <w:p>
            <w:pPr>
              <w:spacing w:after="0"/>
              <w:rPr>
                <w:sz w:val="1"/>
                <w:szCs w:val="1"/>
                <w:color w:val="auto"/>
              </w:rPr>
            </w:pPr>
          </w:p>
        </w:tc>
      </w:tr>
      <w:tr>
        <w:trPr>
          <w:trHeight w:val="217"/>
        </w:trPr>
        <w:tc>
          <w:tcPr>
            <w:tcW w:w="2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Asset-backed securities</w:t>
            </w:r>
          </w:p>
        </w:tc>
        <w:tc>
          <w:tcPr>
            <w:tcW w:w="90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195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w:t>
            </w:r>
          </w:p>
        </w:tc>
        <w:tc>
          <w:tcPr>
            <w:tcW w:w="0" w:type="dxa"/>
            <w:vAlign w:val="bottom"/>
          </w:tcPr>
          <w:p>
            <w:pPr>
              <w:spacing w:after="0"/>
              <w:rPr>
                <w:sz w:val="1"/>
                <w:szCs w:val="1"/>
                <w:color w:val="auto"/>
              </w:rPr>
            </w:pPr>
          </w:p>
        </w:tc>
      </w:tr>
      <w:tr>
        <w:trPr>
          <w:trHeight w:val="215"/>
        </w:trPr>
        <w:tc>
          <w:tcPr>
            <w:tcW w:w="2780" w:type="dxa"/>
            <w:vAlign w:val="bottom"/>
          </w:tcPr>
          <w:p>
            <w:pPr>
              <w:ind w:left="20"/>
              <w:spacing w:after="0"/>
              <w:rPr>
                <w:sz w:val="20"/>
                <w:szCs w:val="20"/>
                <w:color w:val="auto"/>
              </w:rPr>
            </w:pPr>
            <w:r>
              <w:rPr>
                <w:rFonts w:ascii="Arial" w:cs="Arial" w:eastAsia="Arial" w:hAnsi="Arial"/>
                <w:sz w:val="16"/>
                <w:szCs w:val="16"/>
                <w:color w:val="auto"/>
              </w:rPr>
              <w:t>Municipal securities</w:t>
            </w:r>
          </w:p>
        </w:tc>
        <w:tc>
          <w:tcPr>
            <w:tcW w:w="9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gridSpan w:val="3"/>
          </w:tcPr>
          <w:p>
            <w:pPr>
              <w:jc w:val="right"/>
              <w:ind w:right="260"/>
              <w:spacing w:after="0"/>
              <w:rPr>
                <w:sz w:val="20"/>
                <w:szCs w:val="20"/>
                <w:color w:val="auto"/>
              </w:rPr>
            </w:pPr>
            <w:r>
              <w:rPr>
                <w:rFonts w:ascii="Arial" w:cs="Arial" w:eastAsia="Arial" w:hAnsi="Arial"/>
                <w:sz w:val="16"/>
                <w:szCs w:val="16"/>
                <w:color w:val="auto"/>
              </w:rPr>
              <w:t>—</w:t>
            </w:r>
          </w:p>
        </w:tc>
        <w:tc>
          <w:tcPr>
            <w:tcW w:w="13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120" w:type="dxa"/>
            <w:vAlign w:val="bottom"/>
          </w:tcPr>
          <w:p>
            <w:pPr>
              <w:jc w:val="right"/>
              <w:ind w:right="3"/>
              <w:spacing w:after="0"/>
              <w:rPr>
                <w:sz w:val="20"/>
                <w:szCs w:val="20"/>
                <w:color w:val="auto"/>
              </w:rPr>
            </w:pPr>
            <w:r>
              <w:rPr>
                <w:rFonts w:ascii="Arial" w:cs="Arial" w:eastAsia="Arial" w:hAnsi="Arial"/>
                <w:sz w:val="16"/>
                <w:szCs w:val="16"/>
                <w:color w:val="auto"/>
              </w:rPr>
              <w:t>117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6</w:t>
            </w: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116</w:t>
            </w:r>
          </w:p>
        </w:tc>
        <w:tc>
          <w:tcPr>
            <w:tcW w:w="0" w:type="dxa"/>
            <w:vAlign w:val="bottom"/>
          </w:tcPr>
          <w:p>
            <w:pPr>
              <w:spacing w:after="0"/>
              <w:rPr>
                <w:sz w:val="1"/>
                <w:szCs w:val="1"/>
                <w:color w:val="auto"/>
              </w:rPr>
            </w:pPr>
          </w:p>
        </w:tc>
      </w:tr>
      <w:tr>
        <w:trPr>
          <w:trHeight w:val="217"/>
        </w:trPr>
        <w:tc>
          <w:tcPr>
            <w:tcW w:w="2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w:t>
            </w:r>
          </w:p>
        </w:tc>
        <w:tc>
          <w:tcPr>
            <w:tcW w:w="90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17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210"/>
        </w:trPr>
        <w:tc>
          <w:tcPr>
            <w:tcW w:w="2780" w:type="dxa"/>
            <w:vAlign w:val="bottom"/>
          </w:tcPr>
          <w:p>
            <w:pPr>
              <w:ind w:left="140"/>
              <w:spacing w:after="0"/>
              <w:rPr>
                <w:sz w:val="20"/>
                <w:szCs w:val="20"/>
                <w:color w:val="auto"/>
              </w:rPr>
            </w:pPr>
            <w:r>
              <w:rPr>
                <w:rFonts w:ascii="Arial" w:cs="Arial" w:eastAsia="Arial" w:hAnsi="Arial"/>
                <w:sz w:val="16"/>
                <w:szCs w:val="16"/>
                <w:color w:val="auto"/>
              </w:rPr>
              <w:t>Total</w:t>
            </w:r>
          </w:p>
        </w:tc>
        <w:tc>
          <w:tcPr>
            <w:tcW w:w="900" w:type="dxa"/>
            <w:vAlign w:val="bottom"/>
            <w:tcBorders>
              <w:top w:val="single" w:sz="8" w:color="auto"/>
              <w:bottom w:val="single" w:sz="8" w:color="auto"/>
            </w:tcBorders>
          </w:tcPr>
          <w:p>
            <w:pPr>
              <w:jc w:val="right"/>
              <w:ind w:right="724"/>
              <w:spacing w:after="0"/>
              <w:rPr>
                <w:sz w:val="20"/>
                <w:szCs w:val="20"/>
                <w:color w:val="auto"/>
              </w:rPr>
            </w:pPr>
            <w:r>
              <w:rPr>
                <w:rFonts w:ascii="Arial" w:cs="Arial" w:eastAsia="Arial" w:hAnsi="Arial"/>
                <w:sz w:val="16"/>
                <w:szCs w:val="16"/>
                <w:color w:val="auto"/>
                <w:w w:val="89"/>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386</w:t>
            </w:r>
          </w:p>
        </w:tc>
        <w:tc>
          <w:tcPr>
            <w:tcW w:w="60" w:type="dxa"/>
            <w:vAlign w:val="bottom"/>
            <w:tcBorders>
              <w:top w:val="single" w:sz="8" w:color="auto"/>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258</w:t>
            </w:r>
          </w:p>
        </w:tc>
        <w:tc>
          <w:tcPr>
            <w:tcW w:w="12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6"/>
                <w:szCs w:val="16"/>
                <w:color w:val="auto"/>
              </w:rPr>
              <w:t>2,431</w:t>
            </w: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126</w:t>
            </w:r>
          </w:p>
        </w:tc>
        <w:tc>
          <w:tcPr>
            <w:tcW w:w="120" w:type="dxa"/>
            <w:vAlign w:val="bottom"/>
          </w:tcPr>
          <w:p>
            <w:pPr>
              <w:spacing w:after="0"/>
              <w:rPr>
                <w:sz w:val="18"/>
                <w:szCs w:val="18"/>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1,261</w:t>
            </w:r>
          </w:p>
        </w:tc>
        <w:tc>
          <w:tcPr>
            <w:tcW w:w="0" w:type="dxa"/>
            <w:vAlign w:val="bottom"/>
          </w:tcPr>
          <w:p>
            <w:pPr>
              <w:spacing w:after="0"/>
              <w:rPr>
                <w:sz w:val="1"/>
                <w:szCs w:val="1"/>
                <w:color w:val="auto"/>
              </w:rPr>
            </w:pPr>
          </w:p>
        </w:tc>
      </w:tr>
      <w:tr>
        <w:trPr>
          <w:trHeight w:val="20"/>
        </w:trPr>
        <w:tc>
          <w:tcPr>
            <w:tcW w:w="27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Investments Held-to-Maturity</w:t>
      </w:r>
    </w:p>
    <w:p>
      <w:pPr>
        <w:spacing w:after="0" w:line="11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Pursuant to the regulations governing our state health plan subsidiaries, we maintain statutory deposits and deposits required by government authorities primarily in cash, cash equivalents, U.S. Treasury securities, and corporate debt securities. We also maintain restricted investments as protection against the insolvency of certain capitated providers. The use of these funds is limited as required by regulations in the various states in which we operate, or as needed in the event of insolvency of capitated providers. Therefore, such investments are reported as “Restricted investments” in the accompanying consolidated balance sheets.</w:t>
      </w:r>
    </w:p>
    <w:p>
      <w:pPr>
        <w:spacing w:after="0" w:line="71"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We have the ability to hold these restricted investments until maturity and, as a result, we would not expect the value of these investments to decline significantly due to a sudden change in market interest rates. Our held-to-maturity restricted investments are carried at amortized cost, which approximates fair value. Such investments amounted to $261 million at March 31, 2024, of which $197 million will mature in one year or less, $59 million will mature in one through five years, and $5 million will mature after five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March 31, 2024 Form 10-Q |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828282"/>
        </w:rPr>
        <w:t>7. Medical Claims and Benefits Payable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the details of our medical claims and benefits payable as of the dates indicated:</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80" w:type="dxa"/>
            <w:vAlign w:val="bottom"/>
            <w:gridSpan w:val="2"/>
          </w:tcPr>
          <w:p>
            <w:pPr>
              <w:ind w:left="180"/>
              <w:spacing w:after="0"/>
              <w:rPr>
                <w:sz w:val="20"/>
                <w:szCs w:val="20"/>
                <w:color w:val="auto"/>
              </w:rPr>
            </w:pPr>
            <w:r>
              <w:rPr>
                <w:rFonts w:ascii="Arial" w:cs="Arial" w:eastAsia="Arial" w:hAnsi="Arial"/>
                <w:sz w:val="14"/>
                <w:szCs w:val="14"/>
                <w:b w:val="1"/>
                <w:bCs w:val="1"/>
                <w:color w:val="auto"/>
              </w:rPr>
              <w:t>March 31,</w:t>
            </w:r>
          </w:p>
        </w:tc>
        <w:tc>
          <w:tcPr>
            <w:tcW w:w="200" w:type="dxa"/>
            <w:vAlign w:val="bottom"/>
          </w:tcPr>
          <w:p>
            <w:pPr>
              <w:spacing w:after="0"/>
              <w:rPr>
                <w:sz w:val="14"/>
                <w:szCs w:val="14"/>
                <w:color w:val="auto"/>
              </w:rPr>
            </w:pPr>
          </w:p>
        </w:tc>
        <w:tc>
          <w:tcPr>
            <w:tcW w:w="1340" w:type="dxa"/>
            <w:vAlign w:val="bottom"/>
          </w:tcPr>
          <w:p>
            <w:pPr>
              <w:jc w:val="right"/>
              <w:ind w:right="222"/>
              <w:spacing w:after="0"/>
              <w:rPr>
                <w:sz w:val="20"/>
                <w:szCs w:val="20"/>
                <w:color w:val="auto"/>
              </w:rPr>
            </w:pPr>
            <w:r>
              <w:rPr>
                <w:rFonts w:ascii="Arial" w:cs="Arial" w:eastAsia="Arial" w:hAnsi="Arial"/>
                <w:sz w:val="14"/>
                <w:szCs w:val="14"/>
                <w:b w:val="1"/>
                <w:bCs w:val="1"/>
                <w:color w:val="auto"/>
              </w:rPr>
              <w:t>December 31,</w:t>
            </w:r>
          </w:p>
        </w:tc>
      </w:tr>
      <w:tr>
        <w:trPr>
          <w:trHeight w:val="185"/>
        </w:trPr>
        <w:tc>
          <w:tcPr>
            <w:tcW w:w="80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42"/>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22"/>
              <w:spacing w:after="0"/>
              <w:rPr>
                <w:sz w:val="20"/>
                <w:szCs w:val="20"/>
                <w:color w:val="auto"/>
              </w:rPr>
            </w:pPr>
            <w:r>
              <w:rPr>
                <w:rFonts w:ascii="Arial" w:cs="Arial" w:eastAsia="Arial" w:hAnsi="Arial"/>
                <w:sz w:val="14"/>
                <w:szCs w:val="14"/>
                <w:b w:val="1"/>
                <w:bCs w:val="1"/>
                <w:color w:val="auto"/>
              </w:rPr>
              <w:t>2023</w:t>
            </w:r>
          </w:p>
        </w:tc>
      </w:tr>
      <w:tr>
        <w:trPr>
          <w:trHeight w:val="235"/>
        </w:trPr>
        <w:tc>
          <w:tcPr>
            <w:tcW w:w="8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920" w:type="dxa"/>
            <w:vAlign w:val="bottom"/>
            <w:gridSpan w:val="4"/>
          </w:tcPr>
          <w:p>
            <w:pPr>
              <w:jc w:val="right"/>
              <w:ind w:right="1102"/>
              <w:spacing w:after="0"/>
              <w:rPr>
                <w:sz w:val="20"/>
                <w:szCs w:val="20"/>
                <w:color w:val="auto"/>
              </w:rPr>
            </w:pPr>
            <w:r>
              <w:rPr>
                <w:rFonts w:ascii="Arial" w:cs="Arial" w:eastAsia="Arial" w:hAnsi="Arial"/>
                <w:sz w:val="14"/>
                <w:szCs w:val="14"/>
                <w:b w:val="1"/>
                <w:bCs w:val="1"/>
                <w:color w:val="auto"/>
              </w:rPr>
              <w:t>(In millions)</w:t>
            </w:r>
          </w:p>
        </w:tc>
      </w:tr>
      <w:tr>
        <w:trPr>
          <w:trHeight w:val="217"/>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Claims incurred but not paid (“IBNP”)</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3,239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2,901</w:t>
            </w:r>
          </w:p>
        </w:tc>
      </w:tr>
      <w:tr>
        <w:trPr>
          <w:trHeight w:val="215"/>
        </w:trPr>
        <w:tc>
          <w:tcPr>
            <w:tcW w:w="8020" w:type="dxa"/>
            <w:vAlign w:val="bottom"/>
          </w:tcPr>
          <w:p>
            <w:pPr>
              <w:ind w:left="20"/>
              <w:spacing w:after="0"/>
              <w:rPr>
                <w:sz w:val="20"/>
                <w:szCs w:val="20"/>
                <w:color w:val="auto"/>
              </w:rPr>
            </w:pPr>
            <w:r>
              <w:rPr>
                <w:rFonts w:ascii="Arial" w:cs="Arial" w:eastAsia="Arial" w:hAnsi="Arial"/>
                <w:sz w:val="16"/>
                <w:szCs w:val="16"/>
                <w:color w:val="auto"/>
              </w:rPr>
              <w:t>Pharmacy payable</w:t>
            </w:r>
          </w:p>
        </w:tc>
        <w:tc>
          <w:tcPr>
            <w:tcW w:w="260" w:type="dxa"/>
            <w:vAlign w:val="bottom"/>
          </w:tcPr>
          <w:p>
            <w:pPr>
              <w:spacing w:after="0"/>
              <w:rPr>
                <w:sz w:val="18"/>
                <w:szCs w:val="18"/>
                <w:color w:val="auto"/>
              </w:rPr>
            </w:pPr>
          </w:p>
        </w:tc>
        <w:tc>
          <w:tcPr>
            <w:tcW w:w="1280" w:type="dxa"/>
            <w:vAlign w:val="bottom"/>
          </w:tcPr>
          <w:p>
            <w:pPr>
              <w:jc w:val="right"/>
              <w:ind w:right="2"/>
              <w:spacing w:after="0"/>
              <w:rPr>
                <w:sz w:val="20"/>
                <w:szCs w:val="20"/>
                <w:color w:val="auto"/>
              </w:rPr>
            </w:pPr>
            <w:r>
              <w:rPr>
                <w:rFonts w:ascii="Arial" w:cs="Arial" w:eastAsia="Arial" w:hAnsi="Arial"/>
                <w:sz w:val="16"/>
                <w:szCs w:val="16"/>
                <w:color w:val="auto"/>
              </w:rPr>
              <w:t>229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jc w:val="right"/>
              <w:ind w:right="2"/>
              <w:spacing w:after="0"/>
              <w:rPr>
                <w:sz w:val="20"/>
                <w:szCs w:val="20"/>
                <w:color w:val="auto"/>
              </w:rPr>
            </w:pPr>
            <w:r>
              <w:rPr>
                <w:rFonts w:ascii="Arial" w:cs="Arial" w:eastAsia="Arial" w:hAnsi="Arial"/>
                <w:sz w:val="16"/>
                <w:szCs w:val="16"/>
                <w:color w:val="auto"/>
              </w:rPr>
              <w:t>202</w:t>
            </w:r>
          </w:p>
        </w:tc>
      </w:tr>
      <w:tr>
        <w:trPr>
          <w:trHeight w:val="217"/>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Capitation payable</w:t>
            </w: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152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100</w:t>
            </w:r>
          </w:p>
        </w:tc>
      </w:tr>
      <w:tr>
        <w:trPr>
          <w:trHeight w:val="215"/>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w:t>
            </w:r>
          </w:p>
        </w:tc>
        <w:tc>
          <w:tcPr>
            <w:tcW w:w="2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951</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1,001</w:t>
            </w:r>
          </w:p>
        </w:tc>
      </w:tr>
      <w:tr>
        <w:trPr>
          <w:trHeight w:val="235"/>
        </w:trPr>
        <w:tc>
          <w:tcPr>
            <w:tcW w:w="80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Total</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4,571</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4,204</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346"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“Other” medical claims and benefits payable mainly includes amounts payable to certain providers for which we act as an intermediary on behalf of various government agencies without assuming financial risk. Such receipts and payments do not impact our consolidated statements of income. Non-risk provider payables amounted to $353 million and $481 million as of March 31, 2024, and December 31, 2023, respectively.</w:t>
      </w:r>
    </w:p>
    <w:p>
      <w:pPr>
        <w:spacing w:after="0" w:line="68" w:lineRule="exact"/>
        <w:rPr>
          <w:sz w:val="20"/>
          <w:szCs w:val="20"/>
          <w:color w:val="auto"/>
        </w:rPr>
      </w:pPr>
    </w:p>
    <w:p>
      <w:pPr>
        <w:ind w:right="360"/>
        <w:spacing w:after="0" w:line="262" w:lineRule="auto"/>
        <w:rPr>
          <w:sz w:val="20"/>
          <w:szCs w:val="20"/>
          <w:color w:val="auto"/>
        </w:rPr>
      </w:pPr>
      <w:r>
        <w:rPr>
          <w:rFonts w:ascii="Arial" w:cs="Arial" w:eastAsia="Arial" w:hAnsi="Arial"/>
          <w:sz w:val="18"/>
          <w:szCs w:val="18"/>
          <w:color w:val="auto"/>
        </w:rPr>
        <w:t>The following tables present the components of the change in our medical claims and benefits payable for the periods indicated. The amounts presented for “Components of medical care costs related to: Prior years” represent the amount by which our original estimate of medical claims and benefits payable at the beginning of the year varied from the actual liabilities, based on information (principally the payment of claims) developed since those liabilities were first reported.</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16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920" w:type="dxa"/>
            <w:vAlign w:val="bottom"/>
            <w:tcBorders>
              <w:bottom w:val="single" w:sz="8" w:color="auto"/>
            </w:tcBorders>
            <w:gridSpan w:val="5"/>
          </w:tcPr>
          <w:p>
            <w:pPr>
              <w:jc w:val="center"/>
              <w:ind w:right="280"/>
              <w:spacing w:after="0"/>
              <w:rPr>
                <w:sz w:val="20"/>
                <w:szCs w:val="20"/>
                <w:color w:val="auto"/>
              </w:rPr>
            </w:pPr>
            <w:r>
              <w:rPr>
                <w:rFonts w:ascii="Arial" w:cs="Arial" w:eastAsia="Arial" w:hAnsi="Arial"/>
                <w:sz w:val="14"/>
                <w:szCs w:val="14"/>
                <w:b w:val="1"/>
                <w:bCs w:val="1"/>
                <w:color w:val="auto"/>
              </w:rPr>
              <w:t>Three Months Ended March 31, 2024</w:t>
            </w:r>
          </w:p>
        </w:tc>
        <w:tc>
          <w:tcPr>
            <w:tcW w:w="1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r>
      <w:tr>
        <w:trPr>
          <w:trHeight w:val="196"/>
        </w:trPr>
        <w:tc>
          <w:tcPr>
            <w:tcW w:w="516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340"/>
              <w:spacing w:after="0"/>
              <w:rPr>
                <w:sz w:val="20"/>
                <w:szCs w:val="20"/>
                <w:color w:val="auto"/>
              </w:rPr>
            </w:pPr>
            <w:r>
              <w:rPr>
                <w:rFonts w:ascii="Arial" w:cs="Arial" w:eastAsia="Arial" w:hAnsi="Arial"/>
                <w:sz w:val="14"/>
                <w:szCs w:val="14"/>
                <w:b w:val="1"/>
                <w:bCs w:val="1"/>
                <w:color w:val="auto"/>
              </w:rPr>
              <w:t>Medicaid</w:t>
            </w: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321"/>
              <w:spacing w:after="0"/>
              <w:rPr>
                <w:sz w:val="20"/>
                <w:szCs w:val="20"/>
                <w:color w:val="auto"/>
              </w:rPr>
            </w:pPr>
            <w:r>
              <w:rPr>
                <w:rFonts w:ascii="Arial" w:cs="Arial" w:eastAsia="Arial" w:hAnsi="Arial"/>
                <w:sz w:val="14"/>
                <w:szCs w:val="14"/>
                <w:b w:val="1"/>
                <w:bCs w:val="1"/>
                <w:color w:val="auto"/>
              </w:rPr>
              <w:t>Medicare</w:t>
            </w: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220"/>
              <w:spacing w:after="0"/>
              <w:rPr>
                <w:sz w:val="20"/>
                <w:szCs w:val="20"/>
                <w:color w:val="auto"/>
              </w:rPr>
            </w:pPr>
            <w:r>
              <w:rPr>
                <w:rFonts w:ascii="Arial" w:cs="Arial" w:eastAsia="Arial" w:hAnsi="Arial"/>
                <w:sz w:val="14"/>
                <w:szCs w:val="14"/>
                <w:b w:val="1"/>
                <w:bCs w:val="1"/>
                <w:color w:val="auto"/>
              </w:rPr>
              <w:t>Marketplace</w:t>
            </w:r>
          </w:p>
        </w:tc>
        <w:tc>
          <w:tcPr>
            <w:tcW w:w="1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180"/>
              <w:spacing w:after="0"/>
              <w:rPr>
                <w:sz w:val="20"/>
                <w:szCs w:val="20"/>
                <w:color w:val="auto"/>
              </w:rPr>
            </w:pPr>
            <w:r>
              <w:rPr>
                <w:rFonts w:ascii="Arial" w:cs="Arial" w:eastAsia="Arial" w:hAnsi="Arial"/>
                <w:sz w:val="14"/>
                <w:szCs w:val="14"/>
                <w:b w:val="1"/>
                <w:bCs w:val="1"/>
                <w:color w:val="auto"/>
              </w:rPr>
              <w:t>Consolidated</w:t>
            </w:r>
          </w:p>
        </w:tc>
      </w:tr>
      <w:tr>
        <w:trPr>
          <w:trHeight w:val="236"/>
        </w:trPr>
        <w:tc>
          <w:tcPr>
            <w:tcW w:w="5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92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rPr>
              <w:t>(In millions)</w:t>
            </w:r>
          </w:p>
        </w:tc>
        <w:tc>
          <w:tcPr>
            <w:tcW w:w="18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217"/>
        </w:trPr>
        <w:tc>
          <w:tcPr>
            <w:tcW w:w="5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Medical claims and benefits payable, beginning balance</w:t>
            </w: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3,444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532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228</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4,204</w:t>
            </w:r>
          </w:p>
        </w:tc>
      </w:tr>
      <w:tr>
        <w:trPr>
          <w:trHeight w:val="215"/>
        </w:trPr>
        <w:tc>
          <w:tcPr>
            <w:tcW w:w="5160" w:type="dxa"/>
            <w:vAlign w:val="bottom"/>
          </w:tcPr>
          <w:p>
            <w:pPr>
              <w:ind w:left="20"/>
              <w:spacing w:after="0"/>
              <w:rPr>
                <w:sz w:val="20"/>
                <w:szCs w:val="20"/>
                <w:color w:val="auto"/>
              </w:rPr>
            </w:pPr>
            <w:r>
              <w:rPr>
                <w:rFonts w:ascii="Arial" w:cs="Arial" w:eastAsia="Arial" w:hAnsi="Arial"/>
                <w:sz w:val="16"/>
                <w:szCs w:val="16"/>
                <w:color w:val="auto"/>
              </w:rPr>
              <w:t>Components of medical care costs related to:</w:t>
            </w: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7"/>
        </w:trPr>
        <w:tc>
          <w:tcPr>
            <w:tcW w:w="51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Current year</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7,007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1,318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423</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8,748</w:t>
            </w:r>
          </w:p>
        </w:tc>
      </w:tr>
      <w:tr>
        <w:trPr>
          <w:trHeight w:val="215"/>
        </w:trPr>
        <w:tc>
          <w:tcPr>
            <w:tcW w:w="516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Prior years</w:t>
            </w:r>
          </w:p>
        </w:tc>
        <w:tc>
          <w:tcPr>
            <w:tcW w:w="2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(289)</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(334)</w:t>
            </w:r>
          </w:p>
        </w:tc>
      </w:tr>
      <w:tr>
        <w:trPr>
          <w:trHeight w:val="210"/>
        </w:trPr>
        <w:tc>
          <w:tcPr>
            <w:tcW w:w="5160" w:type="dxa"/>
            <w:vAlign w:val="bottom"/>
            <w:shd w:val="clear" w:color="auto" w:fill="CCEEFF"/>
          </w:tcPr>
          <w:p>
            <w:pPr>
              <w:ind w:left="480"/>
              <w:spacing w:after="0"/>
              <w:rPr>
                <w:sz w:val="20"/>
                <w:szCs w:val="20"/>
                <w:color w:val="auto"/>
              </w:rPr>
            </w:pPr>
            <w:r>
              <w:rPr>
                <w:rFonts w:ascii="Arial" w:cs="Arial" w:eastAsia="Arial" w:hAnsi="Arial"/>
                <w:sz w:val="16"/>
                <w:szCs w:val="16"/>
                <w:color w:val="auto"/>
              </w:rPr>
              <w:t>Total medical care costs</w:t>
            </w:r>
          </w:p>
        </w:tc>
        <w:tc>
          <w:tcPr>
            <w:tcW w:w="2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6,718</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1,279</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417</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8,414</w:t>
            </w:r>
          </w:p>
        </w:tc>
      </w:tr>
      <w:tr>
        <w:trPr>
          <w:trHeight w:val="195"/>
        </w:trPr>
        <w:tc>
          <w:tcPr>
            <w:tcW w:w="5160" w:type="dxa"/>
            <w:vAlign w:val="bottom"/>
          </w:tcPr>
          <w:p>
            <w:pPr>
              <w:ind w:left="20"/>
              <w:spacing w:after="0"/>
              <w:rPr>
                <w:sz w:val="20"/>
                <w:szCs w:val="20"/>
                <w:color w:val="auto"/>
              </w:rPr>
            </w:pPr>
            <w:r>
              <w:rPr>
                <w:rFonts w:ascii="Arial" w:cs="Arial" w:eastAsia="Arial" w:hAnsi="Arial"/>
                <w:sz w:val="16"/>
                <w:szCs w:val="16"/>
                <w:color w:val="auto"/>
              </w:rPr>
              <w:t>Payments for medical care costs related to:</w:t>
            </w:r>
          </w:p>
        </w:tc>
        <w:tc>
          <w:tcPr>
            <w:tcW w:w="2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217"/>
        </w:trPr>
        <w:tc>
          <w:tcPr>
            <w:tcW w:w="51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Current year</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4,491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702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216</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5,409</w:t>
            </w:r>
          </w:p>
        </w:tc>
      </w:tr>
      <w:tr>
        <w:trPr>
          <w:trHeight w:val="215"/>
        </w:trPr>
        <w:tc>
          <w:tcPr>
            <w:tcW w:w="516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Prior years</w:t>
            </w:r>
          </w:p>
        </w:tc>
        <w:tc>
          <w:tcPr>
            <w:tcW w:w="2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2,066</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630</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183</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2,879</w:t>
            </w:r>
          </w:p>
        </w:tc>
      </w:tr>
      <w:tr>
        <w:trPr>
          <w:trHeight w:val="210"/>
        </w:trPr>
        <w:tc>
          <w:tcPr>
            <w:tcW w:w="5160" w:type="dxa"/>
            <w:vAlign w:val="bottom"/>
            <w:shd w:val="clear" w:color="auto" w:fill="CCEEFF"/>
          </w:tcPr>
          <w:p>
            <w:pPr>
              <w:ind w:left="480"/>
              <w:spacing w:after="0"/>
              <w:rPr>
                <w:sz w:val="20"/>
                <w:szCs w:val="20"/>
                <w:color w:val="auto"/>
              </w:rPr>
            </w:pPr>
            <w:r>
              <w:rPr>
                <w:rFonts w:ascii="Arial" w:cs="Arial" w:eastAsia="Arial" w:hAnsi="Arial"/>
                <w:sz w:val="16"/>
                <w:szCs w:val="16"/>
                <w:color w:val="auto"/>
              </w:rPr>
              <w:t>Total paid</w:t>
            </w:r>
          </w:p>
        </w:tc>
        <w:tc>
          <w:tcPr>
            <w:tcW w:w="2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6,557</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1,332</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399</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8,288</w:t>
            </w:r>
          </w:p>
        </w:tc>
      </w:tr>
      <w:tr>
        <w:trPr>
          <w:trHeight w:val="209"/>
        </w:trPr>
        <w:tc>
          <w:tcPr>
            <w:tcW w:w="5160" w:type="dxa"/>
            <w:vAlign w:val="bottom"/>
          </w:tcPr>
          <w:p>
            <w:pPr>
              <w:ind w:left="20"/>
              <w:spacing w:after="0"/>
              <w:rPr>
                <w:sz w:val="20"/>
                <w:szCs w:val="20"/>
                <w:color w:val="auto"/>
              </w:rPr>
            </w:pPr>
            <w:r>
              <w:rPr>
                <w:rFonts w:ascii="Arial" w:cs="Arial" w:eastAsia="Arial" w:hAnsi="Arial"/>
                <w:sz w:val="16"/>
                <w:szCs w:val="16"/>
                <w:color w:val="auto"/>
              </w:rPr>
              <w:t>Acquired balances, net of post-acquisition adjustments</w:t>
            </w: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ind w:right="1"/>
              <w:spacing w:after="0"/>
              <w:rPr>
                <w:sz w:val="20"/>
                <w:szCs w:val="20"/>
                <w:color w:val="auto"/>
              </w:rPr>
            </w:pPr>
            <w:r>
              <w:rPr>
                <w:rFonts w:ascii="Arial" w:cs="Arial" w:eastAsia="Arial" w:hAnsi="Arial"/>
                <w:sz w:val="16"/>
                <w:szCs w:val="16"/>
                <w:color w:val="auto"/>
              </w:rPr>
              <w:t>391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391</w:t>
            </w:r>
          </w:p>
        </w:tc>
      </w:tr>
      <w:tr>
        <w:trPr>
          <w:trHeight w:val="216"/>
        </w:trPr>
        <w:tc>
          <w:tcPr>
            <w:tcW w:w="5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Change in non-risk and other payables</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w:t>
            </w:r>
          </w:p>
        </w:tc>
      </w:tr>
      <w:tr>
        <w:trPr>
          <w:trHeight w:val="210"/>
        </w:trPr>
        <w:tc>
          <w:tcPr>
            <w:tcW w:w="5160" w:type="dxa"/>
            <w:vAlign w:val="bottom"/>
          </w:tcPr>
          <w:p>
            <w:pPr>
              <w:ind w:left="20"/>
              <w:spacing w:after="0"/>
              <w:rPr>
                <w:sz w:val="20"/>
                <w:szCs w:val="20"/>
                <w:color w:val="auto"/>
              </w:rPr>
            </w:pPr>
            <w:r>
              <w:rPr>
                <w:rFonts w:ascii="Arial" w:cs="Arial" w:eastAsia="Arial" w:hAnsi="Arial"/>
                <w:sz w:val="16"/>
                <w:szCs w:val="16"/>
                <w:color w:val="auto"/>
              </w:rPr>
              <w:t>Medical claims and benefits payable, ending balance</w:t>
            </w:r>
          </w:p>
        </w:tc>
        <w:tc>
          <w:tcPr>
            <w:tcW w:w="26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3,486</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6"/>
                <w:szCs w:val="16"/>
                <w:color w:val="auto"/>
              </w:rPr>
              <w:t>839</w:t>
            </w:r>
          </w:p>
        </w:tc>
        <w:tc>
          <w:tcPr>
            <w:tcW w:w="10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246</w:t>
            </w:r>
          </w:p>
        </w:tc>
        <w:tc>
          <w:tcPr>
            <w:tcW w:w="12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4,571</w:t>
            </w:r>
          </w:p>
        </w:tc>
      </w:tr>
      <w:tr>
        <w:trPr>
          <w:trHeight w:val="20"/>
        </w:trPr>
        <w:tc>
          <w:tcPr>
            <w:tcW w:w="5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6840"/>
        <w:spacing w:after="0"/>
        <w:rPr>
          <w:sz w:val="20"/>
          <w:szCs w:val="20"/>
          <w:color w:val="auto"/>
        </w:rPr>
      </w:pPr>
      <w:r>
        <w:rPr>
          <w:rFonts w:ascii="Arial" w:cs="Arial" w:eastAsia="Arial" w:hAnsi="Arial"/>
          <w:sz w:val="17"/>
          <w:szCs w:val="17"/>
          <w:color w:val="auto"/>
        </w:rPr>
        <w:t>Molina Healthcare, Inc. March 31, 2024 Form 10-Q |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16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920" w:type="dxa"/>
            <w:vAlign w:val="bottom"/>
            <w:tcBorders>
              <w:bottom w:val="single" w:sz="8" w:color="auto"/>
            </w:tcBorders>
            <w:gridSpan w:val="5"/>
          </w:tcPr>
          <w:p>
            <w:pPr>
              <w:jc w:val="center"/>
              <w:ind w:right="280"/>
              <w:spacing w:after="0"/>
              <w:rPr>
                <w:sz w:val="20"/>
                <w:szCs w:val="20"/>
                <w:color w:val="auto"/>
              </w:rPr>
            </w:pPr>
            <w:r>
              <w:rPr>
                <w:rFonts w:ascii="Arial" w:cs="Arial" w:eastAsia="Arial" w:hAnsi="Arial"/>
                <w:sz w:val="14"/>
                <w:szCs w:val="14"/>
                <w:b w:val="1"/>
                <w:bCs w:val="1"/>
                <w:color w:val="auto"/>
              </w:rPr>
              <w:t>Three Months Ended March 31, 2023</w:t>
            </w:r>
          </w:p>
        </w:tc>
        <w:tc>
          <w:tcPr>
            <w:tcW w:w="1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r>
      <w:tr>
        <w:trPr>
          <w:trHeight w:val="196"/>
        </w:trPr>
        <w:tc>
          <w:tcPr>
            <w:tcW w:w="516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340"/>
              <w:spacing w:after="0"/>
              <w:rPr>
                <w:sz w:val="20"/>
                <w:szCs w:val="20"/>
                <w:color w:val="auto"/>
              </w:rPr>
            </w:pPr>
            <w:r>
              <w:rPr>
                <w:rFonts w:ascii="Arial" w:cs="Arial" w:eastAsia="Arial" w:hAnsi="Arial"/>
                <w:sz w:val="14"/>
                <w:szCs w:val="14"/>
                <w:b w:val="1"/>
                <w:bCs w:val="1"/>
                <w:color w:val="auto"/>
              </w:rPr>
              <w:t>Medicaid</w:t>
            </w: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321"/>
              <w:spacing w:after="0"/>
              <w:rPr>
                <w:sz w:val="20"/>
                <w:szCs w:val="20"/>
                <w:color w:val="auto"/>
              </w:rPr>
            </w:pPr>
            <w:r>
              <w:rPr>
                <w:rFonts w:ascii="Arial" w:cs="Arial" w:eastAsia="Arial" w:hAnsi="Arial"/>
                <w:sz w:val="14"/>
                <w:szCs w:val="14"/>
                <w:b w:val="1"/>
                <w:bCs w:val="1"/>
                <w:color w:val="auto"/>
              </w:rPr>
              <w:t>Medicare</w:t>
            </w: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220"/>
              <w:spacing w:after="0"/>
              <w:rPr>
                <w:sz w:val="20"/>
                <w:szCs w:val="20"/>
                <w:color w:val="auto"/>
              </w:rPr>
            </w:pPr>
            <w:r>
              <w:rPr>
                <w:rFonts w:ascii="Arial" w:cs="Arial" w:eastAsia="Arial" w:hAnsi="Arial"/>
                <w:sz w:val="14"/>
                <w:szCs w:val="14"/>
                <w:b w:val="1"/>
                <w:bCs w:val="1"/>
                <w:color w:val="auto"/>
              </w:rPr>
              <w:t>Marketplace</w:t>
            </w:r>
          </w:p>
        </w:tc>
        <w:tc>
          <w:tcPr>
            <w:tcW w:w="1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180"/>
              <w:spacing w:after="0"/>
              <w:rPr>
                <w:sz w:val="20"/>
                <w:szCs w:val="20"/>
                <w:color w:val="auto"/>
              </w:rPr>
            </w:pPr>
            <w:r>
              <w:rPr>
                <w:rFonts w:ascii="Arial" w:cs="Arial" w:eastAsia="Arial" w:hAnsi="Arial"/>
                <w:sz w:val="14"/>
                <w:szCs w:val="14"/>
                <w:b w:val="1"/>
                <w:bCs w:val="1"/>
                <w:color w:val="auto"/>
              </w:rPr>
              <w:t>Consolidated</w:t>
            </w:r>
          </w:p>
        </w:tc>
      </w:tr>
      <w:tr>
        <w:trPr>
          <w:trHeight w:val="237"/>
        </w:trPr>
        <w:tc>
          <w:tcPr>
            <w:tcW w:w="5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92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rPr>
              <w:t>(In millions)</w:t>
            </w:r>
          </w:p>
        </w:tc>
        <w:tc>
          <w:tcPr>
            <w:tcW w:w="18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217"/>
        </w:trPr>
        <w:tc>
          <w:tcPr>
            <w:tcW w:w="5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Medical claims and benefits payable, beginning balance</w:t>
            </w: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2,815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452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261</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3,528</w:t>
            </w:r>
          </w:p>
        </w:tc>
      </w:tr>
      <w:tr>
        <w:trPr>
          <w:trHeight w:val="215"/>
        </w:trPr>
        <w:tc>
          <w:tcPr>
            <w:tcW w:w="5160" w:type="dxa"/>
            <w:vAlign w:val="bottom"/>
          </w:tcPr>
          <w:p>
            <w:pPr>
              <w:ind w:left="20"/>
              <w:spacing w:after="0"/>
              <w:rPr>
                <w:sz w:val="20"/>
                <w:szCs w:val="20"/>
                <w:color w:val="auto"/>
              </w:rPr>
            </w:pPr>
            <w:r>
              <w:rPr>
                <w:rFonts w:ascii="Arial" w:cs="Arial" w:eastAsia="Arial" w:hAnsi="Arial"/>
                <w:sz w:val="16"/>
                <w:szCs w:val="16"/>
                <w:color w:val="auto"/>
              </w:rPr>
              <w:t>Components of medical care costs related to:</w:t>
            </w: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7"/>
        </w:trPr>
        <w:tc>
          <w:tcPr>
            <w:tcW w:w="51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Current year</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5,865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934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7,169</w:t>
            </w:r>
          </w:p>
        </w:tc>
      </w:tr>
      <w:tr>
        <w:trPr>
          <w:trHeight w:val="215"/>
        </w:trPr>
        <w:tc>
          <w:tcPr>
            <w:tcW w:w="516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Prior years</w:t>
            </w:r>
          </w:p>
        </w:tc>
        <w:tc>
          <w:tcPr>
            <w:tcW w:w="2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(250)</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(298)</w:t>
            </w:r>
          </w:p>
        </w:tc>
      </w:tr>
      <w:tr>
        <w:trPr>
          <w:trHeight w:val="210"/>
        </w:trPr>
        <w:tc>
          <w:tcPr>
            <w:tcW w:w="5160" w:type="dxa"/>
            <w:vAlign w:val="bottom"/>
            <w:shd w:val="clear" w:color="auto" w:fill="CCEEFF"/>
          </w:tcPr>
          <w:p>
            <w:pPr>
              <w:ind w:left="480"/>
              <w:spacing w:after="0"/>
              <w:rPr>
                <w:sz w:val="20"/>
                <w:szCs w:val="20"/>
                <w:color w:val="auto"/>
              </w:rPr>
            </w:pPr>
            <w:r>
              <w:rPr>
                <w:rFonts w:ascii="Arial" w:cs="Arial" w:eastAsia="Arial" w:hAnsi="Arial"/>
                <w:sz w:val="16"/>
                <w:szCs w:val="16"/>
                <w:color w:val="auto"/>
              </w:rPr>
              <w:t>Total medical care costs</w:t>
            </w:r>
          </w:p>
        </w:tc>
        <w:tc>
          <w:tcPr>
            <w:tcW w:w="2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5,615</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920</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336</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6,871</w:t>
            </w:r>
          </w:p>
        </w:tc>
      </w:tr>
      <w:tr>
        <w:trPr>
          <w:trHeight w:val="195"/>
        </w:trPr>
        <w:tc>
          <w:tcPr>
            <w:tcW w:w="5160" w:type="dxa"/>
            <w:vAlign w:val="bottom"/>
          </w:tcPr>
          <w:p>
            <w:pPr>
              <w:ind w:left="20"/>
              <w:spacing w:after="0"/>
              <w:rPr>
                <w:sz w:val="20"/>
                <w:szCs w:val="20"/>
                <w:color w:val="auto"/>
              </w:rPr>
            </w:pPr>
            <w:r>
              <w:rPr>
                <w:rFonts w:ascii="Arial" w:cs="Arial" w:eastAsia="Arial" w:hAnsi="Arial"/>
                <w:sz w:val="16"/>
                <w:szCs w:val="16"/>
                <w:color w:val="auto"/>
              </w:rPr>
              <w:t>Payments for medical care costs related to:</w:t>
            </w:r>
          </w:p>
        </w:tc>
        <w:tc>
          <w:tcPr>
            <w:tcW w:w="2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217"/>
        </w:trPr>
        <w:tc>
          <w:tcPr>
            <w:tcW w:w="51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Current year</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3,728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542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217</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4,487</w:t>
            </w:r>
          </w:p>
        </w:tc>
      </w:tr>
      <w:tr>
        <w:trPr>
          <w:trHeight w:val="215"/>
        </w:trPr>
        <w:tc>
          <w:tcPr>
            <w:tcW w:w="516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Prior years</w:t>
            </w:r>
          </w:p>
        </w:tc>
        <w:tc>
          <w:tcPr>
            <w:tcW w:w="2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1,822</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369</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167</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2,358</w:t>
            </w:r>
          </w:p>
        </w:tc>
      </w:tr>
      <w:tr>
        <w:trPr>
          <w:trHeight w:val="210"/>
        </w:trPr>
        <w:tc>
          <w:tcPr>
            <w:tcW w:w="5160" w:type="dxa"/>
            <w:vAlign w:val="bottom"/>
            <w:shd w:val="clear" w:color="auto" w:fill="CCEEFF"/>
          </w:tcPr>
          <w:p>
            <w:pPr>
              <w:ind w:left="480"/>
              <w:spacing w:after="0"/>
              <w:rPr>
                <w:sz w:val="20"/>
                <w:szCs w:val="20"/>
                <w:color w:val="auto"/>
              </w:rPr>
            </w:pPr>
            <w:r>
              <w:rPr>
                <w:rFonts w:ascii="Arial" w:cs="Arial" w:eastAsia="Arial" w:hAnsi="Arial"/>
                <w:sz w:val="16"/>
                <w:szCs w:val="16"/>
                <w:color w:val="auto"/>
              </w:rPr>
              <w:t>Total paid</w:t>
            </w:r>
          </w:p>
        </w:tc>
        <w:tc>
          <w:tcPr>
            <w:tcW w:w="2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5,550</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911</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384</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6,845</w:t>
            </w:r>
          </w:p>
        </w:tc>
      </w:tr>
      <w:tr>
        <w:trPr>
          <w:trHeight w:val="209"/>
        </w:trPr>
        <w:tc>
          <w:tcPr>
            <w:tcW w:w="5160" w:type="dxa"/>
            <w:vAlign w:val="bottom"/>
          </w:tcPr>
          <w:p>
            <w:pPr>
              <w:ind w:left="20"/>
              <w:spacing w:after="0"/>
              <w:rPr>
                <w:sz w:val="20"/>
                <w:szCs w:val="20"/>
                <w:color w:val="auto"/>
              </w:rPr>
            </w:pPr>
            <w:r>
              <w:rPr>
                <w:rFonts w:ascii="Arial" w:cs="Arial" w:eastAsia="Arial" w:hAnsi="Arial"/>
                <w:sz w:val="16"/>
                <w:szCs w:val="16"/>
                <w:color w:val="auto"/>
              </w:rPr>
              <w:t>Acquired balances, net of post-acquisition adjustments</w:t>
            </w: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5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Change in non-risk and other provider payables</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270</w:t>
            </w:r>
          </w:p>
        </w:tc>
      </w:tr>
      <w:tr>
        <w:trPr>
          <w:trHeight w:val="210"/>
        </w:trPr>
        <w:tc>
          <w:tcPr>
            <w:tcW w:w="5160" w:type="dxa"/>
            <w:vAlign w:val="bottom"/>
          </w:tcPr>
          <w:p>
            <w:pPr>
              <w:ind w:left="20"/>
              <w:spacing w:after="0"/>
              <w:rPr>
                <w:sz w:val="20"/>
                <w:szCs w:val="20"/>
                <w:color w:val="auto"/>
              </w:rPr>
            </w:pPr>
            <w:r>
              <w:rPr>
                <w:rFonts w:ascii="Arial" w:cs="Arial" w:eastAsia="Arial" w:hAnsi="Arial"/>
                <w:sz w:val="16"/>
                <w:szCs w:val="16"/>
                <w:color w:val="auto"/>
              </w:rPr>
              <w:t>Medical claims and benefits payable, ending balance</w:t>
            </w:r>
          </w:p>
        </w:tc>
        <w:tc>
          <w:tcPr>
            <w:tcW w:w="26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3,150</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6"/>
                <w:szCs w:val="16"/>
                <w:color w:val="auto"/>
              </w:rPr>
              <w:t>461</w:t>
            </w:r>
          </w:p>
        </w:tc>
        <w:tc>
          <w:tcPr>
            <w:tcW w:w="10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213</w:t>
            </w:r>
          </w:p>
        </w:tc>
        <w:tc>
          <w:tcPr>
            <w:tcW w:w="12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3,824</w:t>
            </w:r>
          </w:p>
        </w:tc>
      </w:tr>
      <w:tr>
        <w:trPr>
          <w:trHeight w:val="20"/>
        </w:trPr>
        <w:tc>
          <w:tcPr>
            <w:tcW w:w="5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346"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Our estimates of medical claims and benefits payable recorded at December 31, 2023, and 2022 developed favorably by approximately $334 million and $298 million as of March 31, 2024, and 2023, respectively.</w:t>
      </w:r>
    </w:p>
    <w:p>
      <w:pPr>
        <w:spacing w:after="0" w:line="45"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color w:val="auto"/>
        </w:rPr>
        <w:t>The favorable prior year development recognized in the three months ended March 31, 2024 was primarily due to lower than expected utilization of medical services by our members and improved operating performance, mainly in the Medicaid segment. Consequently, the ultimate costs recognized in 2024, as claims payments were processed, were lower than our estimates in 2023.</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828282"/>
        </w:rPr>
        <w:t>8. Debt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outstanding debt obligations, all of which are non-current as of the dates reported below:</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80" w:type="dxa"/>
            <w:vAlign w:val="bottom"/>
            <w:gridSpan w:val="2"/>
          </w:tcPr>
          <w:p>
            <w:pPr>
              <w:ind w:left="180"/>
              <w:spacing w:after="0"/>
              <w:rPr>
                <w:sz w:val="20"/>
                <w:szCs w:val="20"/>
                <w:color w:val="auto"/>
              </w:rPr>
            </w:pPr>
            <w:r>
              <w:rPr>
                <w:rFonts w:ascii="Arial" w:cs="Arial" w:eastAsia="Arial" w:hAnsi="Arial"/>
                <w:sz w:val="14"/>
                <w:szCs w:val="14"/>
                <w:b w:val="1"/>
                <w:bCs w:val="1"/>
                <w:color w:val="auto"/>
              </w:rPr>
              <w:t>March 31,</w:t>
            </w:r>
          </w:p>
        </w:tc>
        <w:tc>
          <w:tcPr>
            <w:tcW w:w="200" w:type="dxa"/>
            <w:vAlign w:val="bottom"/>
          </w:tcPr>
          <w:p>
            <w:pPr>
              <w:spacing w:after="0"/>
              <w:rPr>
                <w:sz w:val="14"/>
                <w:szCs w:val="14"/>
                <w:color w:val="auto"/>
              </w:rPr>
            </w:pPr>
          </w:p>
        </w:tc>
        <w:tc>
          <w:tcPr>
            <w:tcW w:w="1340" w:type="dxa"/>
            <w:vAlign w:val="bottom"/>
          </w:tcPr>
          <w:p>
            <w:pPr>
              <w:jc w:val="right"/>
              <w:ind w:right="222"/>
              <w:spacing w:after="0"/>
              <w:rPr>
                <w:sz w:val="20"/>
                <w:szCs w:val="20"/>
                <w:color w:val="auto"/>
              </w:rPr>
            </w:pPr>
            <w:r>
              <w:rPr>
                <w:rFonts w:ascii="Arial" w:cs="Arial" w:eastAsia="Arial" w:hAnsi="Arial"/>
                <w:sz w:val="14"/>
                <w:szCs w:val="14"/>
                <w:b w:val="1"/>
                <w:bCs w:val="1"/>
                <w:color w:val="auto"/>
              </w:rPr>
              <w:t>December 31,</w:t>
            </w:r>
          </w:p>
        </w:tc>
      </w:tr>
      <w:tr>
        <w:trPr>
          <w:trHeight w:val="189"/>
        </w:trPr>
        <w:tc>
          <w:tcPr>
            <w:tcW w:w="80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42"/>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22"/>
              <w:spacing w:after="0"/>
              <w:rPr>
                <w:sz w:val="20"/>
                <w:szCs w:val="20"/>
                <w:color w:val="auto"/>
              </w:rPr>
            </w:pPr>
            <w:r>
              <w:rPr>
                <w:rFonts w:ascii="Arial" w:cs="Arial" w:eastAsia="Arial" w:hAnsi="Arial"/>
                <w:sz w:val="14"/>
                <w:szCs w:val="14"/>
                <w:b w:val="1"/>
                <w:bCs w:val="1"/>
                <w:color w:val="auto"/>
              </w:rPr>
              <w:t>2023</w:t>
            </w:r>
          </w:p>
        </w:tc>
      </w:tr>
      <w:tr>
        <w:trPr>
          <w:trHeight w:val="236"/>
        </w:trPr>
        <w:tc>
          <w:tcPr>
            <w:tcW w:w="8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920" w:type="dxa"/>
            <w:vAlign w:val="bottom"/>
            <w:gridSpan w:val="4"/>
          </w:tcPr>
          <w:p>
            <w:pPr>
              <w:jc w:val="right"/>
              <w:ind w:right="1102"/>
              <w:spacing w:after="0"/>
              <w:rPr>
                <w:sz w:val="20"/>
                <w:szCs w:val="20"/>
                <w:color w:val="auto"/>
              </w:rPr>
            </w:pPr>
            <w:r>
              <w:rPr>
                <w:rFonts w:ascii="Arial" w:cs="Arial" w:eastAsia="Arial" w:hAnsi="Arial"/>
                <w:sz w:val="14"/>
                <w:szCs w:val="14"/>
                <w:b w:val="1"/>
                <w:bCs w:val="1"/>
                <w:color w:val="auto"/>
              </w:rPr>
              <w:t>(In millions)</w:t>
            </w:r>
          </w:p>
        </w:tc>
      </w:tr>
      <w:tr>
        <w:trPr>
          <w:trHeight w:val="217"/>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Non-current long-term debt:</w:t>
            </w: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215"/>
        </w:trPr>
        <w:tc>
          <w:tcPr>
            <w:tcW w:w="8020" w:type="dxa"/>
            <w:vAlign w:val="bottom"/>
          </w:tcPr>
          <w:p>
            <w:pPr>
              <w:ind w:left="140"/>
              <w:spacing w:after="0"/>
              <w:rPr>
                <w:sz w:val="20"/>
                <w:szCs w:val="20"/>
                <w:color w:val="auto"/>
              </w:rPr>
            </w:pPr>
            <w:r>
              <w:rPr>
                <w:rFonts w:ascii="Arial" w:cs="Arial" w:eastAsia="Arial" w:hAnsi="Arial"/>
                <w:sz w:val="16"/>
                <w:szCs w:val="16"/>
                <w:color w:val="auto"/>
              </w:rPr>
              <w:t>4.375% Notes due 2028</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ind w:right="2"/>
              <w:spacing w:after="0"/>
              <w:rPr>
                <w:sz w:val="20"/>
                <w:szCs w:val="20"/>
                <w:color w:val="auto"/>
              </w:rPr>
            </w:pPr>
            <w:r>
              <w:rPr>
                <w:rFonts w:ascii="Arial" w:cs="Arial" w:eastAsia="Arial" w:hAnsi="Arial"/>
                <w:sz w:val="16"/>
                <w:szCs w:val="16"/>
                <w:color w:val="auto"/>
              </w:rPr>
              <w:t>800</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ind w:right="2"/>
              <w:spacing w:after="0"/>
              <w:rPr>
                <w:sz w:val="20"/>
                <w:szCs w:val="20"/>
                <w:color w:val="auto"/>
              </w:rPr>
            </w:pPr>
            <w:r>
              <w:rPr>
                <w:rFonts w:ascii="Arial" w:cs="Arial" w:eastAsia="Arial" w:hAnsi="Arial"/>
                <w:sz w:val="16"/>
                <w:szCs w:val="16"/>
                <w:color w:val="auto"/>
              </w:rPr>
              <w:t>800</w:t>
            </w:r>
          </w:p>
        </w:tc>
      </w:tr>
      <w:tr>
        <w:trPr>
          <w:trHeight w:val="217"/>
        </w:trPr>
        <w:tc>
          <w:tcPr>
            <w:tcW w:w="80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3.875% Notes due 2030</w:t>
            </w: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650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650</w:t>
            </w:r>
          </w:p>
        </w:tc>
      </w:tr>
      <w:tr>
        <w:trPr>
          <w:trHeight w:val="215"/>
        </w:trPr>
        <w:tc>
          <w:tcPr>
            <w:tcW w:w="8020" w:type="dxa"/>
            <w:vAlign w:val="bottom"/>
          </w:tcPr>
          <w:p>
            <w:pPr>
              <w:ind w:left="140"/>
              <w:spacing w:after="0"/>
              <w:rPr>
                <w:sz w:val="20"/>
                <w:szCs w:val="20"/>
                <w:color w:val="auto"/>
              </w:rPr>
            </w:pPr>
            <w:r>
              <w:rPr>
                <w:rFonts w:ascii="Arial" w:cs="Arial" w:eastAsia="Arial" w:hAnsi="Arial"/>
                <w:sz w:val="16"/>
                <w:szCs w:val="16"/>
                <w:color w:val="auto"/>
              </w:rPr>
              <w:t>3.875% Notes due 2032</w:t>
            </w:r>
          </w:p>
        </w:tc>
        <w:tc>
          <w:tcPr>
            <w:tcW w:w="260" w:type="dxa"/>
            <w:vAlign w:val="bottom"/>
          </w:tcPr>
          <w:p>
            <w:pPr>
              <w:spacing w:after="0"/>
              <w:rPr>
                <w:sz w:val="18"/>
                <w:szCs w:val="18"/>
                <w:color w:val="auto"/>
              </w:rPr>
            </w:pPr>
          </w:p>
        </w:tc>
        <w:tc>
          <w:tcPr>
            <w:tcW w:w="1280" w:type="dxa"/>
            <w:vAlign w:val="bottom"/>
          </w:tcPr>
          <w:p>
            <w:pPr>
              <w:jc w:val="right"/>
              <w:ind w:right="2"/>
              <w:spacing w:after="0"/>
              <w:rPr>
                <w:sz w:val="20"/>
                <w:szCs w:val="20"/>
                <w:color w:val="auto"/>
              </w:rPr>
            </w:pPr>
            <w:r>
              <w:rPr>
                <w:rFonts w:ascii="Arial" w:cs="Arial" w:eastAsia="Arial" w:hAnsi="Arial"/>
                <w:sz w:val="16"/>
                <w:szCs w:val="16"/>
                <w:color w:val="auto"/>
              </w:rPr>
              <w:t>750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jc w:val="right"/>
              <w:ind w:right="2"/>
              <w:spacing w:after="0"/>
              <w:rPr>
                <w:sz w:val="20"/>
                <w:szCs w:val="20"/>
                <w:color w:val="auto"/>
              </w:rPr>
            </w:pPr>
            <w:r>
              <w:rPr>
                <w:rFonts w:ascii="Arial" w:cs="Arial" w:eastAsia="Arial" w:hAnsi="Arial"/>
                <w:sz w:val="16"/>
                <w:szCs w:val="16"/>
                <w:color w:val="auto"/>
              </w:rPr>
              <w:t>750</w:t>
            </w:r>
          </w:p>
        </w:tc>
      </w:tr>
      <w:tr>
        <w:trPr>
          <w:trHeight w:val="216"/>
        </w:trPr>
        <w:tc>
          <w:tcPr>
            <w:tcW w:w="80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Deferred debt issuance costs</w:t>
            </w:r>
          </w:p>
        </w:tc>
        <w:tc>
          <w:tcPr>
            <w:tcW w:w="2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w:t>
            </w:r>
          </w:p>
        </w:tc>
      </w:tr>
      <w:tr>
        <w:trPr>
          <w:trHeight w:val="210"/>
        </w:trPr>
        <w:tc>
          <w:tcPr>
            <w:tcW w:w="8020" w:type="dxa"/>
            <w:vAlign w:val="bottom"/>
          </w:tcPr>
          <w:p>
            <w:pPr>
              <w:ind w:left="360"/>
              <w:spacing w:after="0"/>
              <w:rPr>
                <w:sz w:val="20"/>
                <w:szCs w:val="20"/>
                <w:color w:val="auto"/>
              </w:rPr>
            </w:pPr>
            <w:r>
              <w:rPr>
                <w:rFonts w:ascii="Arial" w:cs="Arial" w:eastAsia="Arial" w:hAnsi="Arial"/>
                <w:sz w:val="16"/>
                <w:szCs w:val="16"/>
                <w:color w:val="auto"/>
              </w:rPr>
              <w:t>Total</w:t>
            </w: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2,180</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2,180</w:t>
            </w:r>
          </w:p>
        </w:tc>
      </w:tr>
      <w:tr>
        <w:trPr>
          <w:trHeight w:val="20"/>
        </w:trPr>
        <w:tc>
          <w:tcPr>
            <w:tcW w:w="80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Agreement</w:t>
      </w:r>
    </w:p>
    <w:p>
      <w:pPr>
        <w:spacing w:after="0" w:line="115"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We are party to a credit agreement (the “Credit Agreement”) which includes a revolving credit facility (“Credit Facility”) of $1.0 billion, among other provisions. The Credit Agreement has a term of five years, and all amounts outstanding will be due and payable on June 8, 2025. Borrowings under the Credit Agreement bear interest based, at our election, on a base rate or other defined rate, plus in each case, the applicable margin. In addition to interest payable on the principal amount of indebtedness outstanding from time to time under the Credit Agreement, we are required to pay a quarterly commitment fee.</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color w:val="auto"/>
        </w:rPr>
        <w:t>We have other relationships, including financial advisory and banking, with some parties to the Credit Agreement.</w:t>
      </w:r>
    </w:p>
    <w:p>
      <w:pPr>
        <w:spacing w:after="0" w:line="117"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color w:val="auto"/>
        </w:rPr>
        <w:t>The Credit Agreement contains customary non-financial and financial covenants. As of March 31, 2024, we were in compliance with all financial and non-financial covenants under the Credit Agreement. As of March 31, 2024, no amounts were outstanding under the Credit Facility.</w:t>
      </w:r>
    </w:p>
    <w:p>
      <w:pPr>
        <w:spacing w:after="0" w:line="200" w:lineRule="exact"/>
        <w:rPr>
          <w:sz w:val="20"/>
          <w:szCs w:val="20"/>
          <w:color w:val="auto"/>
        </w:rPr>
      </w:pPr>
    </w:p>
    <w:p>
      <w:pPr>
        <w:spacing w:after="0" w:line="30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March 31, 2024 Form 10-Q |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Senior Notes</w:t>
      </w:r>
    </w:p>
    <w:p>
      <w:pPr>
        <w:spacing w:after="0" w:line="11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Our senior notes are described below. Each of these notes are senior unsecured obligations of the parent corporation, Molina Healthcare, Inc., and rank equally in right of payment with all existing and future senior debt, and senior to all existing and future subordinated debt of Molina Healthcare, Inc. In addition, each of the indentures governing the senior notes contain customary non-financial covenants and change of control provisions. As of March 31, 2024, we were in compliance with all non-financial covenants in the indentures governing the senior notes.</w:t>
      </w:r>
    </w:p>
    <w:p>
      <w:pPr>
        <w:spacing w:after="0" w:line="71" w:lineRule="exact"/>
        <w:rPr>
          <w:sz w:val="20"/>
          <w:szCs w:val="20"/>
          <w:color w:val="auto"/>
        </w:rPr>
      </w:pPr>
    </w:p>
    <w:p>
      <w:pPr>
        <w:jc w:val="both"/>
        <w:ind w:right="40"/>
        <w:spacing w:after="0" w:line="287" w:lineRule="auto"/>
        <w:rPr>
          <w:sz w:val="20"/>
          <w:szCs w:val="20"/>
          <w:color w:val="auto"/>
        </w:rPr>
      </w:pPr>
      <w:r>
        <w:rPr>
          <w:rFonts w:ascii="Arial" w:cs="Arial" w:eastAsia="Arial" w:hAnsi="Arial"/>
          <w:sz w:val="18"/>
          <w:szCs w:val="18"/>
          <w:color w:val="auto"/>
        </w:rPr>
        <w:t>The indentures governing the senior notes contain cross-default provisions that are triggered upon default by us or any of our subsidiaries on any indebtedness in excess of the amount specified in the applicable indenture.</w:t>
      </w:r>
    </w:p>
    <w:p>
      <w:pPr>
        <w:spacing w:after="0" w:line="45" w:lineRule="exact"/>
        <w:rPr>
          <w:sz w:val="20"/>
          <w:szCs w:val="20"/>
          <w:color w:val="auto"/>
        </w:rPr>
      </w:pPr>
    </w:p>
    <w:p>
      <w:pPr>
        <w:jc w:val="both"/>
        <w:ind w:right="40"/>
        <w:spacing w:after="0" w:line="268" w:lineRule="auto"/>
        <w:rPr>
          <w:sz w:val="20"/>
          <w:szCs w:val="20"/>
          <w:color w:val="auto"/>
        </w:rPr>
      </w:pPr>
      <w:r>
        <w:rPr>
          <w:rFonts w:ascii="Arial" w:cs="Arial" w:eastAsia="Arial" w:hAnsi="Arial"/>
          <w:sz w:val="18"/>
          <w:szCs w:val="18"/>
          <w:i w:val="1"/>
          <w:iCs w:val="1"/>
          <w:color w:val="auto"/>
        </w:rPr>
        <w:t xml:space="preserve">4.375% Notes due 2028. </w:t>
      </w:r>
      <w:r>
        <w:rPr>
          <w:rFonts w:ascii="Arial" w:cs="Arial" w:eastAsia="Arial" w:hAnsi="Arial"/>
          <w:sz w:val="18"/>
          <w:szCs w:val="18"/>
          <w:color w:val="auto"/>
        </w:rPr>
        <w:t>We have $ 800 million aggregate principal amount of senior notes (the “4.375% Notes”) outstanding as of March 31,</w:t>
      </w:r>
      <w:r>
        <w:rPr>
          <w:rFonts w:ascii="Arial" w:cs="Arial" w:eastAsia="Arial" w:hAnsi="Arial"/>
          <w:sz w:val="18"/>
          <w:szCs w:val="18"/>
          <w:i w:val="1"/>
          <w:iCs w:val="1"/>
          <w:color w:val="auto"/>
        </w:rPr>
        <w:t xml:space="preserve"> </w:t>
      </w:r>
      <w:r>
        <w:rPr>
          <w:rFonts w:ascii="Arial" w:cs="Arial" w:eastAsia="Arial" w:hAnsi="Arial"/>
          <w:sz w:val="18"/>
          <w:szCs w:val="18"/>
          <w:color w:val="auto"/>
        </w:rPr>
        <w:t>2024, which are due June 15, 2028, unless earlier redeemed. Interest, at a rate of 4.375% per annum, is payable semiannually in arrears on June 15 and December 15.</w:t>
      </w:r>
    </w:p>
    <w:p>
      <w:pPr>
        <w:spacing w:after="0" w:line="63"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i w:val="1"/>
          <w:iCs w:val="1"/>
          <w:color w:val="auto"/>
        </w:rPr>
        <w:t xml:space="preserve">3.875% Notes due 2030. </w:t>
      </w:r>
      <w:r>
        <w:rPr>
          <w:rFonts w:ascii="Arial" w:cs="Arial" w:eastAsia="Arial" w:hAnsi="Arial"/>
          <w:sz w:val="18"/>
          <w:szCs w:val="18"/>
          <w:color w:val="auto"/>
        </w:rPr>
        <w:t>We have $650 million aggregate principal amount of senior notes (the “3.875% Notes due 2030”) outstanding as of</w:t>
      </w:r>
      <w:r>
        <w:rPr>
          <w:rFonts w:ascii="Arial" w:cs="Arial" w:eastAsia="Arial" w:hAnsi="Arial"/>
          <w:sz w:val="18"/>
          <w:szCs w:val="18"/>
          <w:i w:val="1"/>
          <w:iCs w:val="1"/>
          <w:color w:val="auto"/>
        </w:rPr>
        <w:t xml:space="preserve"> </w:t>
      </w:r>
      <w:r>
        <w:rPr>
          <w:rFonts w:ascii="Arial" w:cs="Arial" w:eastAsia="Arial" w:hAnsi="Arial"/>
          <w:sz w:val="18"/>
          <w:szCs w:val="18"/>
          <w:color w:val="auto"/>
        </w:rPr>
        <w:t>March 31, 2024, which are due November 15, 2030, unless earlier redeemed. Interest, at a rate of 3.875% per annum, is payable semiannually in arrears on May 15 and November 15.</w:t>
      </w:r>
    </w:p>
    <w:p>
      <w:pPr>
        <w:spacing w:after="0" w:line="63" w:lineRule="exact"/>
        <w:rPr>
          <w:sz w:val="20"/>
          <w:szCs w:val="20"/>
          <w:color w:val="auto"/>
        </w:rPr>
      </w:pPr>
    </w:p>
    <w:p>
      <w:pPr>
        <w:jc w:val="both"/>
        <w:ind w:right="80"/>
        <w:spacing w:after="0" w:line="268" w:lineRule="auto"/>
        <w:rPr>
          <w:sz w:val="20"/>
          <w:szCs w:val="20"/>
          <w:color w:val="auto"/>
        </w:rPr>
      </w:pPr>
      <w:r>
        <w:rPr>
          <w:rFonts w:ascii="Arial" w:cs="Arial" w:eastAsia="Arial" w:hAnsi="Arial"/>
          <w:sz w:val="18"/>
          <w:szCs w:val="18"/>
          <w:i w:val="1"/>
          <w:iCs w:val="1"/>
          <w:color w:val="auto"/>
        </w:rPr>
        <w:t xml:space="preserve">3.875% Notes due 2032. </w:t>
      </w:r>
      <w:r>
        <w:rPr>
          <w:rFonts w:ascii="Arial" w:cs="Arial" w:eastAsia="Arial" w:hAnsi="Arial"/>
          <w:sz w:val="18"/>
          <w:szCs w:val="18"/>
          <w:color w:val="auto"/>
        </w:rPr>
        <w:t>We have $ 750 million aggregate principal amount of senior notes (the “3.875% Notes due 2032”) outstanding as of</w:t>
      </w:r>
      <w:r>
        <w:rPr>
          <w:rFonts w:ascii="Arial" w:cs="Arial" w:eastAsia="Arial" w:hAnsi="Arial"/>
          <w:sz w:val="18"/>
          <w:szCs w:val="18"/>
          <w:i w:val="1"/>
          <w:iCs w:val="1"/>
          <w:color w:val="auto"/>
        </w:rPr>
        <w:t xml:space="preserve"> </w:t>
      </w:r>
      <w:r>
        <w:rPr>
          <w:rFonts w:ascii="Arial" w:cs="Arial" w:eastAsia="Arial" w:hAnsi="Arial"/>
          <w:sz w:val="18"/>
          <w:szCs w:val="18"/>
          <w:color w:val="auto"/>
        </w:rPr>
        <w:t>March 31, 2024, which are due May 15, 2032, unless earlier redeemed. Interest, at a rate of 3.875% per annum, is payable semiannually in arrears on May 15 and November 15.</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828282"/>
        </w:rPr>
        <w:t>9. Segments</w:t>
      </w:r>
    </w:p>
    <w:p>
      <w:pPr>
        <w:spacing w:after="0" w:line="117" w:lineRule="exact"/>
        <w:rPr>
          <w:sz w:val="20"/>
          <w:szCs w:val="20"/>
          <w:color w:val="auto"/>
        </w:rPr>
      </w:pPr>
    </w:p>
    <w:p>
      <w:pPr>
        <w:ind w:right="120"/>
        <w:spacing w:after="0" w:line="287" w:lineRule="auto"/>
        <w:rPr>
          <w:sz w:val="20"/>
          <w:szCs w:val="20"/>
          <w:color w:val="auto"/>
        </w:rPr>
      </w:pPr>
      <w:r>
        <w:rPr>
          <w:rFonts w:ascii="Arial" w:cs="Arial" w:eastAsia="Arial" w:hAnsi="Arial"/>
          <w:sz w:val="18"/>
          <w:szCs w:val="18"/>
          <w:color w:val="auto"/>
        </w:rPr>
        <w:t>We currently have four reportable segments consisting of: 1) Medicaid; 2) Medicare; 3) Marketplace; and 4) Other. Our reportable segments are consistent with how we currently manage the business and view the markets we serve.</w:t>
      </w:r>
    </w:p>
    <w:p>
      <w:pPr>
        <w:spacing w:after="0" w:line="45" w:lineRule="exact"/>
        <w:rPr>
          <w:sz w:val="20"/>
          <w:szCs w:val="20"/>
          <w:color w:val="auto"/>
        </w:rPr>
      </w:pPr>
    </w:p>
    <w:p>
      <w:pPr>
        <w:jc w:val="both"/>
        <w:ind w:right="700"/>
        <w:spacing w:after="0" w:line="268" w:lineRule="auto"/>
        <w:rPr>
          <w:sz w:val="20"/>
          <w:szCs w:val="20"/>
          <w:color w:val="auto"/>
        </w:rPr>
      </w:pPr>
      <w:r>
        <w:rPr>
          <w:rFonts w:ascii="Arial" w:cs="Arial" w:eastAsia="Arial" w:hAnsi="Arial"/>
          <w:sz w:val="18"/>
          <w:szCs w:val="18"/>
          <w:color w:val="auto"/>
        </w:rPr>
        <w:t>The Medicaid, Medicare, and Marketplace segments represent the government-funded or sponsored programs under which we offer managed healthcare services. The Other segment, which is insignificant to our consolidated results of operations, includes long-term services and supports consultative services in Wisconsin.</w:t>
      </w:r>
    </w:p>
    <w:p>
      <w:pPr>
        <w:spacing w:after="0" w:line="63"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The key metrics used to assess the performance of our Medicaid, Medicare, and Marketplace segments are premium revenue, medical margin and medical care ratio (“MCR”). MCR represents the amount of medical care costs as a percentage of premium revenue. Therefore, the underlying medical margin, or the amount earned by the Medicaid, Medicare, and Marketplace segments after medical costs are deducted from premium revenue, represents the most important measure of earnings reviewed by management, and is used by our chief executive officer to review results, assess performance, and allocate resources. The key metric used to assess the performance of our Other segment is service margin. The service margin is equal to service revenue minus cost of service revenue. We do not report total assets by segment since this is not a metric used to assess segment performance or allocate resources.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total revenue by segment. Inter-segment revenue was insignificant for all periods presented.</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8060" w:type="dxa"/>
            <w:vAlign w:val="bottom"/>
          </w:tcPr>
          <w:p>
            <w:pPr>
              <w:spacing w:after="0"/>
              <w:rPr>
                <w:sz w:val="17"/>
                <w:szCs w:val="17"/>
                <w:color w:val="auto"/>
              </w:rPr>
            </w:pPr>
          </w:p>
        </w:tc>
        <w:tc>
          <w:tcPr>
            <w:tcW w:w="26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March 31,</w:t>
            </w:r>
          </w:p>
        </w:tc>
        <w:tc>
          <w:tcPr>
            <w:tcW w:w="500" w:type="dxa"/>
            <w:vAlign w:val="bottom"/>
            <w:tcBorders>
              <w:bottom w:val="single" w:sz="8" w:color="auto"/>
            </w:tcBorders>
          </w:tcPr>
          <w:p>
            <w:pPr>
              <w:spacing w:after="0"/>
              <w:rPr>
                <w:sz w:val="17"/>
                <w:szCs w:val="17"/>
                <w:color w:val="auto"/>
              </w:rPr>
            </w:pPr>
          </w:p>
        </w:tc>
      </w:tr>
      <w:tr>
        <w:trPr>
          <w:trHeight w:val="196"/>
        </w:trPr>
        <w:tc>
          <w:tcPr>
            <w:tcW w:w="8060" w:type="dxa"/>
            <w:vAlign w:val="bottom"/>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2024</w:t>
            </w:r>
          </w:p>
        </w:tc>
        <w:tc>
          <w:tcPr>
            <w:tcW w:w="5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Borders>
              <w:bottom w:val="single" w:sz="8" w:color="auto"/>
            </w:tcBorders>
          </w:tcPr>
          <w:p>
            <w:pPr>
              <w:jc w:val="right"/>
              <w:ind w:right="22"/>
              <w:spacing w:after="0"/>
              <w:rPr>
                <w:sz w:val="20"/>
                <w:szCs w:val="20"/>
                <w:color w:val="auto"/>
              </w:rPr>
            </w:pPr>
            <w:r>
              <w:rPr>
                <w:rFonts w:ascii="Arial" w:cs="Arial" w:eastAsia="Arial" w:hAnsi="Arial"/>
                <w:sz w:val="14"/>
                <w:szCs w:val="14"/>
                <w:b w:val="1"/>
                <w:bCs w:val="1"/>
                <w:color w:val="auto"/>
              </w:rPr>
              <w:t>2023</w:t>
            </w:r>
          </w:p>
        </w:tc>
        <w:tc>
          <w:tcPr>
            <w:tcW w:w="500" w:type="dxa"/>
            <w:vAlign w:val="bottom"/>
            <w:tcBorders>
              <w:bottom w:val="single" w:sz="8" w:color="auto"/>
            </w:tcBorders>
          </w:tcPr>
          <w:p>
            <w:pPr>
              <w:spacing w:after="0"/>
              <w:rPr>
                <w:sz w:val="17"/>
                <w:szCs w:val="17"/>
                <w:color w:val="auto"/>
              </w:rPr>
            </w:pPr>
          </w:p>
        </w:tc>
      </w:tr>
      <w:tr>
        <w:trPr>
          <w:trHeight w:val="237"/>
        </w:trPr>
        <w:tc>
          <w:tcPr>
            <w:tcW w:w="80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700" w:type="dxa"/>
            <w:vAlign w:val="bottom"/>
            <w:gridSpan w:val="3"/>
          </w:tcPr>
          <w:p>
            <w:pPr>
              <w:jc w:val="right"/>
              <w:ind w:right="602"/>
              <w:spacing w:after="0"/>
              <w:rPr>
                <w:sz w:val="20"/>
                <w:szCs w:val="20"/>
                <w:color w:val="auto"/>
              </w:rPr>
            </w:pPr>
            <w:r>
              <w:rPr>
                <w:rFonts w:ascii="Arial" w:cs="Arial" w:eastAsia="Arial" w:hAnsi="Arial"/>
                <w:sz w:val="14"/>
                <w:szCs w:val="14"/>
                <w:b w:val="1"/>
                <w:bCs w:val="1"/>
                <w:color w:val="auto"/>
              </w:rPr>
              <w:t>(In millions)</w:t>
            </w:r>
          </w:p>
        </w:tc>
        <w:tc>
          <w:tcPr>
            <w:tcW w:w="500" w:type="dxa"/>
            <w:vAlign w:val="bottom"/>
          </w:tcPr>
          <w:p>
            <w:pPr>
              <w:spacing w:after="0"/>
              <w:rPr>
                <w:sz w:val="20"/>
                <w:szCs w:val="20"/>
                <w:color w:val="auto"/>
              </w:rPr>
            </w:pPr>
          </w:p>
        </w:tc>
      </w:tr>
      <w:tr>
        <w:trPr>
          <w:trHeight w:val="217"/>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revenue:</w:t>
            </w:r>
          </w:p>
        </w:tc>
        <w:tc>
          <w:tcPr>
            <w:tcW w:w="9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r>
      <w:tr>
        <w:trPr>
          <w:trHeight w:val="215"/>
        </w:trPr>
        <w:tc>
          <w:tcPr>
            <w:tcW w:w="8060" w:type="dxa"/>
            <w:vAlign w:val="bottom"/>
          </w:tcPr>
          <w:p>
            <w:pPr>
              <w:ind w:left="220"/>
              <w:spacing w:after="0"/>
              <w:rPr>
                <w:sz w:val="20"/>
                <w:szCs w:val="20"/>
                <w:color w:val="auto"/>
              </w:rPr>
            </w:pPr>
            <w:r>
              <w:rPr>
                <w:rFonts w:ascii="Arial" w:cs="Arial" w:eastAsia="Arial" w:hAnsi="Arial"/>
                <w:sz w:val="16"/>
                <w:szCs w:val="16"/>
                <w:color w:val="auto"/>
              </w:rPr>
              <w:t>Medicaid</w:t>
            </w:r>
          </w:p>
        </w:tc>
        <w:tc>
          <w:tcPr>
            <w:tcW w:w="980" w:type="dxa"/>
            <w:vAlign w:val="bottom"/>
          </w:tcPr>
          <w:p>
            <w:pPr>
              <w:jc w:val="right"/>
              <w:ind w:right="804"/>
              <w:spacing w:after="0"/>
              <w:rPr>
                <w:sz w:val="20"/>
                <w:szCs w:val="20"/>
                <w:color w:val="auto"/>
              </w:rPr>
            </w:pPr>
            <w:r>
              <w:rPr>
                <w:rFonts w:ascii="Arial" w:cs="Arial" w:eastAsia="Arial" w:hAnsi="Arial"/>
                <w:sz w:val="16"/>
                <w:szCs w:val="16"/>
                <w:color w:val="auto"/>
                <w:w w:val="89"/>
              </w:rPr>
              <w:t>$</w:t>
            </w:r>
          </w:p>
        </w:tc>
        <w:tc>
          <w:tcPr>
            <w:tcW w:w="560" w:type="dxa"/>
            <w:vAlign w:val="bottom"/>
          </w:tcPr>
          <w:p>
            <w:pPr>
              <w:jc w:val="right"/>
              <w:ind w:right="1"/>
              <w:spacing w:after="0"/>
              <w:rPr>
                <w:sz w:val="20"/>
                <w:szCs w:val="20"/>
                <w:color w:val="auto"/>
              </w:rPr>
            </w:pPr>
            <w:r>
              <w:rPr>
                <w:rFonts w:ascii="Arial" w:cs="Arial" w:eastAsia="Arial" w:hAnsi="Arial"/>
                <w:sz w:val="16"/>
                <w:szCs w:val="16"/>
                <w:color w:val="auto"/>
              </w:rPr>
              <w:t>7,873</w:t>
            </w:r>
          </w:p>
        </w:tc>
        <w:tc>
          <w:tcPr>
            <w:tcW w:w="100" w:type="dxa"/>
            <w:vAlign w:val="bottom"/>
          </w:tcPr>
          <w:p>
            <w:pPr>
              <w:spacing w:after="0"/>
              <w:rPr>
                <w:sz w:val="18"/>
                <w:szCs w:val="18"/>
                <w:color w:val="auto"/>
              </w:rPr>
            </w:pPr>
          </w:p>
        </w:tc>
        <w:tc>
          <w:tcPr>
            <w:tcW w:w="1040" w:type="dxa"/>
            <w:vAlign w:val="bottom"/>
          </w:tcPr>
          <w:p>
            <w:pPr>
              <w:jc w:val="right"/>
              <w:ind w:right="862"/>
              <w:spacing w:after="0"/>
              <w:rPr>
                <w:sz w:val="20"/>
                <w:szCs w:val="20"/>
                <w:color w:val="auto"/>
              </w:rPr>
            </w:pPr>
            <w:r>
              <w:rPr>
                <w:rFonts w:ascii="Arial" w:cs="Arial" w:eastAsia="Arial" w:hAnsi="Arial"/>
                <w:sz w:val="16"/>
                <w:szCs w:val="16"/>
                <w:color w:val="auto"/>
                <w:w w:val="89"/>
              </w:rPr>
              <w:t>$</w:t>
            </w:r>
          </w:p>
        </w:tc>
        <w:tc>
          <w:tcPr>
            <w:tcW w:w="500" w:type="dxa"/>
            <w:vAlign w:val="bottom"/>
          </w:tcPr>
          <w:p>
            <w:pPr>
              <w:jc w:val="right"/>
              <w:spacing w:after="0"/>
              <w:rPr>
                <w:sz w:val="20"/>
                <w:szCs w:val="20"/>
                <w:color w:val="auto"/>
              </w:rPr>
            </w:pPr>
            <w:r>
              <w:rPr>
                <w:rFonts w:ascii="Arial" w:cs="Arial" w:eastAsia="Arial" w:hAnsi="Arial"/>
                <w:sz w:val="16"/>
                <w:szCs w:val="16"/>
                <w:color w:val="auto"/>
                <w:w w:val="99"/>
              </w:rPr>
              <w:t>6,578</w:t>
            </w:r>
          </w:p>
        </w:tc>
      </w:tr>
      <w:tr>
        <w:trPr>
          <w:trHeight w:val="217"/>
        </w:trPr>
        <w:tc>
          <w:tcPr>
            <w:tcW w:w="80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Medicare</w:t>
            </w:r>
          </w:p>
        </w:tc>
        <w:tc>
          <w:tcPr>
            <w:tcW w:w="98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1,457</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9"/>
              </w:rPr>
              <w:t>1,056</w:t>
            </w:r>
          </w:p>
        </w:tc>
      </w:tr>
      <w:tr>
        <w:trPr>
          <w:trHeight w:val="215"/>
        </w:trPr>
        <w:tc>
          <w:tcPr>
            <w:tcW w:w="8060" w:type="dxa"/>
            <w:vAlign w:val="bottom"/>
          </w:tcPr>
          <w:p>
            <w:pPr>
              <w:ind w:left="220"/>
              <w:spacing w:after="0"/>
              <w:rPr>
                <w:sz w:val="20"/>
                <w:szCs w:val="20"/>
                <w:color w:val="auto"/>
              </w:rPr>
            </w:pPr>
            <w:r>
              <w:rPr>
                <w:rFonts w:ascii="Arial" w:cs="Arial" w:eastAsia="Arial" w:hAnsi="Arial"/>
                <w:sz w:val="16"/>
                <w:szCs w:val="16"/>
                <w:color w:val="auto"/>
              </w:rPr>
              <w:t>Marketplace</w:t>
            </w:r>
          </w:p>
        </w:tc>
        <w:tc>
          <w:tcPr>
            <w:tcW w:w="980" w:type="dxa"/>
            <w:vAlign w:val="bottom"/>
          </w:tcPr>
          <w:p>
            <w:pPr>
              <w:spacing w:after="0"/>
              <w:rPr>
                <w:sz w:val="18"/>
                <w:szCs w:val="18"/>
                <w:color w:val="auto"/>
              </w:rPr>
            </w:pPr>
          </w:p>
        </w:tc>
        <w:tc>
          <w:tcPr>
            <w:tcW w:w="560" w:type="dxa"/>
            <w:vAlign w:val="bottom"/>
          </w:tcPr>
          <w:p>
            <w:pPr>
              <w:jc w:val="right"/>
              <w:ind w:right="1"/>
              <w:spacing w:after="0"/>
              <w:rPr>
                <w:sz w:val="20"/>
                <w:szCs w:val="20"/>
                <w:color w:val="auto"/>
              </w:rPr>
            </w:pPr>
            <w:r>
              <w:rPr>
                <w:rFonts w:ascii="Arial" w:cs="Arial" w:eastAsia="Arial" w:hAnsi="Arial"/>
                <w:sz w:val="16"/>
                <w:szCs w:val="16"/>
                <w:color w:val="auto"/>
              </w:rPr>
              <w:t>581</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497</w:t>
            </w:r>
          </w:p>
        </w:tc>
      </w:tr>
      <w:tr>
        <w:trPr>
          <w:trHeight w:val="216"/>
        </w:trPr>
        <w:tc>
          <w:tcPr>
            <w:tcW w:w="80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w:t>
            </w:r>
          </w:p>
        </w:tc>
        <w:tc>
          <w:tcPr>
            <w:tcW w:w="98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20</w:t>
            </w:r>
          </w:p>
        </w:tc>
        <w:tc>
          <w:tcPr>
            <w:tcW w:w="100" w:type="dxa"/>
            <w:vAlign w:val="bottom"/>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w:t>
            </w:r>
          </w:p>
        </w:tc>
      </w:tr>
      <w:tr>
        <w:trPr>
          <w:trHeight w:val="210"/>
        </w:trPr>
        <w:tc>
          <w:tcPr>
            <w:tcW w:w="8060" w:type="dxa"/>
            <w:vAlign w:val="bottom"/>
          </w:tcPr>
          <w:p>
            <w:pPr>
              <w:ind w:left="480"/>
              <w:spacing w:after="0"/>
              <w:rPr>
                <w:sz w:val="20"/>
                <w:szCs w:val="20"/>
                <w:color w:val="auto"/>
              </w:rPr>
            </w:pPr>
            <w:r>
              <w:rPr>
                <w:rFonts w:ascii="Arial" w:cs="Arial" w:eastAsia="Arial" w:hAnsi="Arial"/>
                <w:sz w:val="16"/>
                <w:szCs w:val="16"/>
                <w:color w:val="auto"/>
              </w:rPr>
              <w:t>Consolidated</w:t>
            </w:r>
          </w:p>
        </w:tc>
        <w:tc>
          <w:tcPr>
            <w:tcW w:w="980" w:type="dxa"/>
            <w:vAlign w:val="bottom"/>
            <w:tcBorders>
              <w:bottom w:val="single" w:sz="8" w:color="auto"/>
            </w:tcBorders>
          </w:tcPr>
          <w:p>
            <w:pPr>
              <w:jc w:val="right"/>
              <w:ind w:right="804"/>
              <w:spacing w:after="0"/>
              <w:rPr>
                <w:sz w:val="20"/>
                <w:szCs w:val="20"/>
                <w:color w:val="auto"/>
              </w:rPr>
            </w:pPr>
            <w:r>
              <w:rPr>
                <w:rFonts w:ascii="Arial" w:cs="Arial" w:eastAsia="Arial" w:hAnsi="Arial"/>
                <w:sz w:val="16"/>
                <w:szCs w:val="16"/>
                <w:color w:val="auto"/>
                <w:w w:val="89"/>
              </w:rPr>
              <w:t>$</w:t>
            </w:r>
          </w:p>
        </w:tc>
        <w:tc>
          <w:tcPr>
            <w:tcW w:w="5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9,931</w:t>
            </w:r>
          </w:p>
        </w:tc>
        <w:tc>
          <w:tcPr>
            <w:tcW w:w="100" w:type="dxa"/>
            <w:vAlign w:val="bottom"/>
          </w:tcPr>
          <w:p>
            <w:pPr>
              <w:spacing w:after="0"/>
              <w:rPr>
                <w:sz w:val="18"/>
                <w:szCs w:val="18"/>
                <w:color w:val="auto"/>
              </w:rPr>
            </w:pPr>
          </w:p>
        </w:tc>
        <w:tc>
          <w:tcPr>
            <w:tcW w:w="1040" w:type="dxa"/>
            <w:vAlign w:val="bottom"/>
            <w:tcBorders>
              <w:bottom w:val="single" w:sz="8" w:color="auto"/>
            </w:tcBorders>
          </w:tcPr>
          <w:p>
            <w:pPr>
              <w:jc w:val="right"/>
              <w:ind w:right="862"/>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9"/>
              </w:rPr>
              <w:t>8,149</w:t>
            </w:r>
          </w:p>
        </w:tc>
      </w:tr>
      <w:tr>
        <w:trPr>
          <w:trHeight w:val="20"/>
        </w:trPr>
        <w:tc>
          <w:tcPr>
            <w:tcW w:w="80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March 31, 2024 Form 10-Q | 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reconciles margin by segment to consolidated income before income tax expense:</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8060" w:type="dxa"/>
            <w:vAlign w:val="bottom"/>
          </w:tcPr>
          <w:p>
            <w:pPr>
              <w:spacing w:after="0"/>
              <w:rPr>
                <w:sz w:val="17"/>
                <w:szCs w:val="17"/>
                <w:color w:val="auto"/>
              </w:rPr>
            </w:pPr>
          </w:p>
        </w:tc>
        <w:tc>
          <w:tcPr>
            <w:tcW w:w="26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March 31,</w:t>
            </w:r>
          </w:p>
        </w:tc>
        <w:tc>
          <w:tcPr>
            <w:tcW w:w="500" w:type="dxa"/>
            <w:vAlign w:val="bottom"/>
            <w:tcBorders>
              <w:bottom w:val="single" w:sz="8" w:color="auto"/>
            </w:tcBorders>
          </w:tcPr>
          <w:p>
            <w:pPr>
              <w:spacing w:after="0"/>
              <w:rPr>
                <w:sz w:val="17"/>
                <w:szCs w:val="17"/>
                <w:color w:val="auto"/>
              </w:rPr>
            </w:pPr>
          </w:p>
        </w:tc>
      </w:tr>
      <w:tr>
        <w:trPr>
          <w:trHeight w:val="196"/>
        </w:trPr>
        <w:tc>
          <w:tcPr>
            <w:tcW w:w="8060" w:type="dxa"/>
            <w:vAlign w:val="bottom"/>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2024</w:t>
            </w:r>
          </w:p>
        </w:tc>
        <w:tc>
          <w:tcPr>
            <w:tcW w:w="5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Borders>
              <w:bottom w:val="single" w:sz="8" w:color="auto"/>
            </w:tcBorders>
          </w:tcPr>
          <w:p>
            <w:pPr>
              <w:jc w:val="right"/>
              <w:ind w:right="22"/>
              <w:spacing w:after="0"/>
              <w:rPr>
                <w:sz w:val="20"/>
                <w:szCs w:val="20"/>
                <w:color w:val="auto"/>
              </w:rPr>
            </w:pPr>
            <w:r>
              <w:rPr>
                <w:rFonts w:ascii="Arial" w:cs="Arial" w:eastAsia="Arial" w:hAnsi="Arial"/>
                <w:sz w:val="14"/>
                <w:szCs w:val="14"/>
                <w:b w:val="1"/>
                <w:bCs w:val="1"/>
                <w:color w:val="auto"/>
              </w:rPr>
              <w:t>2023</w:t>
            </w:r>
          </w:p>
        </w:tc>
        <w:tc>
          <w:tcPr>
            <w:tcW w:w="500" w:type="dxa"/>
            <w:vAlign w:val="bottom"/>
            <w:tcBorders>
              <w:bottom w:val="single" w:sz="8" w:color="auto"/>
            </w:tcBorders>
          </w:tcPr>
          <w:p>
            <w:pPr>
              <w:spacing w:after="0"/>
              <w:rPr>
                <w:sz w:val="17"/>
                <w:szCs w:val="17"/>
                <w:color w:val="auto"/>
              </w:rPr>
            </w:pPr>
          </w:p>
        </w:tc>
      </w:tr>
      <w:tr>
        <w:trPr>
          <w:trHeight w:val="237"/>
        </w:trPr>
        <w:tc>
          <w:tcPr>
            <w:tcW w:w="80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720" w:type="dxa"/>
            <w:vAlign w:val="bottom"/>
            <w:gridSpan w:val="3"/>
          </w:tcPr>
          <w:p>
            <w:pPr>
              <w:jc w:val="right"/>
              <w:ind w:right="602"/>
              <w:spacing w:after="0"/>
              <w:rPr>
                <w:sz w:val="20"/>
                <w:szCs w:val="20"/>
                <w:color w:val="auto"/>
              </w:rPr>
            </w:pPr>
            <w:r>
              <w:rPr>
                <w:rFonts w:ascii="Arial" w:cs="Arial" w:eastAsia="Arial" w:hAnsi="Arial"/>
                <w:sz w:val="14"/>
                <w:szCs w:val="14"/>
                <w:b w:val="1"/>
                <w:bCs w:val="1"/>
                <w:color w:val="auto"/>
              </w:rPr>
              <w:t>(In millions)</w:t>
            </w:r>
          </w:p>
        </w:tc>
        <w:tc>
          <w:tcPr>
            <w:tcW w:w="500" w:type="dxa"/>
            <w:vAlign w:val="bottom"/>
          </w:tcPr>
          <w:p>
            <w:pPr>
              <w:spacing w:after="0"/>
              <w:rPr>
                <w:sz w:val="20"/>
                <w:szCs w:val="20"/>
                <w:color w:val="auto"/>
              </w:rPr>
            </w:pPr>
          </w:p>
        </w:tc>
      </w:tr>
      <w:tr>
        <w:trPr>
          <w:trHeight w:val="217"/>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Margin:</w:t>
            </w:r>
          </w:p>
        </w:tc>
        <w:tc>
          <w:tcPr>
            <w:tcW w:w="9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r>
      <w:tr>
        <w:trPr>
          <w:trHeight w:val="215"/>
        </w:trPr>
        <w:tc>
          <w:tcPr>
            <w:tcW w:w="8060" w:type="dxa"/>
            <w:vAlign w:val="bottom"/>
          </w:tcPr>
          <w:p>
            <w:pPr>
              <w:ind w:left="220"/>
              <w:spacing w:after="0"/>
              <w:rPr>
                <w:sz w:val="20"/>
                <w:szCs w:val="20"/>
                <w:color w:val="auto"/>
              </w:rPr>
            </w:pPr>
            <w:r>
              <w:rPr>
                <w:rFonts w:ascii="Arial" w:cs="Arial" w:eastAsia="Arial" w:hAnsi="Arial"/>
                <w:sz w:val="16"/>
                <w:szCs w:val="16"/>
                <w:color w:val="auto"/>
              </w:rPr>
              <w:t>Medicaid</w:t>
            </w:r>
          </w:p>
        </w:tc>
        <w:tc>
          <w:tcPr>
            <w:tcW w:w="960" w:type="dxa"/>
            <w:vAlign w:val="bottom"/>
          </w:tcPr>
          <w:p>
            <w:pPr>
              <w:jc w:val="right"/>
              <w:ind w:right="784"/>
              <w:spacing w:after="0"/>
              <w:rPr>
                <w:sz w:val="20"/>
                <w:szCs w:val="20"/>
                <w:color w:val="auto"/>
              </w:rPr>
            </w:pPr>
            <w:r>
              <w:rPr>
                <w:rFonts w:ascii="Arial" w:cs="Arial" w:eastAsia="Arial" w:hAnsi="Arial"/>
                <w:sz w:val="16"/>
                <w:szCs w:val="16"/>
                <w:color w:val="auto"/>
                <w:w w:val="89"/>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775</w:t>
            </w:r>
          </w:p>
        </w:tc>
        <w:tc>
          <w:tcPr>
            <w:tcW w:w="100" w:type="dxa"/>
            <w:vAlign w:val="bottom"/>
          </w:tcPr>
          <w:p>
            <w:pPr>
              <w:spacing w:after="0"/>
              <w:rPr>
                <w:sz w:val="18"/>
                <w:szCs w:val="18"/>
                <w:color w:val="auto"/>
              </w:rPr>
            </w:pPr>
          </w:p>
        </w:tc>
        <w:tc>
          <w:tcPr>
            <w:tcW w:w="1040" w:type="dxa"/>
            <w:vAlign w:val="bottom"/>
          </w:tcPr>
          <w:p>
            <w:pPr>
              <w:jc w:val="right"/>
              <w:ind w:right="862"/>
              <w:spacing w:after="0"/>
              <w:rPr>
                <w:sz w:val="20"/>
                <w:szCs w:val="20"/>
                <w:color w:val="auto"/>
              </w:rPr>
            </w:pPr>
            <w:r>
              <w:rPr>
                <w:rFonts w:ascii="Arial" w:cs="Arial" w:eastAsia="Arial" w:hAnsi="Arial"/>
                <w:sz w:val="16"/>
                <w:szCs w:val="16"/>
                <w:color w:val="auto"/>
                <w:w w:val="89"/>
              </w:rPr>
              <w:t>$</w:t>
            </w:r>
          </w:p>
        </w:tc>
        <w:tc>
          <w:tcPr>
            <w:tcW w:w="500" w:type="dxa"/>
            <w:vAlign w:val="bottom"/>
          </w:tcPr>
          <w:p>
            <w:pPr>
              <w:jc w:val="right"/>
              <w:spacing w:after="0"/>
              <w:rPr>
                <w:sz w:val="20"/>
                <w:szCs w:val="20"/>
                <w:color w:val="auto"/>
              </w:rPr>
            </w:pPr>
            <w:r>
              <w:rPr>
                <w:rFonts w:ascii="Arial" w:cs="Arial" w:eastAsia="Arial" w:hAnsi="Arial"/>
                <w:sz w:val="16"/>
                <w:szCs w:val="16"/>
                <w:color w:val="auto"/>
              </w:rPr>
              <w:t>734</w:t>
            </w:r>
          </w:p>
        </w:tc>
      </w:tr>
      <w:tr>
        <w:trPr>
          <w:trHeight w:val="217"/>
        </w:trPr>
        <w:tc>
          <w:tcPr>
            <w:tcW w:w="80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Medicare</w:t>
            </w:r>
          </w:p>
        </w:tc>
        <w:tc>
          <w:tcPr>
            <w:tcW w:w="9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163</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w:t>
            </w:r>
          </w:p>
        </w:tc>
      </w:tr>
      <w:tr>
        <w:trPr>
          <w:trHeight w:val="215"/>
        </w:trPr>
        <w:tc>
          <w:tcPr>
            <w:tcW w:w="8060" w:type="dxa"/>
            <w:vAlign w:val="bottom"/>
          </w:tcPr>
          <w:p>
            <w:pPr>
              <w:ind w:left="220"/>
              <w:spacing w:after="0"/>
              <w:rPr>
                <w:sz w:val="20"/>
                <w:szCs w:val="20"/>
                <w:color w:val="auto"/>
              </w:rPr>
            </w:pPr>
            <w:r>
              <w:rPr>
                <w:rFonts w:ascii="Arial" w:cs="Arial" w:eastAsia="Arial" w:hAnsi="Arial"/>
                <w:sz w:val="16"/>
                <w:szCs w:val="16"/>
                <w:color w:val="auto"/>
              </w:rPr>
              <w:t>Marketplace</w:t>
            </w:r>
          </w:p>
        </w:tc>
        <w:tc>
          <w:tcPr>
            <w:tcW w:w="9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152</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154</w:t>
            </w:r>
          </w:p>
        </w:tc>
      </w:tr>
      <w:tr>
        <w:trPr>
          <w:trHeight w:val="217"/>
        </w:trPr>
        <w:tc>
          <w:tcPr>
            <w:tcW w:w="80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w:t>
            </w:r>
          </w:p>
        </w:tc>
        <w:tc>
          <w:tcPr>
            <w:tcW w:w="96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w:t>
            </w:r>
          </w:p>
        </w:tc>
      </w:tr>
      <w:tr>
        <w:trPr>
          <w:trHeight w:val="209"/>
        </w:trPr>
        <w:tc>
          <w:tcPr>
            <w:tcW w:w="8060" w:type="dxa"/>
            <w:vAlign w:val="bottom"/>
          </w:tcPr>
          <w:p>
            <w:pPr>
              <w:ind w:left="360"/>
              <w:spacing w:after="0"/>
              <w:rPr>
                <w:sz w:val="20"/>
                <w:szCs w:val="20"/>
                <w:color w:val="auto"/>
              </w:rPr>
            </w:pPr>
            <w:r>
              <w:rPr>
                <w:rFonts w:ascii="Arial" w:cs="Arial" w:eastAsia="Arial" w:hAnsi="Arial"/>
                <w:sz w:val="16"/>
                <w:szCs w:val="16"/>
                <w:color w:val="auto"/>
              </w:rPr>
              <w:t>Total margin</w:t>
            </w:r>
          </w:p>
        </w:tc>
        <w:tc>
          <w:tcPr>
            <w:tcW w:w="9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1,092</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w w:val="99"/>
              </w:rPr>
              <w:t>1,016</w:t>
            </w:r>
          </w:p>
        </w:tc>
      </w:tr>
      <w:tr>
        <w:trPr>
          <w:trHeight w:val="217"/>
        </w:trPr>
        <w:tc>
          <w:tcPr>
            <w:tcW w:w="8060" w:type="dxa"/>
            <w:vAlign w:val="bottom"/>
            <w:shd w:val="clear" w:color="auto" w:fill="CCEEFF"/>
          </w:tcPr>
          <w:p>
            <w:pPr>
              <w:ind w:left="20"/>
              <w:spacing w:after="0" w:line="217" w:lineRule="exact"/>
              <w:rPr>
                <w:sz w:val="20"/>
                <w:szCs w:val="20"/>
                <w:color w:val="auto"/>
              </w:rPr>
            </w:pPr>
            <w:r>
              <w:rPr>
                <w:rFonts w:ascii="Arial" w:cs="Arial" w:eastAsia="Arial" w:hAnsi="Arial"/>
                <w:sz w:val="16"/>
                <w:szCs w:val="16"/>
                <w:color w:val="auto"/>
              </w:rPr>
              <w:t xml:space="preserve">Add: other operating revenues </w:t>
            </w:r>
            <w:r>
              <w:rPr>
                <w:rFonts w:ascii="Arial" w:cs="Arial" w:eastAsia="Arial" w:hAnsi="Arial"/>
                <w:sz w:val="21"/>
                <w:szCs w:val="21"/>
                <w:color w:val="auto"/>
                <w:vertAlign w:val="superscript"/>
              </w:rPr>
              <w:t>(1)</w:t>
            </w:r>
          </w:p>
        </w:tc>
        <w:tc>
          <w:tcPr>
            <w:tcW w:w="9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407</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246</w:t>
            </w:r>
          </w:p>
        </w:tc>
      </w:tr>
      <w:tr>
        <w:trPr>
          <w:trHeight w:val="216"/>
        </w:trPr>
        <w:tc>
          <w:tcPr>
            <w:tcW w:w="8060" w:type="dxa"/>
            <w:vAlign w:val="bottom"/>
            <w:tcBorders>
              <w:bottom w:val="single" w:sz="8" w:color="CCEEFF"/>
            </w:tcBorders>
          </w:tcPr>
          <w:p>
            <w:pPr>
              <w:ind w:left="20"/>
              <w:spacing w:after="0" w:line="216" w:lineRule="exact"/>
              <w:rPr>
                <w:sz w:val="20"/>
                <w:szCs w:val="20"/>
                <w:color w:val="auto"/>
              </w:rPr>
            </w:pPr>
            <w:r>
              <w:rPr>
                <w:rFonts w:ascii="Arial" w:cs="Arial" w:eastAsia="Arial" w:hAnsi="Arial"/>
                <w:sz w:val="16"/>
                <w:szCs w:val="16"/>
                <w:color w:val="auto"/>
              </w:rPr>
              <w:t xml:space="preserve">Less: other operating expenses </w:t>
            </w:r>
            <w:r>
              <w:rPr>
                <w:rFonts w:ascii="Arial" w:cs="Arial" w:eastAsia="Arial" w:hAnsi="Arial"/>
                <w:sz w:val="21"/>
                <w:szCs w:val="21"/>
                <w:color w:val="auto"/>
                <w:vertAlign w:val="superscript"/>
              </w:rPr>
              <w:t>(2)</w:t>
            </w:r>
          </w:p>
        </w:tc>
        <w:tc>
          <w:tcPr>
            <w:tcW w:w="9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(1,073)</w:t>
            </w:r>
          </w:p>
        </w:tc>
        <w:tc>
          <w:tcPr>
            <w:tcW w:w="10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(807)</w:t>
            </w:r>
          </w:p>
        </w:tc>
      </w:tr>
      <w:tr>
        <w:trPr>
          <w:trHeight w:val="209"/>
        </w:trPr>
        <w:tc>
          <w:tcPr>
            <w:tcW w:w="80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Operating income</w:t>
            </w:r>
          </w:p>
        </w:tc>
        <w:tc>
          <w:tcPr>
            <w:tcW w:w="9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426</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455</w:t>
            </w:r>
          </w:p>
        </w:tc>
      </w:tr>
      <w:tr>
        <w:trPr>
          <w:trHeight w:val="215"/>
        </w:trPr>
        <w:tc>
          <w:tcPr>
            <w:tcW w:w="80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Less: interest expense</w:t>
            </w:r>
          </w:p>
        </w:tc>
        <w:tc>
          <w:tcPr>
            <w:tcW w:w="9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w:t>
            </w:r>
          </w:p>
        </w:tc>
        <w:tc>
          <w:tcPr>
            <w:tcW w:w="10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w:t>
            </w:r>
          </w:p>
        </w:tc>
      </w:tr>
      <w:tr>
        <w:trPr>
          <w:trHeight w:val="235"/>
        </w:trPr>
        <w:tc>
          <w:tcPr>
            <w:tcW w:w="8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Income before income tax expense</w:t>
            </w:r>
          </w:p>
        </w:tc>
        <w:tc>
          <w:tcPr>
            <w:tcW w:w="960" w:type="dxa"/>
            <w:vAlign w:val="bottom"/>
            <w:tcBorders>
              <w:bottom w:val="single" w:sz="8" w:color="auto"/>
            </w:tcBorders>
            <w:shd w:val="clear" w:color="auto" w:fill="CCEEFF"/>
          </w:tcPr>
          <w:p>
            <w:pPr>
              <w:jc w:val="right"/>
              <w:ind w:right="784"/>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399</w:t>
            </w:r>
          </w:p>
        </w:tc>
        <w:tc>
          <w:tcPr>
            <w:tcW w:w="1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ind w:right="862"/>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427</w:t>
            </w:r>
          </w:p>
        </w:tc>
      </w:tr>
      <w:tr>
        <w:trPr>
          <w:trHeight w:val="20"/>
        </w:trPr>
        <w:tc>
          <w:tcPr>
            <w:tcW w:w="80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r>
    </w:tbl>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w:t>
      </w:r>
    </w:p>
    <w:p>
      <w:pPr>
        <w:spacing w:after="0" w:line="68" w:lineRule="exact"/>
        <w:rPr>
          <w:sz w:val="20"/>
          <w:szCs w:val="20"/>
          <w:color w:val="auto"/>
        </w:rPr>
      </w:pPr>
    </w:p>
    <w:p>
      <w:pPr>
        <w:ind w:left="320" w:hanging="312"/>
        <w:spacing w:after="0"/>
        <w:tabs>
          <w:tab w:leader="none" w:pos="320" w:val="left"/>
        </w:tabs>
        <w:numPr>
          <w:ilvl w:val="0"/>
          <w:numId w:val="6"/>
        </w:numPr>
        <w:rPr>
          <w:rFonts w:ascii="Arial" w:cs="Arial" w:eastAsia="Arial" w:hAnsi="Arial"/>
          <w:sz w:val="16"/>
          <w:szCs w:val="16"/>
          <w:color w:val="auto"/>
        </w:rPr>
      </w:pPr>
      <w:r>
        <w:rPr>
          <w:rFonts w:ascii="Arial" w:cs="Arial" w:eastAsia="Arial" w:hAnsi="Arial"/>
          <w:sz w:val="16"/>
          <w:szCs w:val="16"/>
          <w:color w:val="auto"/>
        </w:rPr>
        <w:t>Other operating revenues include premium tax revenue, investment income, and certain other revenue.</w:t>
      </w:r>
    </w:p>
    <w:p>
      <w:pPr>
        <w:spacing w:after="0" w:line="21" w:lineRule="exact"/>
        <w:rPr>
          <w:rFonts w:ascii="Arial" w:cs="Arial" w:eastAsia="Arial" w:hAnsi="Arial"/>
          <w:sz w:val="16"/>
          <w:szCs w:val="16"/>
          <w:color w:val="auto"/>
        </w:rPr>
      </w:pPr>
    </w:p>
    <w:p>
      <w:pPr>
        <w:ind w:left="340" w:right="560" w:hanging="332"/>
        <w:spacing w:after="0" w:line="283" w:lineRule="auto"/>
        <w:tabs>
          <w:tab w:leader="none" w:pos="335" w:val="left"/>
        </w:tabs>
        <w:numPr>
          <w:ilvl w:val="0"/>
          <w:numId w:val="6"/>
        </w:numPr>
        <w:rPr>
          <w:rFonts w:ascii="Arial" w:cs="Arial" w:eastAsia="Arial" w:hAnsi="Arial"/>
          <w:sz w:val="16"/>
          <w:szCs w:val="16"/>
          <w:color w:val="auto"/>
        </w:rPr>
      </w:pPr>
      <w:r>
        <w:rPr>
          <w:rFonts w:ascii="Arial" w:cs="Arial" w:eastAsia="Arial" w:hAnsi="Arial"/>
          <w:sz w:val="16"/>
          <w:szCs w:val="16"/>
          <w:color w:val="auto"/>
        </w:rPr>
        <w:t>Other operating expenses include general and administrative expenses, premium tax expenses, depreciation and amortization, and certain other operating expenses.</w:t>
      </w:r>
    </w:p>
    <w:p>
      <w:pPr>
        <w:spacing w:after="0" w:line="45" w:lineRule="exact"/>
        <w:rPr>
          <w:sz w:val="20"/>
          <w:szCs w:val="20"/>
          <w:color w:val="auto"/>
        </w:rPr>
      </w:pPr>
    </w:p>
    <w:p>
      <w:pPr>
        <w:ind w:right="8080" w:firstLine="8"/>
        <w:spacing w:after="0" w:line="375" w:lineRule="auto"/>
        <w:tabs>
          <w:tab w:leader="none" w:pos="300" w:val="left"/>
        </w:tabs>
        <w:numPr>
          <w:ilvl w:val="0"/>
          <w:numId w:val="7"/>
        </w:numPr>
        <w:rPr>
          <w:rFonts w:ascii="Arial" w:cs="Arial" w:eastAsia="Arial" w:hAnsi="Arial"/>
          <w:sz w:val="18"/>
          <w:szCs w:val="18"/>
          <w:b w:val="1"/>
          <w:bCs w:val="1"/>
          <w:color w:val="828282"/>
        </w:rPr>
      </w:pPr>
      <w:r>
        <w:rPr>
          <w:rFonts w:ascii="Arial" w:cs="Arial" w:eastAsia="Arial" w:hAnsi="Arial"/>
          <w:sz w:val="18"/>
          <w:szCs w:val="18"/>
          <w:b w:val="1"/>
          <w:bCs w:val="1"/>
          <w:color w:val="828282"/>
        </w:rPr>
        <w:t xml:space="preserve">Commitments and Contingencies </w:t>
      </w:r>
      <w:r>
        <w:rPr>
          <w:rFonts w:ascii="Arial" w:cs="Arial" w:eastAsia="Arial" w:hAnsi="Arial"/>
          <w:sz w:val="18"/>
          <w:szCs w:val="18"/>
          <w:b w:val="1"/>
          <w:bCs w:val="1"/>
          <w:i w:val="1"/>
          <w:iCs w:val="1"/>
          <w:color w:val="000000"/>
        </w:rPr>
        <w:t>Legal Proceedings</w:t>
      </w:r>
    </w:p>
    <w:p>
      <w:pPr>
        <w:spacing w:after="0" w:line="1" w:lineRule="exact"/>
        <w:rPr>
          <w:sz w:val="20"/>
          <w:szCs w:val="20"/>
          <w:color w:val="auto"/>
        </w:rPr>
      </w:pPr>
    </w:p>
    <w:p>
      <w:pPr>
        <w:ind w:right="40"/>
        <w:spacing w:after="0" w:line="278" w:lineRule="auto"/>
        <w:rPr>
          <w:sz w:val="20"/>
          <w:szCs w:val="20"/>
          <w:color w:val="auto"/>
        </w:rPr>
      </w:pPr>
      <w:r>
        <w:rPr>
          <w:rFonts w:ascii="Arial" w:cs="Arial" w:eastAsia="Arial" w:hAnsi="Arial"/>
          <w:sz w:val="17"/>
          <w:szCs w:val="17"/>
          <w:color w:val="auto"/>
        </w:rPr>
        <w:t>The healthcare industry is subject to numerous laws and regulations of federal, state, and local governments, as well as various contractual provisions, governing our operations. Compliance with these laws, regulations, and contractual provisions can be subject to government audit, review, and interpretation, as well as regulatory actions. Penalties associated with violations of these laws, regulations, and contractual provisions can include significant fines and penalties, temporary or permanent exclusion from participating in publicly funded programs, a limitation on our ability to market or sell products, the repayment of previously billed and collected revenues, and reputational damage.</w:t>
      </w:r>
    </w:p>
    <w:p>
      <w:pPr>
        <w:spacing w:after="0" w:line="56"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We are involved in legal actions in the ordinary course of business including, but not limited to, various employment claims, vendor disputes and provider claims. Some of these legal actions seek monetary damages, including claims for punitive damages, which may not be covered by insurance. We review legal matters and update our estimates, or range of estimates, of reasonably possible losses and related disclosures, as necessary. We have accrued liabilities for legal matters for which we deem the loss to be both probable and reasonably estimable. These liability estimates could change as a result of further developments. The outcome of these legal actions are inherently uncertain. An adverse determination in one or more of these pending matters could have a material adverse effect on our consolidated financial position, results of operations, or cash flows.</w:t>
      </w:r>
    </w:p>
    <w:p>
      <w:pPr>
        <w:spacing w:after="0" w:line="75"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i w:val="1"/>
          <w:iCs w:val="1"/>
          <w:color w:val="auto"/>
        </w:rPr>
        <w:t xml:space="preserve">Kentucky RFP. </w:t>
      </w:r>
      <w:r>
        <w:rPr>
          <w:rFonts w:ascii="Arial" w:cs="Arial" w:eastAsia="Arial" w:hAnsi="Arial"/>
          <w:sz w:val="18"/>
          <w:szCs w:val="18"/>
          <w:color w:val="auto"/>
        </w:rPr>
        <w:t>On September 4, 2020, Anthem Kentucky Managed Care Plan, Inc. (“Anthem”) brought an action in Franklin County Circuit</w:t>
      </w:r>
      <w:r>
        <w:rPr>
          <w:rFonts w:ascii="Arial" w:cs="Arial" w:eastAsia="Arial" w:hAnsi="Arial"/>
          <w:sz w:val="18"/>
          <w:szCs w:val="18"/>
          <w:i w:val="1"/>
          <w:iCs w:val="1"/>
          <w:color w:val="auto"/>
        </w:rPr>
        <w:t xml:space="preserve"> </w:t>
      </w:r>
      <w:r>
        <w:rPr>
          <w:rFonts w:ascii="Arial" w:cs="Arial" w:eastAsia="Arial" w:hAnsi="Arial"/>
          <w:sz w:val="18"/>
          <w:szCs w:val="18"/>
          <w:color w:val="auto"/>
        </w:rPr>
        <w:t>Court against the Kentucky Finance and Administration Cabinet, the Kentucky Cabinet for Health and Family Services, and all of the five winning bidder health plans, including our Kentucky health plan. On September 9, 2022, the Kentucky Court of Appeals ruled that, with regard to the earlier Circuit Court ruling granting Anthem relief, the Circuit Court should not have invalidated the 2020 procurement and thus should not have awarded a contract to Anthem. Anthem sought discretionary review by the Kentucky Supreme Court (“KSC”) of the ruling by the Court of Appeals. On April 19, 2023, KSC granted Anthem’s request for discretionary review and ordered legal briefing, which the parties completed in September 2023. The KSC held oral argument on March 7, 2024. On March 14, 2024, the KSC entered its Order, which affirmed the Kentucky Court of Appeals and thus allows our Kentucky health plan to retain its Medicaid contract. On March 25, 2024, the Franklin Circuit Court held a hearing on Anthem’s motion for a status conference to discuss other alleged 2020 procurement scoring error arguments, which Anthem asserts were not among the issues already decided by the appellate courts. The winning bidder health plans and the two Kentucky Cabinet parties all opposed Anthem’s motion on the grounds that the KSC’s Order resolved the entire action. The Franklin Circuit Court stated its intention to quickly rule on whether Anthem may pursue further scoring error arguments in the trial court. On April 3, 2024, Anthem filed a motion for</w:t>
      </w:r>
    </w:p>
    <w:p>
      <w:pPr>
        <w:spacing w:after="0" w:line="200" w:lineRule="exact"/>
        <w:rPr>
          <w:sz w:val="20"/>
          <w:szCs w:val="20"/>
          <w:color w:val="auto"/>
        </w:rPr>
      </w:pPr>
    </w:p>
    <w:p>
      <w:pPr>
        <w:spacing w:after="0" w:line="3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March 31, 2024 Form 10-Q |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right="320"/>
        <w:spacing w:after="0" w:line="282" w:lineRule="auto"/>
        <w:rPr>
          <w:sz w:val="20"/>
          <w:szCs w:val="20"/>
          <w:color w:val="auto"/>
        </w:rPr>
      </w:pPr>
      <w:r>
        <w:rPr>
          <w:rFonts w:ascii="Arial" w:cs="Arial" w:eastAsia="Arial" w:hAnsi="Arial"/>
          <w:sz w:val="17"/>
          <w:szCs w:val="17"/>
          <w:color w:val="auto"/>
        </w:rPr>
        <w:t>reconsideration of the KSC Order. All defendants filed their responses by April 10, 2024. Pending further KSC or Franklin Circuit Court Orders, our Kentucky health plan will continue to operate for the foreseeable future under its current Medicaid contract. At this time, the Company cannot predict the final outcome or timing of conclusion of the litigation. No party is demanding damages from the Company, although Anthem may continue its effort to challenge the validity of the 2020 procurement selection process through a successive appeal.</w:t>
      </w:r>
    </w:p>
    <w:p>
      <w:pPr>
        <w:spacing w:after="0" w:line="53"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i w:val="1"/>
          <w:iCs w:val="1"/>
          <w:color w:val="auto"/>
        </w:rPr>
        <w:t xml:space="preserve">Puerto Rico. </w:t>
      </w:r>
      <w:r>
        <w:rPr>
          <w:rFonts w:ascii="Arial" w:cs="Arial" w:eastAsia="Arial" w:hAnsi="Arial"/>
          <w:sz w:val="18"/>
          <w:szCs w:val="18"/>
          <w:color w:val="auto"/>
        </w:rPr>
        <w:t>On August 13, 2021, Molina Healthcare of Puerto Rico, Inc. (“MHPR”) filed a complaint with the Commonwealth of Puerto Rico,</w:t>
      </w:r>
      <w:r>
        <w:rPr>
          <w:rFonts w:ascii="Arial" w:cs="Arial" w:eastAsia="Arial" w:hAnsi="Arial"/>
          <w:sz w:val="18"/>
          <w:szCs w:val="18"/>
          <w:i w:val="1"/>
          <w:iCs w:val="1"/>
          <w:color w:val="auto"/>
        </w:rPr>
        <w:t xml:space="preserve"> </w:t>
      </w:r>
      <w:r>
        <w:rPr>
          <w:rFonts w:ascii="Arial" w:cs="Arial" w:eastAsia="Arial" w:hAnsi="Arial"/>
          <w:sz w:val="18"/>
          <w:szCs w:val="18"/>
          <w:color w:val="auto"/>
        </w:rPr>
        <w:t>Court of First Instance, San Juan (State Court) asserting, among other claims, breach of contract against Puerto Rico Health Insurance Administration (“ASES”). On September 13, 2021, ASES filed a counterclaim and a third-party complaint against MHPR and the Company. The parties are engaged in settlement conversations. A status hearing was held on September 28, 2023, in which ASES and Molina informed the Court of the ongoing settlement conversations. On January 15, 2024, ASES and Molina informed the court that they had reached an agreement in principle, and the Court scheduled a status conference on March 5, 2024. At the March 5, 2024 status conference, ASES and Molina provided an update of the negotiations. The Court scheduled a status conference for May 20, 2024. The Company cannot predict the outcome, or provide a reasonable estimate or range of estimates of the possible outcome or loss, if any, in this matter.</w:t>
      </w:r>
    </w:p>
    <w:p>
      <w:pPr>
        <w:spacing w:after="0" w:line="77" w:lineRule="exact"/>
        <w:rPr>
          <w:sz w:val="20"/>
          <w:szCs w:val="20"/>
          <w:color w:val="auto"/>
        </w:rPr>
      </w:pPr>
    </w:p>
    <w:p>
      <w:pPr>
        <w:spacing w:after="0" w:line="255" w:lineRule="auto"/>
        <w:rPr>
          <w:sz w:val="20"/>
          <w:szCs w:val="20"/>
          <w:color w:val="auto"/>
        </w:rPr>
      </w:pPr>
      <w:r>
        <w:rPr>
          <w:rFonts w:ascii="Arial" w:cs="Arial" w:eastAsia="Arial" w:hAnsi="Arial"/>
          <w:sz w:val="18"/>
          <w:szCs w:val="18"/>
          <w:i w:val="1"/>
          <w:iCs w:val="1"/>
          <w:color w:val="auto"/>
        </w:rPr>
        <w:t xml:space="preserve">Texas Qui Tam Litigation. </w:t>
      </w:r>
      <w:r>
        <w:rPr>
          <w:rFonts w:ascii="Arial" w:cs="Arial" w:eastAsia="Arial" w:hAnsi="Arial"/>
          <w:sz w:val="18"/>
          <w:szCs w:val="18"/>
          <w:color w:val="auto"/>
        </w:rPr>
        <w:t>On May 7, 2013, a relator filed under seal a qui tam action in Texas state court against Molina Healthcare, Inc. and</w:t>
      </w:r>
      <w:r>
        <w:rPr>
          <w:rFonts w:ascii="Arial" w:cs="Arial" w:eastAsia="Arial" w:hAnsi="Arial"/>
          <w:sz w:val="18"/>
          <w:szCs w:val="18"/>
          <w:i w:val="1"/>
          <w:iCs w:val="1"/>
          <w:color w:val="auto"/>
        </w:rPr>
        <w:t xml:space="preserve"> </w:t>
      </w:r>
      <w:r>
        <w:rPr>
          <w:rFonts w:ascii="Arial" w:cs="Arial" w:eastAsia="Arial" w:hAnsi="Arial"/>
          <w:sz w:val="18"/>
          <w:szCs w:val="18"/>
          <w:color w:val="auto"/>
        </w:rPr>
        <w:t>Molina Healthcare of Texas, Inc., asserting claims under the Texas Medicaid Fraud Prevention Act (“TMFPA”) on behalf of the State of Texas. The original petition alleged that Molina Healthcare of Texas knowingly failed to assess its STAR+PLUS members in accordance with the terms of its Medicaid contract with the State and made false statements to the State concerning those assessments that permitted Molina Healthcare of Texas to receive from the State unnecessary payments. As required by the TMFPA, the original petition was filed in camera and under seal, and without Molina’s awareness, to permit the State to decide whether to intervene and assume responsibility for prosecuting the lawsuit. In 2019, the State declined to intervene. In June 2019, as a result of the State’s election to decline intervention, the trial court unsealed the original petition, at which time Molina became aware of the lawsuit. The relator amended her original petition and served Molina in July 2019.</w:t>
      </w:r>
    </w:p>
    <w:p>
      <w:pPr>
        <w:spacing w:after="0" w:line="73"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In September 2019, Molina filed a motion to dismiss the relator’s claims under the Texas Citizens Participation Act. After the trial court denied the motion, and following extended appellate proceedings which automatically stayed all trial court proceedings, discovery in the lawsuit commenced in late 2021. The relator’s third amended petition was filed on January 19, 2024. The petition alleges that, during the periods in question some ten years ago, Molina failed to assess STAR+PLUS members for personal attendant services, failed to provide those members with contractually required health care benefits, and misrepresented to the State Molina’s capacity to perform the assessments and the status of the assessments. Based on these allegations, the relator contends that Molina is liable to the State under the TMFPA for statutorily defined civil remedies, disgorgement of previous capitation payments, and interest. Molina denies the relator’s allegations as well as any liability in the lawsuit, and intends to defend against the relator’s allegations vigorously. The lawsuit is currently in the discovery phase, with trial set before the Texas District Court, Travis County in late September 2024. The case remains subject to significant additional proceedings, and due to numerous factors of uncertainty presented in the case, we are currently unable to make a reasonable estimate, or range of estimates, with regard to the ultimate outcome of this matter.</w:t>
      </w:r>
    </w:p>
    <w:p>
      <w:pPr>
        <w:spacing w:after="0" w:line="200" w:lineRule="exact"/>
        <w:rPr>
          <w:sz w:val="20"/>
          <w:szCs w:val="20"/>
          <w:color w:val="auto"/>
        </w:rPr>
      </w:pPr>
    </w:p>
    <w:p>
      <w:pPr>
        <w:spacing w:after="0" w:line="32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March 31, 2024 Form 10-Q |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6" w:lineRule="exact"/>
        <w:rPr>
          <w:sz w:val="20"/>
          <w:szCs w:val="20"/>
          <w:color w:val="auto"/>
        </w:rPr>
      </w:pPr>
    </w:p>
    <w:p>
      <w:pPr>
        <w:ind w:right="120"/>
        <w:spacing w:after="0" w:line="285" w:lineRule="auto"/>
        <w:rPr>
          <w:sz w:val="20"/>
          <w:szCs w:val="20"/>
          <w:color w:val="auto"/>
        </w:rPr>
      </w:pPr>
      <w:r>
        <w:rPr>
          <w:rFonts w:ascii="Arial" w:cs="Arial" w:eastAsia="Arial" w:hAnsi="Arial"/>
          <w:sz w:val="22"/>
          <w:szCs w:val="22"/>
          <w:b w:val="1"/>
          <w:bCs w:val="1"/>
          <w:color w:val="0F7C7F"/>
        </w:rPr>
        <w:t>MANAGEMENT’S DISCUSSION AND ANALYSIS OF FINANCIAL CONDITION AND RESULTS OF OPERATIONS (“MD&amp;A”)</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color w:val="828282"/>
        </w:rPr>
        <w:t>FORWARD-LOOKING STATEMENTS</w:t>
      </w:r>
    </w:p>
    <w:p>
      <w:pPr>
        <w:spacing w:after="0" w:line="117"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This Quarterly Report on Form 10-Q (this “Form 10-Q”) contains forward-looking statements. We intend such forward-looking statements to be covered under the safe harbor provisions for forward-looking statements contained in Section 27A of the Securities Act of 1933, or Securities Act, and Section 21E of the Securities Exchange Act of 1934, or Securities Exchange Act. Many of the forward-looking statements are located under the heading “Management’s Discussion and Analysis of Financial Condition and Results of Operations.” Forward-looking statements provide current expectations of future events based on certain assumptions, and all statements other than statements of historical fact contained in this Form 10-Q may be forward-looking statements. In some cases, you can identify forward-looking statements by words such as “guidance,” “future,” “anticipates,” “believes,” “embedded,” “estimates,” “expects,” “growth,” “intends,” “plans,” “predicts,” “projects,” “will,” “would,” “could,” “can,” “may,” or the negative of these terms or other similar expressions. Forward-looking statements contained in this Form 10-Q include, but are not limited to, statements regarding our future results of operations and financial position, industry and business trends, regulatory developments, business strategy, strategic transactions and commercial arrangements, membership and market growth and our objectives for future operations. Readers are cautioned not to place undue reliance on any forward-looking statements, as forward-looking statements are not guarantees of future performance and the Company’s actual results may differ significantly due to numerous known and unknown risks and uncertainties.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Those known risks and uncertainties include, but are not limited to, the risk factors identified in the section titled “Risk Factors” in our 2023</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Annual Report on Form 10-K, including without limitation risks related to the following matters:</w:t>
      </w:r>
    </w:p>
    <w:p>
      <w:pPr>
        <w:spacing w:after="0" w:line="236" w:lineRule="exact"/>
        <w:rPr>
          <w:sz w:val="20"/>
          <w:szCs w:val="20"/>
          <w:color w:val="auto"/>
        </w:rPr>
      </w:pPr>
    </w:p>
    <w:p>
      <w:pPr>
        <w:ind w:left="340" w:right="40" w:hanging="332"/>
        <w:spacing w:after="0" w:line="256" w:lineRule="auto"/>
        <w:tabs>
          <w:tab w:leader="none" w:pos="335" w:val="left"/>
        </w:tabs>
        <w:numPr>
          <w:ilvl w:val="0"/>
          <w:numId w:val="8"/>
        </w:numPr>
        <w:rPr>
          <w:rFonts w:ascii="Arial" w:cs="Arial" w:eastAsia="Arial" w:hAnsi="Arial"/>
          <w:sz w:val="18"/>
          <w:szCs w:val="18"/>
          <w:i w:val="1"/>
          <w:iCs w:val="1"/>
          <w:color w:val="auto"/>
        </w:rPr>
      </w:pPr>
      <w:r>
        <w:rPr>
          <w:rFonts w:ascii="Arial" w:cs="Arial" w:eastAsia="Arial" w:hAnsi="Arial"/>
          <w:sz w:val="18"/>
          <w:szCs w:val="18"/>
          <w:i w:val="1"/>
          <w:iCs w:val="1"/>
          <w:color w:val="auto"/>
        </w:rPr>
        <w:t>the continuing impact of Medicaid redeterminations in all of our state health plans, including the accuracy of our projections regarding the number of members we expect to retain, their health acuity levels, and the actuarially sound adjustment of rates with regard to the members we retain;</w:t>
      </w:r>
    </w:p>
    <w:p>
      <w:pPr>
        <w:spacing w:after="0" w:line="1" w:lineRule="exact"/>
        <w:rPr>
          <w:rFonts w:ascii="Arial" w:cs="Arial" w:eastAsia="Arial" w:hAnsi="Arial"/>
          <w:sz w:val="18"/>
          <w:szCs w:val="18"/>
          <w:i w:val="1"/>
          <w:iCs w:val="1"/>
          <w:color w:val="auto"/>
        </w:rPr>
      </w:pPr>
    </w:p>
    <w:p>
      <w:pPr>
        <w:ind w:left="320" w:hanging="312"/>
        <w:spacing w:after="0"/>
        <w:tabs>
          <w:tab w:leader="none" w:pos="32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budget pressures on state governments and states’ efforts to reduce rates or limit rate increases;</w:t>
      </w:r>
    </w:p>
    <w:p>
      <w:pPr>
        <w:spacing w:after="0" w:line="9" w:lineRule="exact"/>
        <w:rPr>
          <w:rFonts w:ascii="Arial" w:cs="Arial" w:eastAsia="Arial" w:hAnsi="Arial"/>
          <w:sz w:val="18"/>
          <w:szCs w:val="18"/>
          <w:color w:val="auto"/>
        </w:rPr>
      </w:pPr>
    </w:p>
    <w:p>
      <w:pPr>
        <w:ind w:left="340" w:right="420" w:hanging="332"/>
        <w:spacing w:after="0" w:line="250" w:lineRule="auto"/>
        <w:tabs>
          <w:tab w:leader="none" w:pos="335"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the constantly evolving market dynamics surrounding the Affordable Care Act (</w:t>
      </w:r>
      <w:r>
        <w:rPr>
          <w:rFonts w:ascii="Arial" w:cs="Arial" w:eastAsia="Arial" w:hAnsi="Arial"/>
          <w:sz w:val="18"/>
          <w:szCs w:val="18"/>
          <w:color w:val="auto"/>
        </w:rPr>
        <w:t>“</w:t>
      </w:r>
      <w:r>
        <w:rPr>
          <w:rFonts w:ascii="Arial" w:cs="Arial" w:eastAsia="Arial" w:hAnsi="Arial"/>
          <w:sz w:val="18"/>
          <w:szCs w:val="18"/>
          <w:i w:val="1"/>
          <w:iCs w:val="1"/>
          <w:color w:val="auto"/>
        </w:rPr>
        <w:t>ACA”) Marketplaces, including issues impacting enrollment, special enrollment periods, member choice, premium subsidies, risk adjustment estimates and results, Marketplace plan insolvencies or receiverships, and the potential for disproportionate enrollment of higher acuity members;</w:t>
      </w:r>
    </w:p>
    <w:p>
      <w:pPr>
        <w:spacing w:after="0" w:line="1" w:lineRule="exact"/>
        <w:rPr>
          <w:rFonts w:ascii="Arial" w:cs="Arial" w:eastAsia="Arial" w:hAnsi="Arial"/>
          <w:sz w:val="18"/>
          <w:szCs w:val="18"/>
          <w:color w:val="auto"/>
        </w:rPr>
      </w:pPr>
    </w:p>
    <w:p>
      <w:pPr>
        <w:ind w:left="340" w:right="740" w:hanging="332"/>
        <w:spacing w:after="0" w:line="250" w:lineRule="auto"/>
        <w:tabs>
          <w:tab w:leader="none" w:pos="335"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the success of our efforts to retain existing or awarded government contracts, the success of our bid submissions in response to requests for proposal, and our ability to identify merger and acquisition targets to support our continued growth over time;</w:t>
      </w:r>
    </w:p>
    <w:p>
      <w:pPr>
        <w:ind w:left="340" w:right="60" w:hanging="332"/>
        <w:spacing w:after="0" w:line="250" w:lineRule="auto"/>
        <w:tabs>
          <w:tab w:leader="none" w:pos="335"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the success of the scaling up of our operations in new states in connection with request for proposal (“RFP”) wins, and the satisfaction of all readiness review requirements under the new Medicaid contracts;</w:t>
      </w:r>
    </w:p>
    <w:p>
      <w:pPr>
        <w:ind w:left="340" w:right="200" w:hanging="332"/>
        <w:spacing w:after="0" w:line="250" w:lineRule="auto"/>
        <w:tabs>
          <w:tab w:leader="none" w:pos="335" w:val="left"/>
        </w:tabs>
        <w:numPr>
          <w:ilvl w:val="0"/>
          <w:numId w:val="8"/>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close, integrate, and realize benefits from acquisitions, including the acquisitions of My Choice Wisconsin, and Brand New Day/Central Health Plan of California;</w:t>
      </w:r>
    </w:p>
    <w:p>
      <w:pPr>
        <w:ind w:left="340" w:right="180" w:hanging="332"/>
        <w:spacing w:after="0" w:line="250" w:lineRule="auto"/>
        <w:tabs>
          <w:tab w:leader="none" w:pos="335"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subsequent adjustments to reported premium revenue based upon subsequent developments or new information, including changes to estimated amounts payable or receivable related to Marketplace risk adjustment;</w:t>
      </w:r>
    </w:p>
    <w:p>
      <w:pPr>
        <w:ind w:left="320" w:hanging="312"/>
        <w:spacing w:after="0"/>
        <w:tabs>
          <w:tab w:leader="none" w:pos="32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effective management of our medical costs;</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our ability to predict with a reasonable degree of accuracy utilization rates;</w:t>
      </w:r>
    </w:p>
    <w:p>
      <w:pPr>
        <w:spacing w:after="0" w:line="9" w:lineRule="exact"/>
        <w:rPr>
          <w:rFonts w:ascii="Arial" w:cs="Arial" w:eastAsia="Arial" w:hAnsi="Arial"/>
          <w:sz w:val="18"/>
          <w:szCs w:val="18"/>
          <w:color w:val="auto"/>
        </w:rPr>
      </w:pPr>
    </w:p>
    <w:p>
      <w:pPr>
        <w:ind w:left="340" w:right="240" w:hanging="332"/>
        <w:spacing w:after="0" w:line="250" w:lineRule="auto"/>
        <w:tabs>
          <w:tab w:leader="none" w:pos="335"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cyber-attacks, ransomware attacks, or other privacy or data security incidents involving either ourselves or our contracted vendors that result in an inadvertent unauthorized disclosure of protected information, and the extent to which our working in a remote work environment heightens our exposure to these risks;</w:t>
      </w:r>
    </w:p>
    <w:p>
      <w:pPr>
        <w:spacing w:after="0" w:line="1" w:lineRule="exact"/>
        <w:rPr>
          <w:rFonts w:ascii="Arial" w:cs="Arial" w:eastAsia="Arial" w:hAnsi="Arial"/>
          <w:sz w:val="18"/>
          <w:szCs w:val="18"/>
          <w:color w:val="auto"/>
        </w:rPr>
      </w:pPr>
    </w:p>
    <w:p>
      <w:pPr>
        <w:ind w:left="340" w:right="1220" w:hanging="332"/>
        <w:spacing w:after="0" w:line="250" w:lineRule="auto"/>
        <w:tabs>
          <w:tab w:leader="none" w:pos="335"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the ability to manage our operations, including maintaining and creating adequate internal systems and controls relating to authorizations, approvals, provider payments, and the overall success of our care management initiatives;</w:t>
      </w:r>
    </w:p>
    <w:p>
      <w:pPr>
        <w:ind w:left="340" w:right="160" w:hanging="332"/>
        <w:spacing w:after="0" w:line="250" w:lineRule="auto"/>
        <w:tabs>
          <w:tab w:leader="none" w:pos="335" w:val="left"/>
        </w:tabs>
        <w:numPr>
          <w:ilvl w:val="0"/>
          <w:numId w:val="8"/>
        </w:numPr>
        <w:rPr>
          <w:rFonts w:ascii="Arial" w:cs="Arial" w:eastAsia="Arial" w:hAnsi="Arial"/>
          <w:sz w:val="18"/>
          <w:szCs w:val="18"/>
          <w:i w:val="1"/>
          <w:iCs w:val="1"/>
          <w:color w:val="auto"/>
        </w:rPr>
      </w:pPr>
      <w:r>
        <w:rPr>
          <w:rFonts w:ascii="Arial" w:cs="Arial" w:eastAsia="Arial" w:hAnsi="Arial"/>
          <w:sz w:val="18"/>
          <w:szCs w:val="18"/>
          <w:i w:val="1"/>
          <w:iCs w:val="1"/>
          <w:color w:val="auto"/>
        </w:rPr>
        <w:t>operational improvements, efficiencies, and cost savings that are less than anticipated, or that result in unforeseen consequences, from our investments in artificial intelligence (“AI”) administrative tools and initiatives;</w:t>
      </w:r>
    </w:p>
    <w:p>
      <w:pPr>
        <w:ind w:left="340" w:right="40" w:hanging="332"/>
        <w:spacing w:after="0" w:line="250" w:lineRule="auto"/>
        <w:tabs>
          <w:tab w:leader="none" w:pos="335" w:val="left"/>
        </w:tabs>
        <w:numPr>
          <w:ilvl w:val="0"/>
          <w:numId w:val="8"/>
        </w:numPr>
        <w:rPr>
          <w:rFonts w:ascii="Arial" w:cs="Arial" w:eastAsia="Arial" w:hAnsi="Arial"/>
          <w:sz w:val="18"/>
          <w:szCs w:val="18"/>
          <w:i w:val="1"/>
          <w:iCs w:val="1"/>
          <w:color w:val="auto"/>
        </w:rPr>
      </w:pPr>
      <w:r>
        <w:rPr>
          <w:rFonts w:ascii="Arial" w:cs="Arial" w:eastAsia="Arial" w:hAnsi="Arial"/>
          <w:sz w:val="18"/>
          <w:szCs w:val="18"/>
          <w:i w:val="1"/>
          <w:iCs w:val="1"/>
          <w:color w:val="auto"/>
        </w:rPr>
        <w:t>the impact of our working in a permanent remote work environment, including any associated impairment charges or contract termination costs;</w:t>
      </w:r>
    </w:p>
    <w:p>
      <w:pPr>
        <w:ind w:left="340" w:right="200" w:hanging="332"/>
        <w:spacing w:after="0" w:line="266" w:lineRule="auto"/>
        <w:tabs>
          <w:tab w:leader="none" w:pos="335"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our receipt of adequate premium rates to support increasing pharmacy costs, including costs associated with specialty drugs and costs resulting from formulary changes that allow the option of higher-priced non-generic drugs;</w:t>
      </w:r>
    </w:p>
    <w:p>
      <w:pPr>
        <w:spacing w:after="0" w:line="200" w:lineRule="exact"/>
        <w:rPr>
          <w:sz w:val="20"/>
          <w:szCs w:val="20"/>
          <w:color w:val="auto"/>
        </w:rPr>
      </w:pPr>
    </w:p>
    <w:p>
      <w:pPr>
        <w:spacing w:after="0" w:line="30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March 31, 2024 Form 10-Q |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4" w:lineRule="exact"/>
        <w:rPr>
          <w:sz w:val="20"/>
          <w:szCs w:val="20"/>
          <w:color w:val="auto"/>
        </w:rPr>
      </w:pPr>
    </w:p>
    <w:p>
      <w:pPr>
        <w:ind w:left="340" w:right="140" w:hanging="332"/>
        <w:spacing w:after="0" w:line="259" w:lineRule="auto"/>
        <w:tabs>
          <w:tab w:leader="none" w:pos="335"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our ability to operate profitably in an environment where the trend in premium rate increases lags behind the trend in increasing medical costs;</w:t>
      </w:r>
    </w:p>
    <w:p>
      <w:pPr>
        <w:spacing w:after="0" w:line="1" w:lineRule="exact"/>
        <w:rPr>
          <w:rFonts w:ascii="Arial" w:cs="Arial" w:eastAsia="Arial" w:hAnsi="Arial"/>
          <w:sz w:val="18"/>
          <w:szCs w:val="18"/>
          <w:color w:val="auto"/>
        </w:rPr>
      </w:pPr>
    </w:p>
    <w:p>
      <w:pPr>
        <w:ind w:left="340" w:right="120" w:hanging="332"/>
        <w:spacing w:after="0" w:line="250" w:lineRule="auto"/>
        <w:tabs>
          <w:tab w:leader="none" w:pos="335"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the interpretation and implementation of federal or state medical cost expenditure floors, administrative cost and profit ceilings, premium stabilization programs, profit-sharing arrangements, and risk adjustment provisions and requirements;</w:t>
      </w:r>
    </w:p>
    <w:p>
      <w:pPr>
        <w:ind w:left="340" w:right="480" w:hanging="332"/>
        <w:spacing w:after="0" w:line="250" w:lineRule="auto"/>
        <w:tabs>
          <w:tab w:leader="none" w:pos="335"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our estimates of amounts owed for minimum medical loss ratio regulations and contractual provisions, administrative cost and profit ceilings, premium stabilization programs, profit-sharing arrangements, and risk adjustment provisions and requirements;</w:t>
      </w:r>
    </w:p>
    <w:p>
      <w:pPr>
        <w:ind w:left="340" w:right="200" w:hanging="332"/>
        <w:spacing w:after="0" w:line="250" w:lineRule="auto"/>
        <w:tabs>
          <w:tab w:leader="none" w:pos="335"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the interpretation and implementation of at-risk premium rules and state contract performance requirements regarding the achievement of certain quality measures, and our ability to recognize revenue amounts associated therewith;</w:t>
      </w:r>
    </w:p>
    <w:p>
      <w:pPr>
        <w:ind w:left="340" w:right="140" w:hanging="332"/>
        <w:spacing w:after="0" w:line="250" w:lineRule="auto"/>
        <w:tabs>
          <w:tab w:leader="none" w:pos="335"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the transition of Medicare-Medicaid pilot programs in California, Illinois, Michigan, Ohio, South Carolina, and Texas serving those dually eligible for both Medicare and Medicaid, and the increasing integration of Medicare and Medicaid programmatic and compliance requirements, and the extension or incorporation of federal Medicare requirements developed by CMS into state-administered Medicaid programs;</w:t>
      </w:r>
    </w:p>
    <w:p>
      <w:pPr>
        <w:spacing w:after="0" w:line="1" w:lineRule="exact"/>
        <w:rPr>
          <w:rFonts w:ascii="Arial" w:cs="Arial" w:eastAsia="Arial" w:hAnsi="Arial"/>
          <w:sz w:val="18"/>
          <w:szCs w:val="18"/>
          <w:color w:val="auto"/>
        </w:rPr>
      </w:pPr>
    </w:p>
    <w:p>
      <w:pPr>
        <w:ind w:left="320" w:hanging="312"/>
        <w:spacing w:after="0"/>
        <w:tabs>
          <w:tab w:leader="none" w:pos="320" w:val="left"/>
        </w:tabs>
        <w:numPr>
          <w:ilvl w:val="0"/>
          <w:numId w:val="9"/>
        </w:numPr>
        <w:rPr>
          <w:rFonts w:ascii="Arial" w:cs="Arial" w:eastAsia="Arial" w:hAnsi="Arial"/>
          <w:sz w:val="18"/>
          <w:szCs w:val="18"/>
          <w:i w:val="1"/>
          <w:iCs w:val="1"/>
          <w:color w:val="auto"/>
        </w:rPr>
      </w:pPr>
      <w:r>
        <w:rPr>
          <w:rFonts w:ascii="Arial" w:cs="Arial" w:eastAsia="Arial" w:hAnsi="Arial"/>
          <w:sz w:val="18"/>
          <w:szCs w:val="18"/>
          <w:i w:val="1"/>
          <w:iCs w:val="1"/>
          <w:color w:val="auto"/>
        </w:rPr>
        <w:t>the accurate estimation of incurred but not reported or paid medical costs across our health plans;</w:t>
      </w:r>
    </w:p>
    <w:p>
      <w:pPr>
        <w:spacing w:after="0" w:line="9" w:lineRule="exact"/>
        <w:rPr>
          <w:rFonts w:ascii="Arial" w:cs="Arial" w:eastAsia="Arial" w:hAnsi="Arial"/>
          <w:sz w:val="18"/>
          <w:szCs w:val="18"/>
          <w:i w:val="1"/>
          <w:iCs w:val="1"/>
          <w:color w:val="auto"/>
        </w:rPr>
      </w:pPr>
    </w:p>
    <w:p>
      <w:pPr>
        <w:ind w:left="320" w:hanging="312"/>
        <w:spacing w:after="0"/>
        <w:tabs>
          <w:tab w:leader="none" w:pos="32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efforts by states to recoup previously paid and recognized premium amounts;</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changes in our annual effective tax rate due to federal and/or state legislation, or changes in our mix of earnings and other factors;</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the efficient and effective operations of the vendors on whom our business relies;</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complications, member confusion, or enrollment backlogs related to the renewal of Medicaid coverage;</w:t>
      </w:r>
    </w:p>
    <w:p>
      <w:pPr>
        <w:spacing w:after="0" w:line="9" w:lineRule="exact"/>
        <w:rPr>
          <w:rFonts w:ascii="Arial" w:cs="Arial" w:eastAsia="Arial" w:hAnsi="Arial"/>
          <w:sz w:val="18"/>
          <w:szCs w:val="18"/>
          <w:color w:val="auto"/>
        </w:rPr>
      </w:pPr>
    </w:p>
    <w:p>
      <w:pPr>
        <w:ind w:left="340" w:right="540" w:hanging="332"/>
        <w:spacing w:after="0" w:line="250" w:lineRule="auto"/>
        <w:tabs>
          <w:tab w:leader="none" w:pos="335"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fraud, waste and abuse matters, government audits, reviews, or investigations, comment letters, and any fine, sanction, enrollment freeze, debarment, corrective action plan, monitoring program, or premium recovery that may result therefrom;</w:t>
      </w:r>
    </w:p>
    <w:p>
      <w:pPr>
        <w:ind w:left="340" w:right="540" w:hanging="332"/>
        <w:spacing w:after="0" w:line="250" w:lineRule="auto"/>
        <w:tabs>
          <w:tab w:leader="none" w:pos="335"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the success of our providers, including delegated providers, the adequacy of our provider networks, the successful maintenance of relations with our providers, and the potential loss of providers;</w:t>
      </w:r>
    </w:p>
    <w:p>
      <w:pPr>
        <w:ind w:left="320" w:hanging="312"/>
        <w:spacing w:after="0"/>
        <w:tabs>
          <w:tab w:leader="none" w:pos="32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approval by state regulators of dividends and distributions by our health plan subsidiaries;</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changes in funding under our contracts as a result of regulatory changes, programmatic adjustments, or other reforms;</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high dollar claims related to catastrophic illness;</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the favorable resolution of litigation, arbitration, or administrative proceedings;</w:t>
      </w:r>
    </w:p>
    <w:p>
      <w:pPr>
        <w:spacing w:after="0" w:line="9" w:lineRule="exact"/>
        <w:rPr>
          <w:rFonts w:ascii="Arial" w:cs="Arial" w:eastAsia="Arial" w:hAnsi="Arial"/>
          <w:sz w:val="18"/>
          <w:szCs w:val="18"/>
          <w:color w:val="auto"/>
        </w:rPr>
      </w:pPr>
    </w:p>
    <w:p>
      <w:pPr>
        <w:ind w:left="340" w:right="660" w:hanging="332"/>
        <w:spacing w:after="0" w:line="250" w:lineRule="auto"/>
        <w:tabs>
          <w:tab w:leader="none" w:pos="335"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the greater scale and revenues of our health plans in California, New York, Ohio, Texas, and Washington, and risks related to the concentration of our business in those states;</w:t>
      </w:r>
    </w:p>
    <w:p>
      <w:pPr>
        <w:ind w:left="340" w:right="420" w:hanging="332"/>
        <w:spacing w:after="0" w:line="250" w:lineRule="auto"/>
        <w:tabs>
          <w:tab w:leader="none" w:pos="335"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the failure to comply with the financial or other covenants in our credit agreement or the indentures governing our outstanding senior notes;</w:t>
      </w:r>
    </w:p>
    <w:p>
      <w:pPr>
        <w:ind w:left="340" w:hanging="332"/>
        <w:spacing w:after="0" w:line="250" w:lineRule="auto"/>
        <w:tabs>
          <w:tab w:leader="none" w:pos="335"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the availability of adequate financing on acceptable terms to fund and capitalize our expansion and growth, repay our outstanding indebtedness at maturity, and meet our general liquidity needs;</w:t>
      </w:r>
    </w:p>
    <w:p>
      <w:pPr>
        <w:ind w:left="320" w:hanging="312"/>
        <w:spacing w:after="0"/>
        <w:tabs>
          <w:tab w:leader="none" w:pos="32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the failure of a state in which we operate to renew its federal Medicaid waiver;</w:t>
      </w:r>
    </w:p>
    <w:p>
      <w:pPr>
        <w:spacing w:after="0" w:line="9" w:lineRule="exact"/>
        <w:rPr>
          <w:rFonts w:ascii="Arial" w:cs="Arial" w:eastAsia="Arial" w:hAnsi="Arial"/>
          <w:sz w:val="18"/>
          <w:szCs w:val="18"/>
          <w:color w:val="auto"/>
        </w:rPr>
      </w:pPr>
    </w:p>
    <w:p>
      <w:pPr>
        <w:ind w:left="340" w:right="120" w:hanging="332"/>
        <w:spacing w:after="0" w:line="250" w:lineRule="auto"/>
        <w:tabs>
          <w:tab w:leader="none" w:pos="335"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changes generally affecting the managed care industry, including any new federal or state legislation that impacts the business space in which we operate;</w:t>
      </w:r>
    </w:p>
    <w:p>
      <w:pPr>
        <w:ind w:left="320" w:hanging="312"/>
        <w:spacing w:after="0"/>
        <w:tabs>
          <w:tab w:leader="none" w:pos="32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increases in government surcharges, taxes, and assessments;</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the impact of inflation on our medical costs and the cost of refinancing our outstanding indebtedness;</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the unexpected loss of the leadership of one or more of our senior executives; and</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increasing competition and consolidation in the Medicaid industry.</w:t>
      </w:r>
    </w:p>
    <w:p>
      <w:pPr>
        <w:spacing w:after="0" w:line="99"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Each of the terms “Molina Healthcare, Inc.” “Molina Healthcare,” “Company,” “we,” “our,” and “us,” as used herein, refers collectively to Molina Healthcare, Inc. and its wholly owned subsidiaries, unless otherwise stated. The forward-looking statements in this Form 10-Q are based upon information available to us as of the date of this Form 10-Q,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We qualify all of our forward-looking statements by these cautionary statements. These forward-looking statements speak only as of the date of this Form 10-Q. The Company assumes no obligation to revise or update any forward-looking statements for any reason, except as required by law.</w:t>
      </w:r>
    </w:p>
    <w:p>
      <w:pPr>
        <w:spacing w:after="0" w:line="75" w:lineRule="exact"/>
        <w:rPr>
          <w:sz w:val="20"/>
          <w:szCs w:val="20"/>
          <w:color w:val="auto"/>
        </w:rPr>
      </w:pPr>
    </w:p>
    <w:p>
      <w:pPr>
        <w:ind w:right="500"/>
        <w:spacing w:after="0" w:line="268" w:lineRule="auto"/>
        <w:rPr>
          <w:sz w:val="20"/>
          <w:szCs w:val="20"/>
          <w:color w:val="auto"/>
        </w:rPr>
      </w:pPr>
      <w:r>
        <w:rPr>
          <w:rFonts w:ascii="Arial" w:cs="Arial" w:eastAsia="Arial" w:hAnsi="Arial"/>
          <w:sz w:val="18"/>
          <w:szCs w:val="18"/>
          <w:color w:val="auto"/>
        </w:rPr>
        <w:t>This Form 10-Q and the following discussion of our financial condition and results of operations should be read in conjunction with the accompanying consolidated financial statements and the notes to those statements appearing elsewhere in this report, and the audited financial statements and Management’s Discussion and Analysis appearing in our 2023 Annual Report on Form 10-K.</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March 31, 2024 Form 10-Q | 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22"/>
          <w:szCs w:val="22"/>
          <w:b w:val="1"/>
          <w:bCs w:val="1"/>
          <w:color w:val="0F7C7F"/>
        </w:rPr>
        <w:t>OVERVIEW</w:t>
      </w:r>
    </w:p>
    <w:p>
      <w:pPr>
        <w:spacing w:after="0" w:line="108"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Molina Healthcare, Inc., a FORTUNE 500 company, provides managed healthcare services under the Medicaid and Medicare programs, and through the state insurance marketplaces (the “Marketplace”). We served approximately 5.7 million members as of March 31, 2024, located across 21 states.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828282"/>
        </w:rPr>
        <w:t>FIRST QUARTER 2024 HIGHLIGHTS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We reported net income of $301 million, or $5.17 per diluted share, for the first quarter of 2024, which reflected the following:</w:t>
      </w:r>
    </w:p>
    <w:p>
      <w:pPr>
        <w:spacing w:after="0" w:line="117" w:lineRule="exact"/>
        <w:rPr>
          <w:sz w:val="20"/>
          <w:szCs w:val="20"/>
          <w:color w:val="auto"/>
        </w:rPr>
      </w:pPr>
    </w:p>
    <w:p>
      <w:pPr>
        <w:ind w:left="660" w:right="80" w:hanging="328"/>
        <w:spacing w:after="0" w:line="254"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Membership of 5.7 million at March 31, 2024 increased 461,000, or 9%, compared with March 31, 2023, primarily due to the commencement of the Iowa Medicaid contract in July 2023, the Nebraska Medicaid contract in January 2024, our expanded California Medicaid platform, including Los Angeles county starting in January 2024, closing of the My Choice Wisconsin acquisition in September 2023, and the closing of the Bright Health Medicare acquisition in January 2024, all of which was partially offset by the impact of Medicaid redeterminations;</w:t>
      </w:r>
    </w:p>
    <w:p>
      <w:pPr>
        <w:spacing w:after="0" w:line="2" w:lineRule="exact"/>
        <w:rPr>
          <w:rFonts w:ascii="Arial" w:cs="Arial" w:eastAsia="Arial" w:hAnsi="Arial"/>
          <w:sz w:val="18"/>
          <w:szCs w:val="18"/>
          <w:color w:val="auto"/>
        </w:rPr>
      </w:pPr>
    </w:p>
    <w:p>
      <w:pPr>
        <w:ind w:left="660" w:right="220" w:hanging="328"/>
        <w:spacing w:after="0" w:line="250"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Premium revenue of $9.5 billion, which increased 21% compared with the first quarter of 2023 due to the increased membership in all segments mentioned above;</w:t>
      </w:r>
    </w:p>
    <w:p>
      <w:pPr>
        <w:ind w:left="660" w:right="660" w:hanging="328"/>
        <w:spacing w:after="0" w:line="250"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Consolidated medical care ratio (“MCR”) of 88.5%, compared with 87.1% for the first quarter of 2023, with all three segments reporting MCRs in line with our expectations;</w:t>
      </w:r>
    </w:p>
    <w:p>
      <w:pPr>
        <w:ind w:left="660" w:right="620" w:hanging="328"/>
        <w:spacing w:after="0" w:line="250"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Investment income of $108 million, which increased 52% compared with the first quarter of 2023, and continues to bolster our operating income results;</w:t>
      </w:r>
    </w:p>
    <w:p>
      <w:pPr>
        <w:ind w:left="660" w:right="700" w:hanging="328"/>
        <w:spacing w:after="0" w:line="250"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General and administrative expense (“G&amp;A”) ratio of 7.2%, which was consistent with the first quarter of 2023, reflecting new business implementation spending for new contract wins that started in July 2023 and in January 2024; and</w:t>
      </w: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After-tax margin of 3.0%, which was in line with our expectations.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March 31, 2024 Form 10-Q | 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22"/>
          <w:szCs w:val="22"/>
          <w:b w:val="1"/>
          <w:bCs w:val="1"/>
          <w:color w:val="0F7C7F"/>
        </w:rPr>
        <w:t>CONSOLIDATED FINANCIAL SUMMARY</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consolidated results of operations and other financial information for the periods indicated:</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840" w:type="dxa"/>
            <w:vAlign w:val="bottom"/>
          </w:tcPr>
          <w:p>
            <w:pPr>
              <w:spacing w:after="0"/>
              <w:rPr>
                <w:sz w:val="17"/>
                <w:szCs w:val="17"/>
                <w:color w:val="auto"/>
              </w:rPr>
            </w:pPr>
          </w:p>
        </w:tc>
        <w:tc>
          <w:tcPr>
            <w:tcW w:w="27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March 31,</w:t>
            </w:r>
          </w:p>
        </w:tc>
        <w:tc>
          <w:tcPr>
            <w:tcW w:w="620" w:type="dxa"/>
            <w:vAlign w:val="bottom"/>
            <w:tcBorders>
              <w:bottom w:val="single" w:sz="8" w:color="auto"/>
            </w:tcBorders>
          </w:tcPr>
          <w:p>
            <w:pPr>
              <w:spacing w:after="0"/>
              <w:rPr>
                <w:sz w:val="17"/>
                <w:szCs w:val="17"/>
                <w:color w:val="auto"/>
              </w:rPr>
            </w:pPr>
          </w:p>
        </w:tc>
      </w:tr>
      <w:tr>
        <w:trPr>
          <w:trHeight w:val="196"/>
        </w:trPr>
        <w:tc>
          <w:tcPr>
            <w:tcW w:w="7840" w:type="dxa"/>
            <w:vAlign w:val="bottom"/>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2024</w:t>
            </w:r>
          </w:p>
        </w:tc>
        <w:tc>
          <w:tcPr>
            <w:tcW w:w="64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620" w:type="dxa"/>
            <w:vAlign w:val="bottom"/>
            <w:tcBorders>
              <w:bottom w:val="single" w:sz="8" w:color="auto"/>
            </w:tcBorders>
          </w:tcPr>
          <w:p>
            <w:pPr>
              <w:spacing w:after="0"/>
              <w:rPr>
                <w:sz w:val="17"/>
                <w:szCs w:val="17"/>
                <w:color w:val="auto"/>
              </w:rPr>
            </w:pPr>
          </w:p>
        </w:tc>
      </w:tr>
      <w:tr>
        <w:trPr>
          <w:trHeight w:val="250"/>
        </w:trPr>
        <w:tc>
          <w:tcPr>
            <w:tcW w:w="7840" w:type="dxa"/>
            <w:vAlign w:val="bottom"/>
          </w:tcPr>
          <w:p>
            <w:pPr>
              <w:spacing w:after="0"/>
              <w:rPr>
                <w:sz w:val="21"/>
                <w:szCs w:val="21"/>
                <w:color w:val="auto"/>
              </w:rPr>
            </w:pPr>
          </w:p>
        </w:tc>
        <w:tc>
          <w:tcPr>
            <w:tcW w:w="3400" w:type="dxa"/>
            <w:vAlign w:val="bottom"/>
            <w:gridSpan w:val="5"/>
          </w:tcPr>
          <w:p>
            <w:pPr>
              <w:jc w:val="right"/>
              <w:ind w:right="279"/>
              <w:spacing w:after="0"/>
              <w:rPr>
                <w:sz w:val="20"/>
                <w:szCs w:val="20"/>
                <w:color w:val="auto"/>
              </w:rPr>
            </w:pPr>
            <w:r>
              <w:rPr>
                <w:rFonts w:ascii="Arial" w:cs="Arial" w:eastAsia="Arial" w:hAnsi="Arial"/>
                <w:sz w:val="14"/>
                <w:szCs w:val="14"/>
                <w:b w:val="1"/>
                <w:bCs w:val="1"/>
                <w:color w:val="auto"/>
              </w:rPr>
              <w:t>(In millions, except per-share amounts)</w:t>
            </w:r>
          </w:p>
        </w:tc>
      </w:tr>
      <w:tr>
        <w:trPr>
          <w:trHeight w:val="217"/>
        </w:trPr>
        <w:tc>
          <w:tcPr>
            <w:tcW w:w="7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Premium revenue</w:t>
            </w:r>
          </w:p>
        </w:tc>
        <w:tc>
          <w:tcPr>
            <w:tcW w:w="1000" w:type="dxa"/>
            <w:vAlign w:val="bottom"/>
            <w:shd w:val="clear" w:color="auto" w:fill="CCEEFF"/>
          </w:tcPr>
          <w:p>
            <w:pPr>
              <w:jc w:val="right"/>
              <w:ind w:right="824"/>
              <w:spacing w:after="0"/>
              <w:rPr>
                <w:sz w:val="20"/>
                <w:szCs w:val="20"/>
                <w:color w:val="auto"/>
              </w:rPr>
            </w:pPr>
            <w:r>
              <w:rPr>
                <w:rFonts w:ascii="Arial" w:cs="Arial" w:eastAsia="Arial" w:hAnsi="Arial"/>
                <w:sz w:val="16"/>
                <w:szCs w:val="16"/>
                <w:color w:val="auto"/>
                <w:w w:val="89"/>
              </w:rPr>
              <w:t>$</w:t>
            </w:r>
          </w:p>
        </w:tc>
        <w:tc>
          <w:tcPr>
            <w:tcW w:w="6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9,504</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841"/>
              <w:spacing w:after="0"/>
              <w:rPr>
                <w:sz w:val="20"/>
                <w:szCs w:val="20"/>
                <w:color w:val="auto"/>
              </w:rPr>
            </w:pPr>
            <w:r>
              <w:rPr>
                <w:rFonts w:ascii="Arial" w:cs="Arial" w:eastAsia="Arial" w:hAnsi="Arial"/>
                <w:sz w:val="16"/>
                <w:szCs w:val="16"/>
                <w:color w:val="auto"/>
                <w:w w:val="89"/>
              </w:rPr>
              <w:t>$</w:t>
            </w:r>
          </w:p>
        </w:tc>
        <w:tc>
          <w:tcPr>
            <w:tcW w:w="6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99"/>
              </w:rPr>
              <w:t>7,885</w:t>
            </w:r>
          </w:p>
        </w:tc>
      </w:tr>
      <w:tr>
        <w:trPr>
          <w:trHeight w:val="215"/>
        </w:trPr>
        <w:tc>
          <w:tcPr>
            <w:tcW w:w="78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Less: medical care costs</w:t>
            </w:r>
          </w:p>
        </w:tc>
        <w:tc>
          <w:tcPr>
            <w:tcW w:w="10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8,414</w:t>
            </w:r>
          </w:p>
        </w:tc>
        <w:tc>
          <w:tcPr>
            <w:tcW w:w="12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99"/>
              </w:rPr>
              <w:t>6,871</w:t>
            </w:r>
          </w:p>
        </w:tc>
      </w:tr>
      <w:tr>
        <w:trPr>
          <w:trHeight w:val="210"/>
        </w:trPr>
        <w:tc>
          <w:tcPr>
            <w:tcW w:w="7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Medical margin</w:t>
            </w:r>
          </w:p>
        </w:tc>
        <w:tc>
          <w:tcPr>
            <w:tcW w:w="100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1,090</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99"/>
              </w:rPr>
              <w:t>1,014</w:t>
            </w:r>
          </w:p>
        </w:tc>
      </w:tr>
      <w:tr>
        <w:trPr>
          <w:trHeight w:val="216"/>
        </w:trPr>
        <w:tc>
          <w:tcPr>
            <w:tcW w:w="7840" w:type="dxa"/>
            <w:vAlign w:val="bottom"/>
          </w:tcPr>
          <w:p>
            <w:pPr>
              <w:ind w:left="140"/>
              <w:spacing w:after="0" w:line="216" w:lineRule="exact"/>
              <w:rPr>
                <w:sz w:val="20"/>
                <w:szCs w:val="20"/>
                <w:color w:val="auto"/>
              </w:rPr>
            </w:pPr>
            <w:r>
              <w:rPr>
                <w:rFonts w:ascii="Arial" w:cs="Arial" w:eastAsia="Arial" w:hAnsi="Arial"/>
                <w:sz w:val="25"/>
                <w:szCs w:val="25"/>
                <w:i w:val="1"/>
                <w:iCs w:val="1"/>
                <w:color w:val="auto"/>
                <w:vertAlign w:val="subscript"/>
              </w:rPr>
              <w:t>MCR</w:t>
            </w:r>
            <w:r>
              <w:rPr>
                <w:rFonts w:ascii="Arial" w:cs="Arial" w:eastAsia="Arial" w:hAnsi="Arial"/>
                <w:sz w:val="9"/>
                <w:szCs w:val="9"/>
                <w:i w:val="1"/>
                <w:iCs w:val="1"/>
                <w:color w:val="auto"/>
              </w:rPr>
              <w:t xml:space="preserve"> (1)</w:t>
            </w:r>
          </w:p>
        </w:tc>
        <w:tc>
          <w:tcPr>
            <w:tcW w:w="10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i w:val="1"/>
                <w:iCs w:val="1"/>
                <w:color w:val="auto"/>
              </w:rPr>
              <w:t>88.5 %</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i w:val="1"/>
                <w:iCs w:val="1"/>
                <w:color w:val="auto"/>
              </w:rPr>
              <w:t>87.1 %</w:t>
            </w:r>
          </w:p>
        </w:tc>
      </w:tr>
      <w:tr>
        <w:trPr>
          <w:trHeight w:val="256"/>
        </w:trPr>
        <w:tc>
          <w:tcPr>
            <w:tcW w:w="784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r>
      <w:tr>
        <w:trPr>
          <w:trHeight w:val="215"/>
        </w:trPr>
        <w:tc>
          <w:tcPr>
            <w:tcW w:w="7840" w:type="dxa"/>
            <w:vAlign w:val="bottom"/>
          </w:tcPr>
          <w:p>
            <w:pPr>
              <w:ind w:left="20"/>
              <w:spacing w:after="0"/>
              <w:rPr>
                <w:sz w:val="20"/>
                <w:szCs w:val="20"/>
                <w:color w:val="auto"/>
              </w:rPr>
            </w:pPr>
            <w:r>
              <w:rPr>
                <w:rFonts w:ascii="Arial" w:cs="Arial" w:eastAsia="Arial" w:hAnsi="Arial"/>
                <w:sz w:val="16"/>
                <w:szCs w:val="16"/>
                <w:color w:val="auto"/>
              </w:rPr>
              <w:t>Other revenues:</w:t>
            </w:r>
          </w:p>
        </w:tc>
        <w:tc>
          <w:tcPr>
            <w:tcW w:w="10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20" w:type="dxa"/>
            <w:vAlign w:val="bottom"/>
          </w:tcPr>
          <w:p>
            <w:pPr>
              <w:spacing w:after="0"/>
              <w:rPr>
                <w:sz w:val="18"/>
                <w:szCs w:val="18"/>
                <w:color w:val="auto"/>
              </w:rPr>
            </w:pPr>
          </w:p>
        </w:tc>
      </w:tr>
      <w:tr>
        <w:trPr>
          <w:trHeight w:val="217"/>
        </w:trPr>
        <w:tc>
          <w:tcPr>
            <w:tcW w:w="7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Premium tax revenue</w:t>
            </w:r>
          </w:p>
        </w:tc>
        <w:tc>
          <w:tcPr>
            <w:tcW w:w="100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297</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172</w:t>
            </w:r>
          </w:p>
        </w:tc>
      </w:tr>
      <w:tr>
        <w:trPr>
          <w:trHeight w:val="215"/>
        </w:trPr>
        <w:tc>
          <w:tcPr>
            <w:tcW w:w="7840" w:type="dxa"/>
            <w:vAlign w:val="bottom"/>
          </w:tcPr>
          <w:p>
            <w:pPr>
              <w:ind w:left="20"/>
              <w:spacing w:after="0"/>
              <w:rPr>
                <w:sz w:val="20"/>
                <w:szCs w:val="20"/>
                <w:color w:val="auto"/>
              </w:rPr>
            </w:pPr>
            <w:r>
              <w:rPr>
                <w:rFonts w:ascii="Arial" w:cs="Arial" w:eastAsia="Arial" w:hAnsi="Arial"/>
                <w:sz w:val="16"/>
                <w:szCs w:val="16"/>
                <w:color w:val="auto"/>
              </w:rPr>
              <w:t>Investment income</w:t>
            </w:r>
          </w:p>
        </w:tc>
        <w:tc>
          <w:tcPr>
            <w:tcW w:w="1000" w:type="dxa"/>
            <w:vAlign w:val="bottom"/>
          </w:tcPr>
          <w:p>
            <w:pPr>
              <w:spacing w:after="0"/>
              <w:rPr>
                <w:sz w:val="18"/>
                <w:szCs w:val="18"/>
                <w:color w:val="auto"/>
              </w:rPr>
            </w:pPr>
          </w:p>
        </w:tc>
        <w:tc>
          <w:tcPr>
            <w:tcW w:w="640" w:type="dxa"/>
            <w:vAlign w:val="bottom"/>
          </w:tcPr>
          <w:p>
            <w:pPr>
              <w:jc w:val="right"/>
              <w:ind w:right="119"/>
              <w:spacing w:after="0"/>
              <w:rPr>
                <w:sz w:val="20"/>
                <w:szCs w:val="20"/>
                <w:color w:val="auto"/>
              </w:rPr>
            </w:pPr>
            <w:r>
              <w:rPr>
                <w:rFonts w:ascii="Arial" w:cs="Arial" w:eastAsia="Arial" w:hAnsi="Arial"/>
                <w:sz w:val="16"/>
                <w:szCs w:val="16"/>
                <w:color w:val="auto"/>
              </w:rPr>
              <w:t>108</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20" w:type="dxa"/>
            <w:vAlign w:val="bottom"/>
          </w:tcPr>
          <w:p>
            <w:pPr>
              <w:jc w:val="right"/>
              <w:ind w:right="119"/>
              <w:spacing w:after="0"/>
              <w:rPr>
                <w:sz w:val="20"/>
                <w:szCs w:val="20"/>
                <w:color w:val="auto"/>
              </w:rPr>
            </w:pPr>
            <w:r>
              <w:rPr>
                <w:rFonts w:ascii="Arial" w:cs="Arial" w:eastAsia="Arial" w:hAnsi="Arial"/>
                <w:sz w:val="16"/>
                <w:szCs w:val="16"/>
                <w:color w:val="auto"/>
              </w:rPr>
              <w:t>71</w:t>
            </w:r>
          </w:p>
        </w:tc>
      </w:tr>
      <w:tr>
        <w:trPr>
          <w:trHeight w:val="217"/>
        </w:trPr>
        <w:tc>
          <w:tcPr>
            <w:tcW w:w="7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revenue</w:t>
            </w:r>
          </w:p>
        </w:tc>
        <w:tc>
          <w:tcPr>
            <w:tcW w:w="100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22</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21</w:t>
            </w:r>
          </w:p>
        </w:tc>
      </w:tr>
      <w:tr>
        <w:trPr>
          <w:trHeight w:val="257"/>
        </w:trPr>
        <w:tc>
          <w:tcPr>
            <w:tcW w:w="78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620" w:type="dxa"/>
            <w:vAlign w:val="bottom"/>
          </w:tcPr>
          <w:p>
            <w:pPr>
              <w:spacing w:after="0"/>
              <w:rPr>
                <w:sz w:val="22"/>
                <w:szCs w:val="22"/>
                <w:color w:val="auto"/>
              </w:rPr>
            </w:pPr>
          </w:p>
        </w:tc>
      </w:tr>
      <w:tr>
        <w:trPr>
          <w:trHeight w:val="216"/>
        </w:trPr>
        <w:tc>
          <w:tcPr>
            <w:tcW w:w="7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General and administrative expenses</w:t>
            </w:r>
          </w:p>
        </w:tc>
        <w:tc>
          <w:tcPr>
            <w:tcW w:w="100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711</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591</w:t>
            </w:r>
          </w:p>
        </w:tc>
      </w:tr>
      <w:tr>
        <w:trPr>
          <w:trHeight w:val="216"/>
        </w:trPr>
        <w:tc>
          <w:tcPr>
            <w:tcW w:w="7840" w:type="dxa"/>
            <w:vAlign w:val="bottom"/>
          </w:tcPr>
          <w:p>
            <w:pPr>
              <w:ind w:left="140"/>
              <w:spacing w:after="0" w:line="216" w:lineRule="exact"/>
              <w:rPr>
                <w:sz w:val="20"/>
                <w:szCs w:val="20"/>
                <w:color w:val="auto"/>
              </w:rPr>
            </w:pPr>
            <w:r>
              <w:rPr>
                <w:rFonts w:ascii="Arial" w:cs="Arial" w:eastAsia="Arial" w:hAnsi="Arial"/>
                <w:sz w:val="16"/>
                <w:szCs w:val="16"/>
                <w:i w:val="1"/>
                <w:iCs w:val="1"/>
                <w:color w:val="auto"/>
              </w:rPr>
              <w:t xml:space="preserve">G&amp;A ratio </w:t>
            </w:r>
            <w:r>
              <w:rPr>
                <w:rFonts w:ascii="Arial" w:cs="Arial" w:eastAsia="Arial" w:hAnsi="Arial"/>
                <w:sz w:val="21"/>
                <w:szCs w:val="21"/>
                <w:i w:val="1"/>
                <w:iCs w:val="1"/>
                <w:color w:val="auto"/>
                <w:vertAlign w:val="superscript"/>
              </w:rPr>
              <w:t>(2)</w:t>
            </w:r>
          </w:p>
        </w:tc>
        <w:tc>
          <w:tcPr>
            <w:tcW w:w="10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i w:val="1"/>
                <w:iCs w:val="1"/>
                <w:color w:val="auto"/>
              </w:rPr>
              <w:t>7.2 %</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i w:val="1"/>
                <w:iCs w:val="1"/>
                <w:color w:val="auto"/>
              </w:rPr>
              <w:t>7.2 %</w:t>
            </w:r>
          </w:p>
        </w:tc>
      </w:tr>
      <w:tr>
        <w:trPr>
          <w:trHeight w:val="257"/>
        </w:trPr>
        <w:tc>
          <w:tcPr>
            <w:tcW w:w="784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r>
      <w:tr>
        <w:trPr>
          <w:trHeight w:val="215"/>
        </w:trPr>
        <w:tc>
          <w:tcPr>
            <w:tcW w:w="7840" w:type="dxa"/>
            <w:vAlign w:val="bottom"/>
          </w:tcPr>
          <w:p>
            <w:pPr>
              <w:ind w:left="20"/>
              <w:spacing w:after="0"/>
              <w:rPr>
                <w:sz w:val="20"/>
                <w:szCs w:val="20"/>
                <w:color w:val="auto"/>
              </w:rPr>
            </w:pPr>
            <w:r>
              <w:rPr>
                <w:rFonts w:ascii="Arial" w:cs="Arial" w:eastAsia="Arial" w:hAnsi="Arial"/>
                <w:sz w:val="16"/>
                <w:szCs w:val="16"/>
                <w:color w:val="auto"/>
              </w:rPr>
              <w:t>Premium tax expenses</w:t>
            </w:r>
          </w:p>
        </w:tc>
        <w:tc>
          <w:tcPr>
            <w:tcW w:w="1000" w:type="dxa"/>
            <w:vAlign w:val="bottom"/>
          </w:tcPr>
          <w:p>
            <w:pPr>
              <w:spacing w:after="0"/>
              <w:rPr>
                <w:sz w:val="18"/>
                <w:szCs w:val="18"/>
                <w:color w:val="auto"/>
              </w:rPr>
            </w:pPr>
          </w:p>
        </w:tc>
        <w:tc>
          <w:tcPr>
            <w:tcW w:w="640" w:type="dxa"/>
            <w:vAlign w:val="bottom"/>
          </w:tcPr>
          <w:p>
            <w:pPr>
              <w:jc w:val="right"/>
              <w:ind w:right="119"/>
              <w:spacing w:after="0"/>
              <w:rPr>
                <w:sz w:val="20"/>
                <w:szCs w:val="20"/>
                <w:color w:val="auto"/>
              </w:rPr>
            </w:pPr>
            <w:r>
              <w:rPr>
                <w:rFonts w:ascii="Arial" w:cs="Arial" w:eastAsia="Arial" w:hAnsi="Arial"/>
                <w:sz w:val="16"/>
                <w:szCs w:val="16"/>
                <w:color w:val="auto"/>
              </w:rPr>
              <w:t>297</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20" w:type="dxa"/>
            <w:vAlign w:val="bottom"/>
          </w:tcPr>
          <w:p>
            <w:pPr>
              <w:jc w:val="right"/>
              <w:ind w:right="119"/>
              <w:spacing w:after="0"/>
              <w:rPr>
                <w:sz w:val="20"/>
                <w:szCs w:val="20"/>
                <w:color w:val="auto"/>
              </w:rPr>
            </w:pPr>
            <w:r>
              <w:rPr>
                <w:rFonts w:ascii="Arial" w:cs="Arial" w:eastAsia="Arial" w:hAnsi="Arial"/>
                <w:sz w:val="16"/>
                <w:szCs w:val="16"/>
                <w:color w:val="auto"/>
              </w:rPr>
              <w:t>172</w:t>
            </w:r>
          </w:p>
        </w:tc>
      </w:tr>
      <w:tr>
        <w:trPr>
          <w:trHeight w:val="217"/>
        </w:trPr>
        <w:tc>
          <w:tcPr>
            <w:tcW w:w="7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Depreciation and amortization</w:t>
            </w:r>
          </w:p>
        </w:tc>
        <w:tc>
          <w:tcPr>
            <w:tcW w:w="100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45</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44</w:t>
            </w:r>
          </w:p>
        </w:tc>
      </w:tr>
      <w:tr>
        <w:trPr>
          <w:trHeight w:val="215"/>
        </w:trPr>
        <w:tc>
          <w:tcPr>
            <w:tcW w:w="78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w:t>
            </w:r>
          </w:p>
        </w:tc>
        <w:tc>
          <w:tcPr>
            <w:tcW w:w="10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38</w:t>
            </w:r>
          </w:p>
        </w:tc>
        <w:tc>
          <w:tcPr>
            <w:tcW w:w="12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16</w:t>
            </w:r>
          </w:p>
        </w:tc>
      </w:tr>
      <w:tr>
        <w:trPr>
          <w:trHeight w:val="210"/>
        </w:trPr>
        <w:tc>
          <w:tcPr>
            <w:tcW w:w="7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income</w:t>
            </w:r>
          </w:p>
        </w:tc>
        <w:tc>
          <w:tcPr>
            <w:tcW w:w="10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426</w:t>
            </w:r>
          </w:p>
        </w:tc>
        <w:tc>
          <w:tcPr>
            <w:tcW w:w="120" w:type="dxa"/>
            <w:vAlign w:val="bottom"/>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455</w:t>
            </w:r>
          </w:p>
        </w:tc>
      </w:tr>
      <w:tr>
        <w:trPr>
          <w:trHeight w:val="209"/>
        </w:trPr>
        <w:tc>
          <w:tcPr>
            <w:tcW w:w="78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Interest expense</w:t>
            </w:r>
          </w:p>
        </w:tc>
        <w:tc>
          <w:tcPr>
            <w:tcW w:w="10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27</w:t>
            </w:r>
          </w:p>
        </w:tc>
        <w:tc>
          <w:tcPr>
            <w:tcW w:w="12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28</w:t>
            </w:r>
          </w:p>
        </w:tc>
      </w:tr>
      <w:tr>
        <w:trPr>
          <w:trHeight w:val="210"/>
        </w:trPr>
        <w:tc>
          <w:tcPr>
            <w:tcW w:w="7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before income tax expense</w:t>
            </w:r>
          </w:p>
        </w:tc>
        <w:tc>
          <w:tcPr>
            <w:tcW w:w="100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399</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427</w:t>
            </w:r>
          </w:p>
        </w:tc>
      </w:tr>
      <w:tr>
        <w:trPr>
          <w:trHeight w:val="215"/>
        </w:trPr>
        <w:tc>
          <w:tcPr>
            <w:tcW w:w="78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Income tax expense</w:t>
            </w:r>
          </w:p>
        </w:tc>
        <w:tc>
          <w:tcPr>
            <w:tcW w:w="10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98</w:t>
            </w:r>
          </w:p>
        </w:tc>
        <w:tc>
          <w:tcPr>
            <w:tcW w:w="12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106</w:t>
            </w:r>
          </w:p>
        </w:tc>
      </w:tr>
      <w:tr>
        <w:trPr>
          <w:trHeight w:val="235"/>
        </w:trPr>
        <w:tc>
          <w:tcPr>
            <w:tcW w:w="7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1000" w:type="dxa"/>
            <w:vAlign w:val="bottom"/>
            <w:tcBorders>
              <w:bottom w:val="single" w:sz="8" w:color="auto"/>
            </w:tcBorders>
            <w:shd w:val="clear" w:color="auto" w:fill="CCEEFF"/>
          </w:tcPr>
          <w:p>
            <w:pPr>
              <w:jc w:val="right"/>
              <w:ind w:right="824"/>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301</w:t>
            </w:r>
          </w:p>
        </w:tc>
        <w:tc>
          <w:tcPr>
            <w:tcW w:w="1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ind w:right="841"/>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321</w:t>
            </w:r>
          </w:p>
        </w:tc>
      </w:tr>
      <w:tr>
        <w:trPr>
          <w:trHeight w:val="20"/>
        </w:trPr>
        <w:tc>
          <w:tcPr>
            <w:tcW w:w="78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78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241"/>
        </w:trPr>
        <w:tc>
          <w:tcPr>
            <w:tcW w:w="7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income per share – Diluted</w:t>
            </w:r>
          </w:p>
        </w:tc>
        <w:tc>
          <w:tcPr>
            <w:tcW w:w="1000" w:type="dxa"/>
            <w:vAlign w:val="bottom"/>
            <w:tcBorders>
              <w:bottom w:val="single" w:sz="8" w:color="auto"/>
            </w:tcBorders>
            <w:shd w:val="clear" w:color="auto" w:fill="CCEEFF"/>
          </w:tcPr>
          <w:p>
            <w:pPr>
              <w:jc w:val="right"/>
              <w:ind w:right="824"/>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5.17</w:t>
            </w:r>
          </w:p>
        </w:tc>
        <w:tc>
          <w:tcPr>
            <w:tcW w:w="1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ind w:right="841"/>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5.52</w:t>
            </w:r>
          </w:p>
        </w:tc>
      </w:tr>
      <w:tr>
        <w:trPr>
          <w:trHeight w:val="20"/>
        </w:trPr>
        <w:tc>
          <w:tcPr>
            <w:tcW w:w="78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78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241"/>
        </w:trPr>
        <w:tc>
          <w:tcPr>
            <w:tcW w:w="7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Diluted weighted average shares outstanding</w:t>
            </w:r>
          </w:p>
        </w:tc>
        <w:tc>
          <w:tcPr>
            <w:tcW w:w="1000" w:type="dxa"/>
            <w:vAlign w:val="bottom"/>
            <w:tcBorders>
              <w:bottom w:val="single" w:sz="8" w:color="auto"/>
            </w:tcBorders>
            <w:shd w:val="clear" w:color="auto" w:fill="CCEEFF"/>
          </w:tcPr>
          <w:p>
            <w:pPr>
              <w:spacing w:after="0"/>
              <w:rPr>
                <w:sz w:val="20"/>
                <w:szCs w:val="20"/>
                <w:color w:val="auto"/>
              </w:rPr>
            </w:pPr>
          </w:p>
        </w:tc>
        <w:tc>
          <w:tcPr>
            <w:tcW w:w="64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58.3</w:t>
            </w:r>
          </w:p>
        </w:tc>
        <w:tc>
          <w:tcPr>
            <w:tcW w:w="1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58.0</w:t>
            </w:r>
          </w:p>
        </w:tc>
      </w:tr>
      <w:tr>
        <w:trPr>
          <w:trHeight w:val="20"/>
        </w:trPr>
        <w:tc>
          <w:tcPr>
            <w:tcW w:w="78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78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216"/>
        </w:trPr>
        <w:tc>
          <w:tcPr>
            <w:tcW w:w="78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Other Key Statistics</w:t>
            </w:r>
          </w:p>
        </w:tc>
        <w:tc>
          <w:tcPr>
            <w:tcW w:w="10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r>
      <w:tr>
        <w:trPr>
          <w:trHeight w:val="215"/>
        </w:trPr>
        <w:tc>
          <w:tcPr>
            <w:tcW w:w="7840" w:type="dxa"/>
            <w:vAlign w:val="bottom"/>
          </w:tcPr>
          <w:p>
            <w:pPr>
              <w:ind w:left="20"/>
              <w:spacing w:after="0"/>
              <w:rPr>
                <w:sz w:val="20"/>
                <w:szCs w:val="20"/>
                <w:color w:val="auto"/>
              </w:rPr>
            </w:pPr>
            <w:r>
              <w:rPr>
                <w:rFonts w:ascii="Arial" w:cs="Arial" w:eastAsia="Arial" w:hAnsi="Arial"/>
                <w:sz w:val="16"/>
                <w:szCs w:val="16"/>
                <w:color w:val="auto"/>
              </w:rPr>
              <w:t>Ending Membership</w:t>
            </w:r>
          </w:p>
        </w:tc>
        <w:tc>
          <w:tcPr>
            <w:tcW w:w="1000" w:type="dxa"/>
            <w:vAlign w:val="bottom"/>
          </w:tcPr>
          <w:p>
            <w:pPr>
              <w:spacing w:after="0"/>
              <w:rPr>
                <w:sz w:val="18"/>
                <w:szCs w:val="18"/>
                <w:color w:val="auto"/>
              </w:rPr>
            </w:pPr>
          </w:p>
        </w:tc>
        <w:tc>
          <w:tcPr>
            <w:tcW w:w="640" w:type="dxa"/>
            <w:vAlign w:val="bottom"/>
          </w:tcPr>
          <w:p>
            <w:pPr>
              <w:jc w:val="right"/>
              <w:ind w:right="119"/>
              <w:spacing w:after="0"/>
              <w:rPr>
                <w:sz w:val="20"/>
                <w:szCs w:val="20"/>
                <w:color w:val="auto"/>
              </w:rPr>
            </w:pPr>
            <w:r>
              <w:rPr>
                <w:rFonts w:ascii="Arial" w:cs="Arial" w:eastAsia="Arial" w:hAnsi="Arial"/>
                <w:sz w:val="16"/>
                <w:szCs w:val="16"/>
                <w:color w:val="auto"/>
              </w:rPr>
              <w:t>5.7</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20" w:type="dxa"/>
            <w:vAlign w:val="bottom"/>
          </w:tcPr>
          <w:p>
            <w:pPr>
              <w:jc w:val="right"/>
              <w:ind w:right="119"/>
              <w:spacing w:after="0"/>
              <w:rPr>
                <w:sz w:val="20"/>
                <w:szCs w:val="20"/>
                <w:color w:val="auto"/>
              </w:rPr>
            </w:pPr>
            <w:r>
              <w:rPr>
                <w:rFonts w:ascii="Arial" w:cs="Arial" w:eastAsia="Arial" w:hAnsi="Arial"/>
                <w:sz w:val="16"/>
                <w:szCs w:val="16"/>
                <w:color w:val="auto"/>
              </w:rPr>
              <w:t>5.3</w:t>
            </w:r>
          </w:p>
        </w:tc>
      </w:tr>
      <w:tr>
        <w:trPr>
          <w:trHeight w:val="217"/>
        </w:trPr>
        <w:tc>
          <w:tcPr>
            <w:tcW w:w="7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Effective income tax rate</w:t>
            </w:r>
          </w:p>
        </w:tc>
        <w:tc>
          <w:tcPr>
            <w:tcW w:w="10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24.5 %</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25.0 %</w:t>
            </w:r>
          </w:p>
        </w:tc>
      </w:tr>
      <w:tr>
        <w:trPr>
          <w:trHeight w:val="285"/>
        </w:trPr>
        <w:tc>
          <w:tcPr>
            <w:tcW w:w="7840" w:type="dxa"/>
            <w:vAlign w:val="bottom"/>
          </w:tcPr>
          <w:p>
            <w:pPr>
              <w:ind w:left="20"/>
              <w:spacing w:after="0"/>
              <w:rPr>
                <w:sz w:val="20"/>
                <w:szCs w:val="20"/>
                <w:color w:val="auto"/>
              </w:rPr>
            </w:pPr>
            <w:r>
              <w:rPr>
                <w:rFonts w:ascii="Arial" w:cs="Arial" w:eastAsia="Arial" w:hAnsi="Arial"/>
                <w:sz w:val="16"/>
                <w:szCs w:val="16"/>
                <w:color w:val="auto"/>
              </w:rPr>
              <w:t xml:space="preserve">After-tax margin </w:t>
            </w:r>
            <w:r>
              <w:rPr>
                <w:rFonts w:ascii="Arial" w:cs="Arial" w:eastAsia="Arial" w:hAnsi="Arial"/>
                <w:sz w:val="21"/>
                <w:szCs w:val="21"/>
                <w:color w:val="auto"/>
                <w:vertAlign w:val="superscript"/>
              </w:rPr>
              <w:t>(3)</w:t>
            </w:r>
          </w:p>
        </w:tc>
        <w:tc>
          <w:tcPr>
            <w:tcW w:w="10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3.0 %</w:t>
            </w: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3.9 %</w:t>
            </w:r>
          </w:p>
        </w:tc>
      </w:tr>
    </w:tbl>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w:t>
      </w:r>
    </w:p>
    <w:p>
      <w:pPr>
        <w:spacing w:after="0" w:line="68" w:lineRule="exact"/>
        <w:rPr>
          <w:sz w:val="20"/>
          <w:szCs w:val="20"/>
          <w:color w:val="auto"/>
        </w:rPr>
      </w:pPr>
    </w:p>
    <w:p>
      <w:pPr>
        <w:ind w:left="380" w:hanging="372"/>
        <w:spacing w:after="0"/>
        <w:tabs>
          <w:tab w:leader="none" w:pos="3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MCR represents medical care costs as a percentage of premium revenue.</w:t>
      </w:r>
    </w:p>
    <w:p>
      <w:pPr>
        <w:spacing w:after="0" w:line="21" w:lineRule="exact"/>
        <w:rPr>
          <w:rFonts w:ascii="Arial" w:cs="Arial" w:eastAsia="Arial" w:hAnsi="Arial"/>
          <w:sz w:val="16"/>
          <w:szCs w:val="16"/>
          <w:color w:val="auto"/>
        </w:rPr>
      </w:pPr>
    </w:p>
    <w:p>
      <w:pPr>
        <w:ind w:left="380" w:hanging="372"/>
        <w:spacing w:after="0"/>
        <w:tabs>
          <w:tab w:leader="none" w:pos="3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G&amp;A ratio represents general and administrative expenses as a percentage of total revenue.</w:t>
      </w:r>
    </w:p>
    <w:p>
      <w:pPr>
        <w:spacing w:after="0" w:line="14" w:lineRule="exact"/>
        <w:rPr>
          <w:rFonts w:ascii="Arial" w:cs="Arial" w:eastAsia="Arial" w:hAnsi="Arial"/>
          <w:sz w:val="16"/>
          <w:szCs w:val="16"/>
          <w:color w:val="auto"/>
        </w:rPr>
      </w:pPr>
    </w:p>
    <w:p>
      <w:pPr>
        <w:ind w:left="380" w:hanging="372"/>
        <w:spacing w:after="0"/>
        <w:tabs>
          <w:tab w:leader="none" w:pos="3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After-tax margin represents net income as a percentage of total revenue.</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22"/>
          <w:szCs w:val="22"/>
          <w:b w:val="1"/>
          <w:bCs w:val="1"/>
          <w:color w:val="0F7C7F"/>
        </w:rPr>
        <w:t>CONSOLIDATED RESULTS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828282"/>
        </w:rPr>
        <w:t>NET INCOME AND OPERATING INCOME</w:t>
      </w:r>
    </w:p>
    <w:p>
      <w:pPr>
        <w:spacing w:after="0" w:line="117"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Net income in the first quarter of 2024 amounted to $301 million, or $5.17 per diluted share, compared with $321 million, or $5.52 per diluted share, in the first quarter of 2023. The 6% decrease in net income is consistent with the decline in operating income, which decreased to $426 million in the first quarter of 2024, compared with $455 million in the first quarter of 2023.</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March 31, 2024 Form 10-Q | 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The change in operating income was mainly due to the expected higher initial MCRs related to new contracts, recent acquisitions and organic growth, and higher G&amp;A expense associated with growth, partially offset by the impact of increased premium revenue and higher investment income.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828282"/>
        </w:rPr>
        <w:t>PREMIUM REVENUE</w:t>
      </w:r>
    </w:p>
    <w:p>
      <w:pPr>
        <w:spacing w:after="0" w:line="117"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Premium revenue increased $1.6 billion, or 21%, in the first quarter of 2024, when compared with the first quarter of 2023. The higher premium revenue reflects a balanced combination of the new contract wins, acquisitions, and growth in our current footprint, partially offset by the impact of Medicaid redeterminations. See further discussion in “Reportable Segments—Segment Financial Performance,” below.</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828282"/>
        </w:rPr>
        <w:t>MEDICAL CARE RATIO</w:t>
      </w:r>
    </w:p>
    <w:p>
      <w:pPr>
        <w:spacing w:after="0" w:line="117" w:lineRule="exact"/>
        <w:rPr>
          <w:sz w:val="20"/>
          <w:szCs w:val="20"/>
          <w:color w:val="auto"/>
        </w:rPr>
      </w:pPr>
    </w:p>
    <w:p>
      <w:pPr>
        <w:jc w:val="both"/>
        <w:ind w:right="100"/>
        <w:spacing w:after="0" w:line="262" w:lineRule="auto"/>
        <w:rPr>
          <w:sz w:val="20"/>
          <w:szCs w:val="20"/>
          <w:color w:val="auto"/>
        </w:rPr>
      </w:pPr>
      <w:r>
        <w:rPr>
          <w:rFonts w:ascii="Arial" w:cs="Arial" w:eastAsia="Arial" w:hAnsi="Arial"/>
          <w:sz w:val="18"/>
          <w:szCs w:val="18"/>
          <w:color w:val="auto"/>
        </w:rPr>
        <w:t>The consolidated MCR was 88.5% in the first quarter of 2024, and 87.1% in the first quarter of 2023. The results reflect an increase in each segment, due to the expected higher initial MCRs related to new contracts, recent acquisitions and organic growth, partially offset by certain rate actions and continued strong operating performance and medical cost management. See further discussion in “Reportable Segments— Segment Financial Performance,” below.</w:t>
      </w:r>
    </w:p>
    <w:p>
      <w:pPr>
        <w:spacing w:after="0" w:line="68" w:lineRule="exact"/>
        <w:rPr>
          <w:sz w:val="20"/>
          <w:szCs w:val="20"/>
          <w:color w:val="auto"/>
        </w:rPr>
      </w:pPr>
    </w:p>
    <w:p>
      <w:pPr>
        <w:ind w:right="220"/>
        <w:spacing w:after="0" w:line="287" w:lineRule="auto"/>
        <w:rPr>
          <w:sz w:val="20"/>
          <w:szCs w:val="20"/>
          <w:color w:val="auto"/>
        </w:rPr>
      </w:pPr>
      <w:r>
        <w:rPr>
          <w:rFonts w:ascii="Arial" w:cs="Arial" w:eastAsia="Arial" w:hAnsi="Arial"/>
          <w:sz w:val="18"/>
          <w:szCs w:val="18"/>
          <w:color w:val="auto"/>
        </w:rPr>
        <w:t>The prior year reserve development in the first quarter of 2024 was favorable, but its impact on earnings was mostly absorbed by minimum MLRs and medical cost corridors.</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828282"/>
        </w:rPr>
        <w:t>PREMIUM TAX REVENUE AND EXPENSES</w:t>
      </w:r>
    </w:p>
    <w:p>
      <w:pPr>
        <w:spacing w:after="0" w:line="117" w:lineRule="exact"/>
        <w:rPr>
          <w:sz w:val="20"/>
          <w:szCs w:val="20"/>
          <w:color w:val="auto"/>
        </w:rPr>
      </w:pPr>
    </w:p>
    <w:p>
      <w:pPr>
        <w:jc w:val="both"/>
        <w:ind w:right="240"/>
        <w:spacing w:after="0" w:line="291" w:lineRule="auto"/>
        <w:rPr>
          <w:sz w:val="20"/>
          <w:szCs w:val="20"/>
          <w:color w:val="auto"/>
        </w:rPr>
      </w:pPr>
      <w:r>
        <w:rPr>
          <w:rFonts w:ascii="Arial" w:cs="Arial" w:eastAsia="Arial" w:hAnsi="Arial"/>
          <w:sz w:val="17"/>
          <w:szCs w:val="17"/>
          <w:color w:val="auto"/>
        </w:rPr>
        <w:t>The premium tax ratio (premium tax expense as a percentage of premium revenue plus premium tax revenue) was 3.0% and 2.1% for the first quarter of 2024 and 2023, respectively. The current year ratio increase was mainly due to the reinstatement of the California managed care organization tax by the state’s Department of Health Care Services in the fourth quarter of 2023 and changes in business mix.</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828282"/>
        </w:rPr>
        <w:t>INVESTMENT INCOME</w:t>
      </w:r>
    </w:p>
    <w:p>
      <w:pPr>
        <w:spacing w:after="0" w:line="117" w:lineRule="exact"/>
        <w:rPr>
          <w:sz w:val="20"/>
          <w:szCs w:val="20"/>
          <w:color w:val="auto"/>
        </w:rPr>
      </w:pPr>
    </w:p>
    <w:p>
      <w:pPr>
        <w:ind w:right="160"/>
        <w:spacing w:after="0" w:line="287" w:lineRule="auto"/>
        <w:rPr>
          <w:sz w:val="20"/>
          <w:szCs w:val="20"/>
          <w:color w:val="auto"/>
        </w:rPr>
      </w:pPr>
      <w:r>
        <w:rPr>
          <w:rFonts w:ascii="Arial" w:cs="Arial" w:eastAsia="Arial" w:hAnsi="Arial"/>
          <w:sz w:val="18"/>
          <w:szCs w:val="18"/>
          <w:color w:val="auto"/>
        </w:rPr>
        <w:t>Investment income increased to $108 million in the first quarter of 2024, compared with $71 million in the first quarter of 2023. The increase was driven by higher levels of invested assets and higher interest rates.</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828282"/>
        </w:rPr>
        <w:t>OTHER REVENUE</w:t>
      </w:r>
    </w:p>
    <w:p>
      <w:pPr>
        <w:spacing w:after="0" w:line="117" w:lineRule="exact"/>
        <w:rPr>
          <w:sz w:val="20"/>
          <w:szCs w:val="20"/>
          <w:color w:val="auto"/>
        </w:rPr>
      </w:pPr>
    </w:p>
    <w:p>
      <w:pPr>
        <w:ind w:right="500"/>
        <w:spacing w:after="0" w:line="318" w:lineRule="auto"/>
        <w:rPr>
          <w:sz w:val="20"/>
          <w:szCs w:val="20"/>
          <w:color w:val="auto"/>
        </w:rPr>
      </w:pPr>
      <w:r>
        <w:rPr>
          <w:rFonts w:ascii="Arial" w:cs="Arial" w:eastAsia="Arial" w:hAnsi="Arial"/>
          <w:sz w:val="17"/>
          <w:szCs w:val="17"/>
          <w:color w:val="auto"/>
        </w:rPr>
        <w:t>Other revenue amounted to $22 million in the first quarter of 2024, compared with $21 million in the first quarter of 2023. Other revenue mainly includes service revenue associated with long-term services and supports consultative services we provide in Wisconsin.</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b w:val="1"/>
          <w:bCs w:val="1"/>
          <w:color w:val="828282"/>
        </w:rPr>
        <w:t>G&amp;A EXPENSES</w:t>
      </w:r>
    </w:p>
    <w:p>
      <w:pPr>
        <w:spacing w:after="0" w:line="117"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color w:val="auto"/>
        </w:rPr>
        <w:t>The G&amp;A expense ratio of 7.2% in the first quarter of 2024 was consistent with the first quarter of 2023. G&amp;A expenses in the first quarter of 2024 reflect deployment costs for new business implementations associated with the Nebraska and California Medicaid contracts wins that started in January 2024, and was partially offset by the benefits of scale produced by our year-over-year growth and continued disciplined cost management.</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828282"/>
        </w:rPr>
        <w:t>DEPRECIATION AND AMORTIZATION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Depreciation and amortization was $45 million in the first quarter of 2024, compared with $44 million in the first quarter of 2023.</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828282"/>
        </w:rPr>
        <w:t>OTHER OPERATING EXPENSES</w:t>
      </w:r>
    </w:p>
    <w:p>
      <w:pPr>
        <w:spacing w:after="0" w:line="117"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Other operating expenses totaled $38 million in the first quarter of 2024 compared to $16 million in the first quarter of 2023, and the increase in the first quarter of 2024 reflects certain non-recurring costs associated with acquisitions, and costs for litigation dating back to 2013. Other operating expenses also include service costs associated with long-term services and supports consultative services we provide in Wisconsin, as noted above.</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828282"/>
        </w:rPr>
        <w:t>INTEREST EXPENSE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Interest expense totaled $27 million in the first quarter of 2024 and was $28 million in the first quarter of 2023.</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828282"/>
        </w:rPr>
        <w:t>INCOME TAXES</w:t>
      </w:r>
    </w:p>
    <w:p>
      <w:pPr>
        <w:spacing w:after="0" w:line="117"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Income tax expense amounted to $98 million in the first quarter of 2024, or 24.5% of pretax income, compared with income tax expense of $106 million, or 25.0% of pretax income in the first quarter of 2023. The difference in the effective tax rate is primarily due to state income taxes and differences in discrete tax benefits recorded in the respective periods.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March 31, 2024 Form 10-Q | 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22"/>
          <w:szCs w:val="22"/>
          <w:b w:val="1"/>
          <w:bCs w:val="1"/>
          <w:color w:val="0F7C7F"/>
        </w:rPr>
        <w:t>TRENDS AND UNCERTAINTIES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828282"/>
        </w:rPr>
        <w:t>REGULATORY DEVELOPMENTS AND RELATED TRENDS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Federal Economic Stabilization and Other Programs</w:t>
      </w:r>
    </w:p>
    <w:p>
      <w:pPr>
        <w:spacing w:after="0" w:line="115"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The Public Health Emergency (“PHE”) officially ended on May 11, 2023. There are several healthcare programs tied to the PHE which are impacted by this change in policy. These include coverage of COVID-19 testing and vaccines, changes to the Medicare fee schedule for COVID-related treatments, and free coverage of at-home COVID-19 diagnostic tests. Per federal statutory and regulatory requirements, some of these programs concluded with the end of the PHE, while some will continue through 2024, and some will remain in place permanently.</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Operations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Enrollment and Premium Revenue</w:t>
      </w:r>
    </w:p>
    <w:p>
      <w:pPr>
        <w:spacing w:after="0" w:line="117"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Excluding acquisitions and our exit from Puerto Rico, we estimate we added approximately one million new Medicaid members since March 31, 2020, when we first began to report on the impacts of the pandemic. We believe this membership increase was mainly due to the suspension of redeterminations for Medicaid eligibility. The Consolidated Appropriations Act of 2023 authorized states to resume redeterminations and terminate coverage for ineligible enrollees starting on April 1, 2023, irrespective of the status of the PHE. Consequently, during the third quarter of 2023, all states in which we operate had begun disenrolling members. In the first quarter of 2024, we estimate we lost approximately 50,000 members due to the net effect of redeterminations. This was on track with our expectations and brings the total count of members lost through redeterminations to 550,000. Given the high number of procedural terminations and increasing interventions by CMS and various states, we expect reconnects will likely continue, decreasing currently reported losses. Although the medical cost profile of members who have been disenrolled is more favorable than the Medicaid segment average, when combined with the beneficial impact of corridor offsets in several states, our Medicaid MCR for the first quarter ended March 31, 2024 was in line with our expectations. Based on the experience to date, we expect that we will ultimately retain approximately 40% of the membership gained since March 31, 2020.</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color w:val="828282"/>
        </w:rPr>
        <w:t>OTHER RECENT DEVELOPMENTS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RFPs and Acquisitions</w:t>
      </w:r>
    </w:p>
    <w:p>
      <w:pPr>
        <w:spacing w:after="0" w:line="115" w:lineRule="exact"/>
        <w:rPr>
          <w:sz w:val="20"/>
          <w:szCs w:val="20"/>
          <w:color w:val="auto"/>
        </w:rPr>
      </w:pPr>
    </w:p>
    <w:p>
      <w:pPr>
        <w:ind w:right="180"/>
        <w:spacing w:after="0" w:line="318" w:lineRule="auto"/>
        <w:rPr>
          <w:sz w:val="20"/>
          <w:szCs w:val="20"/>
          <w:color w:val="auto"/>
        </w:rPr>
      </w:pPr>
      <w:r>
        <w:rPr>
          <w:rFonts w:ascii="Arial" w:cs="Arial" w:eastAsia="Arial" w:hAnsi="Arial"/>
          <w:sz w:val="17"/>
          <w:szCs w:val="17"/>
          <w:i w:val="1"/>
          <w:iCs w:val="1"/>
          <w:color w:val="auto"/>
        </w:rPr>
        <w:t xml:space="preserve">Florida Procurement—Medicaid. </w:t>
      </w:r>
      <w:r>
        <w:rPr>
          <w:rFonts w:ascii="Arial" w:cs="Arial" w:eastAsia="Arial" w:hAnsi="Arial"/>
          <w:sz w:val="17"/>
          <w:szCs w:val="17"/>
          <w:color w:val="auto"/>
        </w:rPr>
        <w:t>In April 2024, we were notified that the Florida Agency for Health Care Administration issued a notice of</w:t>
      </w:r>
      <w:r>
        <w:rPr>
          <w:rFonts w:ascii="Arial" w:cs="Arial" w:eastAsia="Arial" w:hAnsi="Arial"/>
          <w:sz w:val="17"/>
          <w:szCs w:val="17"/>
          <w:i w:val="1"/>
          <w:iCs w:val="1"/>
          <w:color w:val="auto"/>
        </w:rPr>
        <w:t xml:space="preserve"> </w:t>
      </w:r>
      <w:r>
        <w:rPr>
          <w:rFonts w:ascii="Arial" w:cs="Arial" w:eastAsia="Arial" w:hAnsi="Arial"/>
          <w:sz w:val="17"/>
          <w:szCs w:val="17"/>
          <w:color w:val="auto"/>
        </w:rPr>
        <w:t>invitation to negotiate which did not include Molina Healthcare of Florida as an awardee. We are exercising our right to protest the decision.</w:t>
      </w:r>
    </w:p>
    <w:p>
      <w:pPr>
        <w:spacing w:after="0" w:line="22"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i w:val="1"/>
          <w:iCs w:val="1"/>
          <w:color w:val="auto"/>
        </w:rPr>
        <w:t xml:space="preserve">Michigan Procurement—Medicaid. </w:t>
      </w:r>
      <w:r>
        <w:rPr>
          <w:rFonts w:ascii="Arial" w:cs="Arial" w:eastAsia="Arial" w:hAnsi="Arial"/>
          <w:sz w:val="18"/>
          <w:szCs w:val="18"/>
          <w:color w:val="auto"/>
        </w:rPr>
        <w:t>In April 2024, we announced that the Michigan Department of Health and Human Services intends to</w:t>
      </w:r>
      <w:r>
        <w:rPr>
          <w:rFonts w:ascii="Arial" w:cs="Arial" w:eastAsia="Arial" w:hAnsi="Arial"/>
          <w:sz w:val="18"/>
          <w:szCs w:val="18"/>
          <w:i w:val="1"/>
          <w:iCs w:val="1"/>
          <w:color w:val="auto"/>
        </w:rPr>
        <w:t xml:space="preserve"> </w:t>
      </w:r>
      <w:r>
        <w:rPr>
          <w:rFonts w:ascii="Arial" w:cs="Arial" w:eastAsia="Arial" w:hAnsi="Arial"/>
          <w:sz w:val="18"/>
          <w:szCs w:val="18"/>
          <w:color w:val="auto"/>
        </w:rPr>
        <w:t>award a Comprehensive Health Care Program contract to Molina Healthcare of Michigan. We were awarded the contract in six service regions. The go-live date for the new Medicaid contract is expected to be October 1, 2024. The new contract is expected to have a duration of five years, with three, one-year optional extensions.</w:t>
      </w:r>
    </w:p>
    <w:p>
      <w:pPr>
        <w:spacing w:after="0" w:line="68"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i w:val="1"/>
          <w:iCs w:val="1"/>
          <w:color w:val="auto"/>
        </w:rPr>
        <w:t xml:space="preserve">Texas Procurement—Medicaid. </w:t>
      </w:r>
      <w:r>
        <w:rPr>
          <w:rFonts w:ascii="Arial" w:cs="Arial" w:eastAsia="Arial" w:hAnsi="Arial"/>
          <w:sz w:val="18"/>
          <w:szCs w:val="18"/>
          <w:color w:val="auto"/>
        </w:rPr>
        <w:t>In March 2024, we were notified of the Texas Health and Human Services Commission’s intent to award us a</w:t>
      </w:r>
      <w:r>
        <w:rPr>
          <w:rFonts w:ascii="Arial" w:cs="Arial" w:eastAsia="Arial" w:hAnsi="Arial"/>
          <w:sz w:val="18"/>
          <w:szCs w:val="18"/>
          <w:i w:val="1"/>
          <w:iCs w:val="1"/>
          <w:color w:val="auto"/>
        </w:rPr>
        <w:t xml:space="preserve"> </w:t>
      </w:r>
      <w:r>
        <w:rPr>
          <w:rFonts w:ascii="Arial" w:cs="Arial" w:eastAsia="Arial" w:hAnsi="Arial"/>
          <w:sz w:val="18"/>
          <w:szCs w:val="18"/>
          <w:color w:val="auto"/>
        </w:rPr>
        <w:t>contract for TANF and CHIP (known as the STAR &amp; CHIP programs, and both existing contracts for Molina), expanding our footprint and expecting to grow our market share. The start of operations for the new contract is expected to begin in the third quarter of 2025.</w:t>
      </w:r>
    </w:p>
    <w:p>
      <w:pPr>
        <w:spacing w:after="0" w:line="63"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i w:val="1"/>
          <w:iCs w:val="1"/>
          <w:color w:val="auto"/>
        </w:rPr>
        <w:t xml:space="preserve">Mississippi Procurement—Medicaid. </w:t>
      </w:r>
      <w:r>
        <w:rPr>
          <w:rFonts w:ascii="Arial" w:cs="Arial" w:eastAsia="Arial" w:hAnsi="Arial"/>
          <w:sz w:val="18"/>
          <w:szCs w:val="18"/>
          <w:color w:val="auto"/>
        </w:rPr>
        <w:t>In the first quarter of 2024, Mississippi Division of Medicaid signaled its intention to further extend the</w:t>
      </w:r>
      <w:r>
        <w:rPr>
          <w:rFonts w:ascii="Arial" w:cs="Arial" w:eastAsia="Arial" w:hAnsi="Arial"/>
          <w:sz w:val="18"/>
          <w:szCs w:val="18"/>
          <w:i w:val="1"/>
          <w:iCs w:val="1"/>
          <w:color w:val="auto"/>
        </w:rPr>
        <w:t xml:space="preserve"> </w:t>
      </w:r>
      <w:r>
        <w:rPr>
          <w:rFonts w:ascii="Arial" w:cs="Arial" w:eastAsia="Arial" w:hAnsi="Arial"/>
          <w:sz w:val="18"/>
          <w:szCs w:val="18"/>
          <w:color w:val="auto"/>
        </w:rPr>
        <w:t>existing contracts for at least part of the state fiscal year that will begin on July 1, 2024. We now expect the new four-year contract to commence between September 1, 2024 and July 1, 2025.</w:t>
      </w:r>
    </w:p>
    <w:p>
      <w:pPr>
        <w:spacing w:after="0" w:line="63"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i w:val="1"/>
          <w:iCs w:val="1"/>
          <w:color w:val="auto"/>
        </w:rPr>
        <w:t xml:space="preserve">Virginia Procurement—Medicaid. </w:t>
      </w:r>
      <w:r>
        <w:rPr>
          <w:rFonts w:ascii="Arial" w:cs="Arial" w:eastAsia="Arial" w:hAnsi="Arial"/>
          <w:sz w:val="18"/>
          <w:szCs w:val="18"/>
          <w:color w:val="auto"/>
        </w:rPr>
        <w:t>In the first quarter of 2024, the Virginia Department of Medical Assistance Services (“DMAS”) issued a</w:t>
      </w:r>
      <w:r>
        <w:rPr>
          <w:rFonts w:ascii="Arial" w:cs="Arial" w:eastAsia="Arial" w:hAnsi="Arial"/>
          <w:sz w:val="18"/>
          <w:szCs w:val="18"/>
          <w:i w:val="1"/>
          <w:iCs w:val="1"/>
          <w:color w:val="auto"/>
        </w:rPr>
        <w:t xml:space="preserve"> </w:t>
      </w:r>
      <w:r>
        <w:rPr>
          <w:rFonts w:ascii="Arial" w:cs="Arial" w:eastAsia="Arial" w:hAnsi="Arial"/>
          <w:sz w:val="18"/>
          <w:szCs w:val="18"/>
          <w:color w:val="auto"/>
        </w:rPr>
        <w:t>notice of intent to award which did not include Molina Healthcare of Virginia as an awardee for its Cardinal Care Managed Care (“CCMC”) procurement. We exercised our right to protest that decision. On April 19, 2024, DMAS upheld its notice of intent to award in response to our protest. Molina intends to file a legal action in Virginia District Court over DMAS’s decision not to award Molina a CCMC contract. In addition, DMAS separately notified us that they were exercising the contractual extension option for the period from July 1, 2024 through June 30, 2025. Despite the extension, subject to a 90-day advance notice obligation, DMAS retains its right to terminate the contract for convenience in order to transition members to the new CCMC contracts.</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March 31, 2024 Form 10-Q | 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right="380"/>
        <w:spacing w:after="0" w:line="287" w:lineRule="auto"/>
        <w:rPr>
          <w:sz w:val="20"/>
          <w:szCs w:val="20"/>
          <w:color w:val="auto"/>
        </w:rPr>
      </w:pPr>
      <w:r>
        <w:rPr>
          <w:rFonts w:ascii="Arial" w:cs="Arial" w:eastAsia="Arial" w:hAnsi="Arial"/>
          <w:sz w:val="18"/>
          <w:szCs w:val="18"/>
          <w:i w:val="1"/>
          <w:iCs w:val="1"/>
          <w:color w:val="auto"/>
        </w:rPr>
        <w:t xml:space="preserve">California Acquisition—Medicare. </w:t>
      </w:r>
      <w:r>
        <w:rPr>
          <w:rFonts w:ascii="Arial" w:cs="Arial" w:eastAsia="Arial" w:hAnsi="Arial"/>
          <w:sz w:val="18"/>
          <w:szCs w:val="18"/>
          <w:color w:val="auto"/>
        </w:rPr>
        <w:t>Effective January 1, 2024, we closed on our acquisition of 100% of the issued and outstanding capital</w:t>
      </w:r>
      <w:r>
        <w:rPr>
          <w:rFonts w:ascii="Arial" w:cs="Arial" w:eastAsia="Arial" w:hAnsi="Arial"/>
          <w:sz w:val="18"/>
          <w:szCs w:val="18"/>
          <w:i w:val="1"/>
          <w:iCs w:val="1"/>
          <w:color w:val="auto"/>
        </w:rPr>
        <w:t xml:space="preserve"> </w:t>
      </w:r>
      <w:r>
        <w:rPr>
          <w:rFonts w:ascii="Arial" w:cs="Arial" w:eastAsia="Arial" w:hAnsi="Arial"/>
          <w:sz w:val="18"/>
          <w:szCs w:val="18"/>
          <w:color w:val="auto"/>
        </w:rPr>
        <w:t>stock of Brand New Day and Central Health Plan of California (“Bright Health Medicare”), which added approximately 109,000 members.</w:t>
      </w:r>
    </w:p>
    <w:p>
      <w:pPr>
        <w:spacing w:after="0" w:line="45" w:lineRule="exact"/>
        <w:rPr>
          <w:sz w:val="20"/>
          <w:szCs w:val="20"/>
          <w:color w:val="auto"/>
        </w:rPr>
      </w:pPr>
    </w:p>
    <w:p>
      <w:pPr>
        <w:jc w:val="both"/>
        <w:ind w:right="340"/>
        <w:spacing w:after="0" w:line="268" w:lineRule="auto"/>
        <w:rPr>
          <w:sz w:val="20"/>
          <w:szCs w:val="20"/>
          <w:color w:val="auto"/>
        </w:rPr>
      </w:pPr>
      <w:r>
        <w:rPr>
          <w:rFonts w:ascii="Arial" w:cs="Arial" w:eastAsia="Arial" w:hAnsi="Arial"/>
          <w:sz w:val="18"/>
          <w:szCs w:val="18"/>
          <w:i w:val="1"/>
          <w:iCs w:val="1"/>
          <w:color w:val="auto"/>
        </w:rPr>
        <w:t xml:space="preserve">California Procurement—Medicaid. </w:t>
      </w:r>
      <w:r>
        <w:rPr>
          <w:rFonts w:ascii="Arial" w:cs="Arial" w:eastAsia="Arial" w:hAnsi="Arial"/>
          <w:sz w:val="18"/>
          <w:szCs w:val="18"/>
          <w:color w:val="auto"/>
        </w:rPr>
        <w:t>Our new contract with the California Department of Health Care Services commenced on January 1,</w:t>
      </w:r>
      <w:r>
        <w:rPr>
          <w:rFonts w:ascii="Arial" w:cs="Arial" w:eastAsia="Arial" w:hAnsi="Arial"/>
          <w:sz w:val="18"/>
          <w:szCs w:val="18"/>
          <w:i w:val="1"/>
          <w:iCs w:val="1"/>
          <w:color w:val="auto"/>
        </w:rPr>
        <w:t xml:space="preserve"> </w:t>
      </w:r>
      <w:r>
        <w:rPr>
          <w:rFonts w:ascii="Arial" w:cs="Arial" w:eastAsia="Arial" w:hAnsi="Arial"/>
          <w:sz w:val="18"/>
          <w:szCs w:val="18"/>
          <w:color w:val="auto"/>
        </w:rPr>
        <w:t>2024, which enables us to continue servicing Medi-Cal members in most of our existing counties and expand our footprint in Los Angeles County.</w:t>
      </w:r>
    </w:p>
    <w:p>
      <w:pPr>
        <w:spacing w:after="0" w:line="63" w:lineRule="exact"/>
        <w:rPr>
          <w:sz w:val="20"/>
          <w:szCs w:val="20"/>
          <w:color w:val="auto"/>
        </w:rPr>
      </w:pPr>
    </w:p>
    <w:p>
      <w:pPr>
        <w:ind w:right="80"/>
        <w:spacing w:after="0" w:line="287" w:lineRule="auto"/>
        <w:rPr>
          <w:sz w:val="20"/>
          <w:szCs w:val="20"/>
          <w:color w:val="auto"/>
        </w:rPr>
      </w:pPr>
      <w:r>
        <w:rPr>
          <w:rFonts w:ascii="Arial" w:cs="Arial" w:eastAsia="Arial" w:hAnsi="Arial"/>
          <w:sz w:val="18"/>
          <w:szCs w:val="18"/>
          <w:i w:val="1"/>
          <w:iCs w:val="1"/>
          <w:color w:val="auto"/>
        </w:rPr>
        <w:t xml:space="preserve">Nebraska Procurement—Medicaid. </w:t>
      </w:r>
      <w:r>
        <w:rPr>
          <w:rFonts w:ascii="Arial" w:cs="Arial" w:eastAsia="Arial" w:hAnsi="Arial"/>
          <w:sz w:val="18"/>
          <w:szCs w:val="18"/>
          <w:color w:val="auto"/>
        </w:rPr>
        <w:t>Our new contract with the Nebraska Department of Health and Human Services commenced on January</w:t>
      </w:r>
      <w:r>
        <w:rPr>
          <w:rFonts w:ascii="Arial" w:cs="Arial" w:eastAsia="Arial" w:hAnsi="Arial"/>
          <w:sz w:val="18"/>
          <w:szCs w:val="18"/>
          <w:i w:val="1"/>
          <w:iCs w:val="1"/>
          <w:color w:val="auto"/>
        </w:rPr>
        <w:t xml:space="preserve"> </w:t>
      </w:r>
      <w:r>
        <w:rPr>
          <w:rFonts w:ascii="Arial" w:cs="Arial" w:eastAsia="Arial" w:hAnsi="Arial"/>
          <w:sz w:val="18"/>
          <w:szCs w:val="18"/>
          <w:color w:val="auto"/>
        </w:rPr>
        <w:t>1, 2024, which added approximately 111,000 members.</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 Healthcare Cybersecurity Incident</w:t>
      </w:r>
    </w:p>
    <w:p>
      <w:pPr>
        <w:spacing w:after="0" w:line="115"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On February 21, 2024, Change Healthcare (“CHC”), a major claims processing vendor to Molina, experienced a significant cybersecurity incident. Immediately upon becoming aware of the incident, Molina disconnected and isolated its systems from CHC, and confirmed that no Molina owned or operated systems were compromised by any pre-incident interaction or connectivity with CHC. As a result of the disconnection of our systems from CHC, Molina’s ability to receive claims submissions and process remits and payments to providers was partially and temporarily impaired. We promptly enacted our incident response and business continuity plans, which included the implementation of alternative, work-around solutions in order to resume electronic claims intake and payment to providers, and, as a result, we experienced minimal impact to our claims payment operations. To date the event has not had a material impact on the Company’s financial condition or results of operations.</w:t>
      </w:r>
    </w:p>
    <w:p>
      <w:pPr>
        <w:spacing w:after="0" w:line="77" w:lineRule="exact"/>
        <w:rPr>
          <w:sz w:val="20"/>
          <w:szCs w:val="20"/>
          <w:color w:val="auto"/>
        </w:rPr>
      </w:pPr>
    </w:p>
    <w:p>
      <w:pPr>
        <w:ind w:right="220"/>
        <w:spacing w:after="0" w:line="334" w:lineRule="auto"/>
        <w:rPr>
          <w:sz w:val="20"/>
          <w:szCs w:val="20"/>
          <w:color w:val="auto"/>
        </w:rPr>
      </w:pPr>
      <w:r>
        <w:rPr>
          <w:rFonts w:ascii="Arial" w:cs="Arial" w:eastAsia="Arial" w:hAnsi="Arial"/>
          <w:sz w:val="18"/>
          <w:szCs w:val="18"/>
          <w:color w:val="auto"/>
        </w:rPr>
        <w:t>UnitedHealth Group, the parent company to CHC, has indicated a substantial portion of U.S. residents may have had their PHI/PII affected by the incident. However, we currently have no specific indication from CHC as to whether our members’ data has been breached.</w:t>
      </w:r>
    </w:p>
    <w:p>
      <w:pPr>
        <w:spacing w:after="0" w:line="4" w:lineRule="exact"/>
        <w:rPr>
          <w:sz w:val="20"/>
          <w:szCs w:val="20"/>
          <w:color w:val="auto"/>
        </w:rPr>
      </w:pPr>
    </w:p>
    <w:p>
      <w:pPr>
        <w:ind w:right="1060"/>
        <w:spacing w:after="0" w:line="287" w:lineRule="auto"/>
        <w:rPr>
          <w:sz w:val="20"/>
          <w:szCs w:val="20"/>
          <w:color w:val="auto"/>
        </w:rPr>
      </w:pPr>
      <w:r>
        <w:rPr>
          <w:rFonts w:ascii="Arial" w:cs="Arial" w:eastAsia="Arial" w:hAnsi="Arial"/>
          <w:sz w:val="18"/>
          <w:szCs w:val="18"/>
          <w:color w:val="auto"/>
        </w:rPr>
        <w:t>We are continuing to monitor the situation regarding new developments and remain in close communication with CHC. We have implemented heightened security protocols to mitigate potential risks to our providers and members related to this incident.</w:t>
      </w:r>
    </w:p>
    <w:p>
      <w:pPr>
        <w:spacing w:after="0" w:line="45"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color w:val="auto"/>
        </w:rPr>
        <w:t>For a discussion of additional segment trends, uncertainties and other developments, refer to our 2023 Annual Report on Form 10-K, “Item 1. Business—Our Business,” and “—Legislative and Political Environment.”</w:t>
      </w:r>
    </w:p>
    <w:p>
      <w:pPr>
        <w:spacing w:after="0" w:line="400" w:lineRule="exact"/>
        <w:rPr>
          <w:sz w:val="20"/>
          <w:szCs w:val="20"/>
          <w:color w:val="auto"/>
        </w:rPr>
      </w:pPr>
    </w:p>
    <w:p>
      <w:pPr>
        <w:spacing w:after="0"/>
        <w:rPr>
          <w:sz w:val="20"/>
          <w:szCs w:val="20"/>
          <w:color w:val="auto"/>
        </w:rPr>
      </w:pPr>
      <w:r>
        <w:rPr>
          <w:rFonts w:ascii="Arial" w:cs="Arial" w:eastAsia="Arial" w:hAnsi="Arial"/>
          <w:sz w:val="22"/>
          <w:szCs w:val="22"/>
          <w:b w:val="1"/>
          <w:bCs w:val="1"/>
          <w:color w:val="0F7C7F"/>
        </w:rPr>
        <w:t>REPORTABLE SEGMENTS</w:t>
      </w:r>
    </w:p>
    <w:p>
      <w:pPr>
        <w:spacing w:after="0" w:line="108"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As of March 31, 2024, we served approximately 5.7 million members eligible for Medicaid, Medicare, and other government-sponsored healthcare programs for low-income families and individuals, including Marketplace members, most of whom receive government premium subsidies.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We currently have reportable segments consisting of: 1) Medicaid; 2) Medicare; 3) Marketplace; and 4) Other.</w:t>
      </w:r>
    </w:p>
    <w:p>
      <w:pPr>
        <w:spacing w:after="0" w:line="117" w:lineRule="exact"/>
        <w:rPr>
          <w:sz w:val="20"/>
          <w:szCs w:val="20"/>
          <w:color w:val="auto"/>
        </w:rPr>
      </w:pPr>
    </w:p>
    <w:p>
      <w:pPr>
        <w:jc w:val="both"/>
        <w:ind w:right="700"/>
        <w:spacing w:after="0" w:line="268" w:lineRule="auto"/>
        <w:rPr>
          <w:sz w:val="20"/>
          <w:szCs w:val="20"/>
          <w:color w:val="auto"/>
        </w:rPr>
      </w:pPr>
      <w:r>
        <w:rPr>
          <w:rFonts w:ascii="Arial" w:cs="Arial" w:eastAsia="Arial" w:hAnsi="Arial"/>
          <w:sz w:val="18"/>
          <w:szCs w:val="18"/>
          <w:color w:val="auto"/>
        </w:rPr>
        <w:t>The Medicaid, Medicare, and Marketplace segments represent the government-funded or sponsored programs under which we offer managed healthcare services. The Other segment, which is insignificant to our consolidated results of operations, includes long-term services and supports consultative services in Wisconsin.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828282"/>
        </w:rPr>
        <w:t>HOW WE ASSESS PERFORMANCE</w:t>
      </w:r>
    </w:p>
    <w:p>
      <w:pPr>
        <w:spacing w:after="0" w:line="117" w:lineRule="exact"/>
        <w:rPr>
          <w:sz w:val="20"/>
          <w:szCs w:val="20"/>
          <w:color w:val="auto"/>
        </w:rPr>
      </w:pPr>
    </w:p>
    <w:p>
      <w:pPr>
        <w:ind w:right="500"/>
        <w:spacing w:after="0" w:line="287" w:lineRule="auto"/>
        <w:rPr>
          <w:sz w:val="20"/>
          <w:szCs w:val="20"/>
          <w:color w:val="auto"/>
        </w:rPr>
      </w:pPr>
      <w:r>
        <w:rPr>
          <w:rFonts w:ascii="Arial" w:cs="Arial" w:eastAsia="Arial" w:hAnsi="Arial"/>
          <w:sz w:val="18"/>
          <w:szCs w:val="18"/>
          <w:color w:val="auto"/>
        </w:rPr>
        <w:t>We derive our revenues primarily from health insurance premiums. Our primary customers are state Medicaid agencies and the federal government.</w:t>
      </w:r>
    </w:p>
    <w:p>
      <w:pPr>
        <w:spacing w:after="0" w:line="45"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key metrics used to assess the performance of our Medicaid, Medicare, and Marketplace segments are premium revenue, medical margin and medical care ratio (“MCR”). MCR represents the amount of medical care costs as a percentage of premium revenue. Therefore, the underlying medical margin, or the amount earned by the Medicaid, Medicare, and Marketplace segments after medical costs are deducted from premium revenue, represents the most important measure of earnings reviewed by management, and is used by our chief executive officer to review results, assess performance, and allocate resources. The key metric used to assess the performance of our Other segment is service margin. The service margin is equal to service revenue minus cost of service revenue.</w:t>
      </w:r>
    </w:p>
    <w:p>
      <w:pPr>
        <w:spacing w:after="0" w:line="74" w:lineRule="exact"/>
        <w:rPr>
          <w:sz w:val="20"/>
          <w:szCs w:val="20"/>
          <w:color w:val="auto"/>
        </w:rPr>
      </w:pPr>
    </w:p>
    <w:p>
      <w:pPr>
        <w:ind w:right="340"/>
        <w:spacing w:after="0" w:line="287" w:lineRule="auto"/>
        <w:rPr>
          <w:sz w:val="20"/>
          <w:szCs w:val="20"/>
          <w:color w:val="auto"/>
        </w:rPr>
      </w:pPr>
      <w:r>
        <w:rPr>
          <w:rFonts w:ascii="Arial" w:cs="Arial" w:eastAsia="Arial" w:hAnsi="Arial"/>
          <w:sz w:val="18"/>
          <w:szCs w:val="18"/>
          <w:color w:val="auto"/>
        </w:rPr>
        <w:t>Management’s discussion and analysis of the change in medical margin is discussed below under “Segment Financial Performance.” For more information, see Notes to Consolidated Financial Statements, Note 9, “Segments.”</w:t>
      </w:r>
    </w:p>
    <w:p>
      <w:pPr>
        <w:spacing w:after="0" w:line="200" w:lineRule="exact"/>
        <w:rPr>
          <w:sz w:val="20"/>
          <w:szCs w:val="20"/>
          <w:color w:val="auto"/>
        </w:rPr>
      </w:pPr>
    </w:p>
    <w:p>
      <w:pPr>
        <w:spacing w:after="0" w:line="39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March 31, 2024 Form 10-Q | 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828282"/>
        </w:rPr>
        <w:t>SEGMENT FINANCIAL PERFORMANCE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membership by segment as of the dates indicated:</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700" w:type="dxa"/>
            <w:vAlign w:val="bottom"/>
          </w:tcPr>
          <w:p>
            <w:pPr>
              <w:spacing w:after="0"/>
              <w:rPr>
                <w:sz w:val="17"/>
                <w:szCs w:val="17"/>
                <w:color w:val="auto"/>
              </w:rPr>
            </w:pPr>
          </w:p>
        </w:tc>
        <w:tc>
          <w:tcPr>
            <w:tcW w:w="1540" w:type="dxa"/>
            <w:vAlign w:val="bottom"/>
            <w:gridSpan w:val="2"/>
          </w:tcPr>
          <w:p>
            <w:pPr>
              <w:ind w:left="380"/>
              <w:spacing w:after="0"/>
              <w:rPr>
                <w:sz w:val="20"/>
                <w:szCs w:val="20"/>
                <w:color w:val="auto"/>
              </w:rPr>
            </w:pPr>
            <w:r>
              <w:rPr>
                <w:rFonts w:ascii="Arial" w:cs="Arial" w:eastAsia="Arial" w:hAnsi="Arial"/>
                <w:sz w:val="14"/>
                <w:szCs w:val="14"/>
                <w:b w:val="1"/>
                <w:bCs w:val="1"/>
                <w:color w:val="auto"/>
              </w:rPr>
              <w:t>March 31,</w:t>
            </w:r>
          </w:p>
        </w:tc>
        <w:tc>
          <w:tcPr>
            <w:tcW w:w="1540" w:type="dxa"/>
            <w:vAlign w:val="bottom"/>
            <w:gridSpan w:val="2"/>
          </w:tcPr>
          <w:p>
            <w:pPr>
              <w:ind w:left="260"/>
              <w:spacing w:after="0"/>
              <w:rPr>
                <w:sz w:val="20"/>
                <w:szCs w:val="20"/>
                <w:color w:val="auto"/>
              </w:rPr>
            </w:pPr>
            <w:r>
              <w:rPr>
                <w:rFonts w:ascii="Arial" w:cs="Arial" w:eastAsia="Arial" w:hAnsi="Arial"/>
                <w:sz w:val="14"/>
                <w:szCs w:val="14"/>
                <w:b w:val="1"/>
                <w:bCs w:val="1"/>
                <w:color w:val="auto"/>
              </w:rPr>
              <w:t>December 31,</w:t>
            </w:r>
          </w:p>
        </w:tc>
        <w:tc>
          <w:tcPr>
            <w:tcW w:w="1440" w:type="dxa"/>
            <w:vAlign w:val="bottom"/>
          </w:tcPr>
          <w:p>
            <w:pPr>
              <w:jc w:val="right"/>
              <w:ind w:right="322"/>
              <w:spacing w:after="0"/>
              <w:rPr>
                <w:sz w:val="20"/>
                <w:szCs w:val="20"/>
                <w:color w:val="auto"/>
              </w:rPr>
            </w:pPr>
            <w:r>
              <w:rPr>
                <w:rFonts w:ascii="Arial" w:cs="Arial" w:eastAsia="Arial" w:hAnsi="Arial"/>
                <w:sz w:val="14"/>
                <w:szCs w:val="14"/>
                <w:b w:val="1"/>
                <w:bCs w:val="1"/>
                <w:color w:val="auto"/>
              </w:rPr>
              <w:t>March 31,</w:t>
            </w:r>
          </w:p>
        </w:tc>
      </w:tr>
      <w:tr>
        <w:trPr>
          <w:trHeight w:val="203"/>
        </w:trPr>
        <w:tc>
          <w:tcPr>
            <w:tcW w:w="6700" w:type="dxa"/>
            <w:vAlign w:val="bottom"/>
            <w:tcBorders>
              <w:bottom w:val="single" w:sz="8" w:color="CCEEFF"/>
            </w:tcBorders>
          </w:tcPr>
          <w:p>
            <w:pPr>
              <w:spacing w:after="0"/>
              <w:rPr>
                <w:sz w:val="17"/>
                <w:szCs w:val="17"/>
                <w:color w:val="auto"/>
              </w:rPr>
            </w:pPr>
          </w:p>
        </w:tc>
        <w:tc>
          <w:tcPr>
            <w:tcW w:w="1440" w:type="dxa"/>
            <w:vAlign w:val="bottom"/>
            <w:tcBorders>
              <w:bottom w:val="single" w:sz="8" w:color="auto"/>
            </w:tcBorders>
          </w:tcPr>
          <w:p>
            <w:pPr>
              <w:jc w:val="right"/>
              <w:ind w:right="482"/>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CCEEFF"/>
            </w:tcBorders>
          </w:tcPr>
          <w:p>
            <w:pPr>
              <w:spacing w:after="0"/>
              <w:rPr>
                <w:sz w:val="17"/>
                <w:szCs w:val="17"/>
                <w:color w:val="auto"/>
              </w:rPr>
            </w:pPr>
          </w:p>
        </w:tc>
        <w:tc>
          <w:tcPr>
            <w:tcW w:w="1440" w:type="dxa"/>
            <w:vAlign w:val="bottom"/>
            <w:tcBorders>
              <w:bottom w:val="single" w:sz="8" w:color="auto"/>
            </w:tcBorders>
          </w:tcPr>
          <w:p>
            <w:pPr>
              <w:jc w:val="right"/>
              <w:ind w:right="482"/>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7"/>
                <w:szCs w:val="17"/>
                <w:color w:val="auto"/>
              </w:rPr>
            </w:pPr>
          </w:p>
        </w:tc>
        <w:tc>
          <w:tcPr>
            <w:tcW w:w="1440" w:type="dxa"/>
            <w:vAlign w:val="bottom"/>
            <w:tcBorders>
              <w:bottom w:val="single" w:sz="8" w:color="auto"/>
            </w:tcBorders>
          </w:tcPr>
          <w:p>
            <w:pPr>
              <w:jc w:val="right"/>
              <w:ind w:right="482"/>
              <w:spacing w:after="0"/>
              <w:rPr>
                <w:sz w:val="20"/>
                <w:szCs w:val="20"/>
                <w:color w:val="auto"/>
              </w:rPr>
            </w:pPr>
            <w:r>
              <w:rPr>
                <w:rFonts w:ascii="Arial" w:cs="Arial" w:eastAsia="Arial" w:hAnsi="Arial"/>
                <w:sz w:val="14"/>
                <w:szCs w:val="14"/>
                <w:b w:val="1"/>
                <w:bCs w:val="1"/>
                <w:color w:val="auto"/>
              </w:rPr>
              <w:t>2023</w:t>
            </w:r>
          </w:p>
        </w:tc>
      </w:tr>
      <w:tr>
        <w:trPr>
          <w:trHeight w:val="211"/>
        </w:trPr>
        <w:tc>
          <w:tcPr>
            <w:tcW w:w="6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Medicaid</w:t>
            </w:r>
          </w:p>
        </w:tc>
        <w:tc>
          <w:tcPr>
            <w:tcW w:w="14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5,123,000</w:t>
            </w: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4,542,000</w:t>
            </w: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4,834,000</w:t>
            </w:r>
          </w:p>
        </w:tc>
      </w:tr>
      <w:tr>
        <w:trPr>
          <w:trHeight w:val="215"/>
        </w:trPr>
        <w:tc>
          <w:tcPr>
            <w:tcW w:w="6700" w:type="dxa"/>
            <w:vAlign w:val="bottom"/>
          </w:tcPr>
          <w:p>
            <w:pPr>
              <w:ind w:left="20"/>
              <w:spacing w:after="0"/>
              <w:rPr>
                <w:sz w:val="20"/>
                <w:szCs w:val="20"/>
                <w:color w:val="auto"/>
              </w:rPr>
            </w:pPr>
            <w:r>
              <w:rPr>
                <w:rFonts w:ascii="Arial" w:cs="Arial" w:eastAsia="Arial" w:hAnsi="Arial"/>
                <w:sz w:val="16"/>
                <w:szCs w:val="16"/>
                <w:color w:val="auto"/>
              </w:rPr>
              <w:t>Medicare</w:t>
            </w:r>
          </w:p>
        </w:tc>
        <w:tc>
          <w:tcPr>
            <w:tcW w:w="1440" w:type="dxa"/>
            <w:vAlign w:val="bottom"/>
          </w:tcPr>
          <w:p>
            <w:pPr>
              <w:jc w:val="right"/>
              <w:ind w:right="2"/>
              <w:spacing w:after="0"/>
              <w:rPr>
                <w:sz w:val="20"/>
                <w:szCs w:val="20"/>
                <w:color w:val="auto"/>
              </w:rPr>
            </w:pPr>
            <w:r>
              <w:rPr>
                <w:rFonts w:ascii="Arial" w:cs="Arial" w:eastAsia="Arial" w:hAnsi="Arial"/>
                <w:sz w:val="16"/>
                <w:szCs w:val="16"/>
                <w:color w:val="auto"/>
              </w:rPr>
              <w:t>258,000</w:t>
            </w:r>
          </w:p>
        </w:tc>
        <w:tc>
          <w:tcPr>
            <w:tcW w:w="100" w:type="dxa"/>
            <w:vAlign w:val="bottom"/>
          </w:tcPr>
          <w:p>
            <w:pPr>
              <w:spacing w:after="0"/>
              <w:rPr>
                <w:sz w:val="18"/>
                <w:szCs w:val="18"/>
                <w:color w:val="auto"/>
              </w:rPr>
            </w:pPr>
          </w:p>
        </w:tc>
        <w:tc>
          <w:tcPr>
            <w:tcW w:w="1440" w:type="dxa"/>
            <w:vAlign w:val="bottom"/>
          </w:tcPr>
          <w:p>
            <w:pPr>
              <w:jc w:val="right"/>
              <w:ind w:right="2"/>
              <w:spacing w:after="0"/>
              <w:rPr>
                <w:sz w:val="20"/>
                <w:szCs w:val="20"/>
                <w:color w:val="auto"/>
              </w:rPr>
            </w:pPr>
            <w:r>
              <w:rPr>
                <w:rFonts w:ascii="Arial" w:cs="Arial" w:eastAsia="Arial" w:hAnsi="Arial"/>
                <w:sz w:val="16"/>
                <w:szCs w:val="16"/>
                <w:color w:val="auto"/>
              </w:rPr>
              <w:t>172,000</w:t>
            </w:r>
          </w:p>
        </w:tc>
        <w:tc>
          <w:tcPr>
            <w:tcW w:w="100" w:type="dxa"/>
            <w:vAlign w:val="bottom"/>
          </w:tcPr>
          <w:p>
            <w:pPr>
              <w:spacing w:after="0"/>
              <w:rPr>
                <w:sz w:val="18"/>
                <w:szCs w:val="18"/>
                <w:color w:val="auto"/>
              </w:rPr>
            </w:pPr>
          </w:p>
        </w:tc>
        <w:tc>
          <w:tcPr>
            <w:tcW w:w="1440" w:type="dxa"/>
            <w:vAlign w:val="bottom"/>
          </w:tcPr>
          <w:p>
            <w:pPr>
              <w:jc w:val="right"/>
              <w:ind w:right="2"/>
              <w:spacing w:after="0"/>
              <w:rPr>
                <w:sz w:val="20"/>
                <w:szCs w:val="20"/>
                <w:color w:val="auto"/>
              </w:rPr>
            </w:pPr>
            <w:r>
              <w:rPr>
                <w:rFonts w:ascii="Arial" w:cs="Arial" w:eastAsia="Arial" w:hAnsi="Arial"/>
                <w:sz w:val="16"/>
                <w:szCs w:val="16"/>
                <w:color w:val="auto"/>
              </w:rPr>
              <w:t>161,000</w:t>
            </w:r>
          </w:p>
        </w:tc>
      </w:tr>
      <w:tr>
        <w:trPr>
          <w:trHeight w:val="216"/>
        </w:trPr>
        <w:tc>
          <w:tcPr>
            <w:tcW w:w="6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Marketplace</w:t>
            </w:r>
          </w:p>
        </w:tc>
        <w:tc>
          <w:tcPr>
            <w:tcW w:w="144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346,000</w:t>
            </w:r>
          </w:p>
        </w:tc>
        <w:tc>
          <w:tcPr>
            <w:tcW w:w="100" w:type="dxa"/>
            <w:vAlign w:val="bottom"/>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281,000</w:t>
            </w:r>
          </w:p>
        </w:tc>
        <w:tc>
          <w:tcPr>
            <w:tcW w:w="100" w:type="dxa"/>
            <w:vAlign w:val="bottom"/>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271,000</w:t>
            </w:r>
          </w:p>
        </w:tc>
      </w:tr>
      <w:tr>
        <w:trPr>
          <w:trHeight w:val="210"/>
        </w:trPr>
        <w:tc>
          <w:tcPr>
            <w:tcW w:w="6700" w:type="dxa"/>
            <w:vAlign w:val="bottom"/>
          </w:tcPr>
          <w:p>
            <w:pPr>
              <w:ind w:left="140"/>
              <w:spacing w:after="0"/>
              <w:rPr>
                <w:sz w:val="20"/>
                <w:szCs w:val="20"/>
                <w:color w:val="auto"/>
              </w:rPr>
            </w:pPr>
            <w:r>
              <w:rPr>
                <w:rFonts w:ascii="Arial" w:cs="Arial" w:eastAsia="Arial" w:hAnsi="Arial"/>
                <w:sz w:val="16"/>
                <w:szCs w:val="16"/>
                <w:color w:val="auto"/>
              </w:rPr>
              <w:t>Total</w:t>
            </w:r>
          </w:p>
        </w:tc>
        <w:tc>
          <w:tcPr>
            <w:tcW w:w="14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5,727,000</w:t>
            </w:r>
          </w:p>
        </w:tc>
        <w:tc>
          <w:tcPr>
            <w:tcW w:w="100" w:type="dxa"/>
            <w:vAlign w:val="bottom"/>
          </w:tcPr>
          <w:p>
            <w:pPr>
              <w:spacing w:after="0"/>
              <w:rPr>
                <w:sz w:val="18"/>
                <w:szCs w:val="18"/>
                <w:color w:val="auto"/>
              </w:rPr>
            </w:pPr>
          </w:p>
        </w:tc>
        <w:tc>
          <w:tcPr>
            <w:tcW w:w="14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4,995,000</w:t>
            </w:r>
          </w:p>
        </w:tc>
        <w:tc>
          <w:tcPr>
            <w:tcW w:w="100" w:type="dxa"/>
            <w:vAlign w:val="bottom"/>
          </w:tcPr>
          <w:p>
            <w:pPr>
              <w:spacing w:after="0"/>
              <w:rPr>
                <w:sz w:val="18"/>
                <w:szCs w:val="18"/>
                <w:color w:val="auto"/>
              </w:rPr>
            </w:pPr>
          </w:p>
        </w:tc>
        <w:tc>
          <w:tcPr>
            <w:tcW w:w="14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5,266,000</w:t>
            </w:r>
          </w:p>
        </w:tc>
      </w:tr>
      <w:tr>
        <w:trPr>
          <w:trHeight w:val="20"/>
        </w:trPr>
        <w:tc>
          <w:tcPr>
            <w:tcW w:w="67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premium revenue, medical margin, and MCR by segment for the periods indicated (dollars in millions):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3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380" w:type="dxa"/>
            <w:vAlign w:val="bottom"/>
            <w:tcBorders>
              <w:bottom w:val="single" w:sz="8" w:color="auto"/>
            </w:tcBorders>
            <w:gridSpan w:val="5"/>
          </w:tcPr>
          <w:p>
            <w:pPr>
              <w:ind w:left="120"/>
              <w:spacing w:after="0"/>
              <w:rPr>
                <w:sz w:val="20"/>
                <w:szCs w:val="20"/>
                <w:color w:val="auto"/>
              </w:rPr>
            </w:pPr>
            <w:r>
              <w:rPr>
                <w:rFonts w:ascii="Arial" w:cs="Arial" w:eastAsia="Arial" w:hAnsi="Arial"/>
                <w:sz w:val="14"/>
                <w:szCs w:val="14"/>
                <w:b w:val="1"/>
                <w:bCs w:val="1"/>
                <w:color w:val="auto"/>
              </w:rPr>
              <w:t>Three Months Ended March 31,</w:t>
            </w:r>
          </w:p>
        </w:tc>
        <w:tc>
          <w:tcPr>
            <w:tcW w:w="1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3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223"/>
              <w:spacing w:after="0"/>
              <w:rPr>
                <w:sz w:val="20"/>
                <w:szCs w:val="20"/>
                <w:color w:val="auto"/>
              </w:rPr>
            </w:pPr>
            <w:r>
              <w:rPr>
                <w:rFonts w:ascii="Arial" w:cs="Arial" w:eastAsia="Arial" w:hAnsi="Arial"/>
                <w:sz w:val="14"/>
                <w:szCs w:val="14"/>
                <w:b w:val="1"/>
                <w:bCs w:val="1"/>
                <w:color w:val="auto"/>
              </w:rPr>
              <w:t>2024</w:t>
            </w:r>
          </w:p>
        </w:tc>
        <w:tc>
          <w:tcPr>
            <w:tcW w:w="1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223"/>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61"/>
        </w:trPr>
        <w:tc>
          <w:tcPr>
            <w:tcW w:w="4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gridSpan w:val="2"/>
          </w:tcPr>
          <w:p>
            <w:pPr>
              <w:ind w:left="60"/>
              <w:spacing w:after="0"/>
              <w:rPr>
                <w:sz w:val="20"/>
                <w:szCs w:val="20"/>
                <w:color w:val="auto"/>
              </w:rPr>
            </w:pPr>
            <w:r>
              <w:rPr>
                <w:rFonts w:ascii="Arial" w:cs="Arial" w:eastAsia="Arial" w:hAnsi="Arial"/>
                <w:sz w:val="14"/>
                <w:szCs w:val="14"/>
                <w:b w:val="1"/>
                <w:bCs w:val="1"/>
                <w:color w:val="auto"/>
              </w:rPr>
              <w:t>Premium</w:t>
            </w:r>
          </w:p>
        </w:tc>
        <w:tc>
          <w:tcPr>
            <w:tcW w:w="180" w:type="dxa"/>
            <w:vAlign w:val="bottom"/>
          </w:tcPr>
          <w:p>
            <w:pPr>
              <w:spacing w:after="0"/>
              <w:rPr>
                <w:sz w:val="13"/>
                <w:szCs w:val="13"/>
                <w:color w:val="auto"/>
              </w:rPr>
            </w:pPr>
          </w:p>
        </w:tc>
        <w:tc>
          <w:tcPr>
            <w:tcW w:w="840" w:type="dxa"/>
            <w:vAlign w:val="bottom"/>
          </w:tcPr>
          <w:p>
            <w:pPr>
              <w:jc w:val="right"/>
              <w:ind w:right="163"/>
              <w:spacing w:after="0"/>
              <w:rPr>
                <w:sz w:val="20"/>
                <w:szCs w:val="20"/>
                <w:color w:val="auto"/>
              </w:rPr>
            </w:pPr>
            <w:r>
              <w:rPr>
                <w:rFonts w:ascii="Arial" w:cs="Arial" w:eastAsia="Arial" w:hAnsi="Arial"/>
                <w:sz w:val="14"/>
                <w:szCs w:val="14"/>
                <w:b w:val="1"/>
                <w:bCs w:val="1"/>
                <w:color w:val="auto"/>
              </w:rPr>
              <w:t>Medical</w:t>
            </w:r>
          </w:p>
        </w:tc>
        <w:tc>
          <w:tcPr>
            <w:tcW w:w="120" w:type="dxa"/>
            <w:vAlign w:val="bottom"/>
          </w:tcPr>
          <w:p>
            <w:pPr>
              <w:spacing w:after="0"/>
              <w:rPr>
                <w:sz w:val="13"/>
                <w:szCs w:val="13"/>
                <w:color w:val="auto"/>
              </w:rPr>
            </w:pPr>
          </w:p>
        </w:tc>
        <w:tc>
          <w:tcPr>
            <w:tcW w:w="1240" w:type="dxa"/>
            <w:vAlign w:val="bottom"/>
            <w:gridSpan w:val="2"/>
            <w:vMerge w:val="restart"/>
          </w:tcPr>
          <w:p>
            <w:pPr>
              <w:ind w:left="400"/>
              <w:spacing w:after="0"/>
              <w:rPr>
                <w:sz w:val="20"/>
                <w:szCs w:val="20"/>
                <w:color w:val="auto"/>
              </w:rPr>
            </w:pPr>
            <w:r>
              <w:rPr>
                <w:rFonts w:ascii="Arial" w:cs="Arial" w:eastAsia="Arial" w:hAnsi="Arial"/>
                <w:sz w:val="14"/>
                <w:szCs w:val="14"/>
                <w:b w:val="1"/>
                <w:bCs w:val="1"/>
                <w:color w:val="auto"/>
              </w:rPr>
              <w:t>MCR</w:t>
            </w:r>
          </w:p>
        </w:tc>
        <w:tc>
          <w:tcPr>
            <w:tcW w:w="160" w:type="dxa"/>
            <w:vAlign w:val="bottom"/>
          </w:tcPr>
          <w:p>
            <w:pPr>
              <w:spacing w:after="0"/>
              <w:rPr>
                <w:sz w:val="13"/>
                <w:szCs w:val="13"/>
                <w:color w:val="auto"/>
              </w:rPr>
            </w:pPr>
          </w:p>
        </w:tc>
        <w:tc>
          <w:tcPr>
            <w:tcW w:w="980" w:type="dxa"/>
            <w:vAlign w:val="bottom"/>
            <w:gridSpan w:val="2"/>
          </w:tcPr>
          <w:p>
            <w:pPr>
              <w:ind w:left="60"/>
              <w:spacing w:after="0"/>
              <w:rPr>
                <w:sz w:val="20"/>
                <w:szCs w:val="20"/>
                <w:color w:val="auto"/>
              </w:rPr>
            </w:pPr>
            <w:r>
              <w:rPr>
                <w:rFonts w:ascii="Arial" w:cs="Arial" w:eastAsia="Arial" w:hAnsi="Arial"/>
                <w:sz w:val="14"/>
                <w:szCs w:val="14"/>
                <w:b w:val="1"/>
                <w:bCs w:val="1"/>
                <w:color w:val="auto"/>
              </w:rPr>
              <w:t>Premium</w:t>
            </w:r>
          </w:p>
        </w:tc>
        <w:tc>
          <w:tcPr>
            <w:tcW w:w="180" w:type="dxa"/>
            <w:vAlign w:val="bottom"/>
          </w:tcPr>
          <w:p>
            <w:pPr>
              <w:spacing w:after="0"/>
              <w:rPr>
                <w:sz w:val="13"/>
                <w:szCs w:val="13"/>
                <w:color w:val="auto"/>
              </w:rPr>
            </w:pPr>
          </w:p>
        </w:tc>
        <w:tc>
          <w:tcPr>
            <w:tcW w:w="840" w:type="dxa"/>
            <w:vAlign w:val="bottom"/>
          </w:tcPr>
          <w:p>
            <w:pPr>
              <w:jc w:val="right"/>
              <w:ind w:right="183"/>
              <w:spacing w:after="0"/>
              <w:rPr>
                <w:sz w:val="20"/>
                <w:szCs w:val="20"/>
                <w:color w:val="auto"/>
              </w:rPr>
            </w:pPr>
            <w:r>
              <w:rPr>
                <w:rFonts w:ascii="Arial" w:cs="Arial" w:eastAsia="Arial" w:hAnsi="Arial"/>
                <w:sz w:val="14"/>
                <w:szCs w:val="14"/>
                <w:b w:val="1"/>
                <w:bCs w:val="1"/>
                <w:color w:val="auto"/>
              </w:rPr>
              <w:t>Medical</w:t>
            </w:r>
          </w:p>
        </w:tc>
        <w:tc>
          <w:tcPr>
            <w:tcW w:w="100" w:type="dxa"/>
            <w:vAlign w:val="bottom"/>
          </w:tcPr>
          <w:p>
            <w:pPr>
              <w:spacing w:after="0"/>
              <w:rPr>
                <w:sz w:val="13"/>
                <w:szCs w:val="13"/>
                <w:color w:val="auto"/>
              </w:rPr>
            </w:pPr>
          </w:p>
        </w:tc>
        <w:tc>
          <w:tcPr>
            <w:tcW w:w="1140" w:type="dxa"/>
            <w:vAlign w:val="bottom"/>
            <w:vMerge w:val="restart"/>
          </w:tcPr>
          <w:p>
            <w:pPr>
              <w:ind w:left="400"/>
              <w:spacing w:after="0"/>
              <w:rPr>
                <w:sz w:val="20"/>
                <w:szCs w:val="20"/>
                <w:color w:val="auto"/>
              </w:rPr>
            </w:pPr>
            <w:r>
              <w:rPr>
                <w:rFonts w:ascii="Arial" w:cs="Arial" w:eastAsia="Arial" w:hAnsi="Arial"/>
                <w:sz w:val="14"/>
                <w:szCs w:val="14"/>
                <w:b w:val="1"/>
                <w:bCs w:val="1"/>
                <w:color w:val="auto"/>
              </w:rPr>
              <w:t>MCR</w:t>
            </w:r>
          </w:p>
        </w:tc>
        <w:tc>
          <w:tcPr>
            <w:tcW w:w="0" w:type="dxa"/>
            <w:vAlign w:val="bottom"/>
          </w:tcPr>
          <w:p>
            <w:pPr>
              <w:spacing w:after="0"/>
              <w:rPr>
                <w:sz w:val="1"/>
                <w:szCs w:val="1"/>
                <w:color w:val="auto"/>
              </w:rPr>
            </w:pPr>
          </w:p>
        </w:tc>
      </w:tr>
      <w:tr>
        <w:trPr>
          <w:trHeight w:val="185"/>
        </w:trPr>
        <w:tc>
          <w:tcPr>
            <w:tcW w:w="4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gridSpan w:val="2"/>
          </w:tcPr>
          <w:p>
            <w:pPr>
              <w:ind w:left="60"/>
              <w:spacing w:after="0"/>
              <w:rPr>
                <w:sz w:val="20"/>
                <w:szCs w:val="20"/>
                <w:color w:val="auto"/>
              </w:rPr>
            </w:pPr>
            <w:r>
              <w:rPr>
                <w:rFonts w:ascii="Arial" w:cs="Arial" w:eastAsia="Arial" w:hAnsi="Arial"/>
                <w:sz w:val="14"/>
                <w:szCs w:val="14"/>
                <w:b w:val="1"/>
                <w:bCs w:val="1"/>
                <w:color w:val="auto"/>
              </w:rPr>
              <w:t>Revenue</w:t>
            </w:r>
          </w:p>
        </w:tc>
        <w:tc>
          <w:tcPr>
            <w:tcW w:w="180" w:type="dxa"/>
            <w:vAlign w:val="bottom"/>
          </w:tcPr>
          <w:p>
            <w:pPr>
              <w:spacing w:after="0"/>
              <w:rPr>
                <w:sz w:val="16"/>
                <w:szCs w:val="16"/>
                <w:color w:val="auto"/>
              </w:rPr>
            </w:pPr>
          </w:p>
        </w:tc>
        <w:tc>
          <w:tcPr>
            <w:tcW w:w="840" w:type="dxa"/>
            <w:vAlign w:val="bottom"/>
          </w:tcPr>
          <w:p>
            <w:pPr>
              <w:jc w:val="right"/>
              <w:ind w:right="183"/>
              <w:spacing w:after="0"/>
              <w:rPr>
                <w:sz w:val="20"/>
                <w:szCs w:val="20"/>
                <w:color w:val="auto"/>
              </w:rPr>
            </w:pPr>
            <w:r>
              <w:rPr>
                <w:rFonts w:ascii="Arial" w:cs="Arial" w:eastAsia="Arial" w:hAnsi="Arial"/>
                <w:sz w:val="14"/>
                <w:szCs w:val="14"/>
                <w:b w:val="1"/>
                <w:bCs w:val="1"/>
                <w:color w:val="auto"/>
              </w:rPr>
              <w:t>Margin</w:t>
            </w:r>
          </w:p>
        </w:tc>
        <w:tc>
          <w:tcPr>
            <w:tcW w:w="12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gridSpan w:val="2"/>
          </w:tcPr>
          <w:p>
            <w:pPr>
              <w:ind w:left="60"/>
              <w:spacing w:after="0"/>
              <w:rPr>
                <w:sz w:val="20"/>
                <w:szCs w:val="20"/>
                <w:color w:val="auto"/>
              </w:rPr>
            </w:pPr>
            <w:r>
              <w:rPr>
                <w:rFonts w:ascii="Arial" w:cs="Arial" w:eastAsia="Arial" w:hAnsi="Arial"/>
                <w:sz w:val="14"/>
                <w:szCs w:val="14"/>
                <w:b w:val="1"/>
                <w:bCs w:val="1"/>
                <w:color w:val="auto"/>
              </w:rPr>
              <w:t>Revenue</w:t>
            </w:r>
          </w:p>
        </w:tc>
        <w:tc>
          <w:tcPr>
            <w:tcW w:w="180" w:type="dxa"/>
            <w:vAlign w:val="bottom"/>
          </w:tcPr>
          <w:p>
            <w:pPr>
              <w:spacing w:after="0"/>
              <w:rPr>
                <w:sz w:val="16"/>
                <w:szCs w:val="16"/>
                <w:color w:val="auto"/>
              </w:rPr>
            </w:pPr>
          </w:p>
        </w:tc>
        <w:tc>
          <w:tcPr>
            <w:tcW w:w="840" w:type="dxa"/>
            <w:vAlign w:val="bottom"/>
          </w:tcPr>
          <w:p>
            <w:pPr>
              <w:jc w:val="right"/>
              <w:ind w:right="203"/>
              <w:spacing w:after="0"/>
              <w:rPr>
                <w:sz w:val="20"/>
                <w:szCs w:val="20"/>
                <w:color w:val="auto"/>
              </w:rPr>
            </w:pPr>
            <w:r>
              <w:rPr>
                <w:rFonts w:ascii="Arial" w:cs="Arial" w:eastAsia="Arial" w:hAnsi="Arial"/>
                <w:sz w:val="14"/>
                <w:szCs w:val="14"/>
                <w:b w:val="1"/>
                <w:bCs w:val="1"/>
                <w:color w:val="auto"/>
              </w:rPr>
              <w:t>Margin</w:t>
            </w:r>
          </w:p>
        </w:tc>
        <w:tc>
          <w:tcPr>
            <w:tcW w:w="10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4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Medicaid</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7,492</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775</w:t>
            </w:r>
          </w:p>
        </w:tc>
        <w:tc>
          <w:tcPr>
            <w:tcW w:w="1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ind w:left="600"/>
              <w:spacing w:after="0"/>
              <w:rPr>
                <w:sz w:val="20"/>
                <w:szCs w:val="20"/>
                <w:color w:val="auto"/>
              </w:rPr>
            </w:pPr>
            <w:r>
              <w:rPr>
                <w:rFonts w:ascii="Arial" w:cs="Arial" w:eastAsia="Arial" w:hAnsi="Arial"/>
                <w:sz w:val="16"/>
                <w:szCs w:val="16"/>
                <w:color w:val="auto"/>
              </w:rPr>
              <w:t>89.7 %</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6,349</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734</w:t>
            </w:r>
          </w:p>
        </w:tc>
        <w:tc>
          <w:tcPr>
            <w:tcW w:w="10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ind w:left="620"/>
              <w:spacing w:after="0"/>
              <w:rPr>
                <w:sz w:val="20"/>
                <w:szCs w:val="20"/>
                <w:color w:val="auto"/>
              </w:rPr>
            </w:pPr>
            <w:r>
              <w:rPr>
                <w:rFonts w:ascii="Arial" w:cs="Arial" w:eastAsia="Arial" w:hAnsi="Arial"/>
                <w:sz w:val="16"/>
                <w:szCs w:val="16"/>
                <w:color w:val="auto"/>
              </w:rPr>
              <w:t>88.4 %</w:t>
            </w:r>
          </w:p>
        </w:tc>
        <w:tc>
          <w:tcPr>
            <w:tcW w:w="0" w:type="dxa"/>
            <w:vAlign w:val="bottom"/>
          </w:tcPr>
          <w:p>
            <w:pPr>
              <w:spacing w:after="0"/>
              <w:rPr>
                <w:sz w:val="1"/>
                <w:szCs w:val="1"/>
                <w:color w:val="auto"/>
              </w:rPr>
            </w:pPr>
          </w:p>
        </w:tc>
      </w:tr>
      <w:tr>
        <w:trPr>
          <w:trHeight w:val="215"/>
        </w:trPr>
        <w:tc>
          <w:tcPr>
            <w:tcW w:w="4320" w:type="dxa"/>
            <w:vAlign w:val="bottom"/>
          </w:tcPr>
          <w:p>
            <w:pPr>
              <w:ind w:left="20"/>
              <w:spacing w:after="0"/>
              <w:rPr>
                <w:sz w:val="20"/>
                <w:szCs w:val="20"/>
                <w:color w:val="auto"/>
              </w:rPr>
            </w:pPr>
            <w:r>
              <w:rPr>
                <w:rFonts w:ascii="Arial" w:cs="Arial" w:eastAsia="Arial" w:hAnsi="Arial"/>
                <w:sz w:val="16"/>
                <w:szCs w:val="16"/>
                <w:color w:val="auto"/>
              </w:rPr>
              <w:t>Medicare</w:t>
            </w:r>
          </w:p>
        </w:tc>
        <w:tc>
          <w:tcPr>
            <w:tcW w:w="160" w:type="dxa"/>
            <w:vAlign w:val="bottom"/>
          </w:tcPr>
          <w:p>
            <w:pPr>
              <w:spacing w:after="0"/>
              <w:rPr>
                <w:sz w:val="18"/>
                <w:szCs w:val="18"/>
                <w:color w:val="auto"/>
              </w:rPr>
            </w:pPr>
          </w:p>
        </w:tc>
        <w:tc>
          <w:tcPr>
            <w:tcW w:w="880" w:type="dxa"/>
            <w:vAlign w:val="bottom"/>
          </w:tcPr>
          <w:p>
            <w:pPr>
              <w:jc w:val="right"/>
              <w:ind w:right="2"/>
              <w:spacing w:after="0"/>
              <w:rPr>
                <w:sz w:val="20"/>
                <w:szCs w:val="20"/>
                <w:color w:val="auto"/>
              </w:rPr>
            </w:pPr>
            <w:r>
              <w:rPr>
                <w:rFonts w:ascii="Arial" w:cs="Arial" w:eastAsia="Arial" w:hAnsi="Arial"/>
                <w:sz w:val="16"/>
                <w:szCs w:val="16"/>
                <w:color w:val="auto"/>
              </w:rPr>
              <w:t>1,442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163</w:t>
            </w:r>
          </w:p>
        </w:tc>
        <w:tc>
          <w:tcPr>
            <w:tcW w:w="1240" w:type="dxa"/>
            <w:vAlign w:val="bottom"/>
            <w:gridSpan w:val="2"/>
          </w:tcPr>
          <w:p>
            <w:pPr>
              <w:ind w:left="720"/>
              <w:spacing w:after="0"/>
              <w:rPr>
                <w:sz w:val="20"/>
                <w:szCs w:val="20"/>
                <w:color w:val="auto"/>
              </w:rPr>
            </w:pPr>
            <w:r>
              <w:rPr>
                <w:rFonts w:ascii="Arial" w:cs="Arial" w:eastAsia="Arial" w:hAnsi="Arial"/>
                <w:sz w:val="16"/>
                <w:szCs w:val="16"/>
                <w:color w:val="auto"/>
              </w:rPr>
              <w:t>88.7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ind w:right="2"/>
              <w:spacing w:after="0"/>
              <w:rPr>
                <w:sz w:val="20"/>
                <w:szCs w:val="20"/>
                <w:color w:val="auto"/>
              </w:rPr>
            </w:pPr>
            <w:r>
              <w:rPr>
                <w:rFonts w:ascii="Arial" w:cs="Arial" w:eastAsia="Arial" w:hAnsi="Arial"/>
                <w:sz w:val="16"/>
                <w:szCs w:val="16"/>
                <w:color w:val="auto"/>
              </w:rPr>
              <w:t>1,046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ind w:right="3"/>
              <w:spacing w:after="0"/>
              <w:rPr>
                <w:sz w:val="20"/>
                <w:szCs w:val="20"/>
                <w:color w:val="auto"/>
              </w:rPr>
            </w:pPr>
            <w:r>
              <w:rPr>
                <w:rFonts w:ascii="Arial" w:cs="Arial" w:eastAsia="Arial" w:hAnsi="Arial"/>
                <w:sz w:val="16"/>
                <w:szCs w:val="16"/>
                <w:color w:val="auto"/>
              </w:rPr>
              <w:t>126</w:t>
            </w:r>
          </w:p>
        </w:tc>
        <w:tc>
          <w:tcPr>
            <w:tcW w:w="1240" w:type="dxa"/>
            <w:vAlign w:val="bottom"/>
            <w:gridSpan w:val="2"/>
          </w:tcPr>
          <w:p>
            <w:pPr>
              <w:ind w:left="720"/>
              <w:spacing w:after="0"/>
              <w:rPr>
                <w:sz w:val="20"/>
                <w:szCs w:val="20"/>
                <w:color w:val="auto"/>
              </w:rPr>
            </w:pPr>
            <w:r>
              <w:rPr>
                <w:rFonts w:ascii="Arial" w:cs="Arial" w:eastAsia="Arial" w:hAnsi="Arial"/>
                <w:sz w:val="16"/>
                <w:szCs w:val="16"/>
                <w:color w:val="auto"/>
              </w:rPr>
              <w:t>88.0</w:t>
            </w: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Marketplace</w:t>
            </w:r>
          </w:p>
        </w:tc>
        <w:tc>
          <w:tcPr>
            <w:tcW w:w="1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570</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152</w:t>
            </w:r>
          </w:p>
        </w:tc>
        <w:tc>
          <w:tcPr>
            <w:tcW w:w="1240" w:type="dxa"/>
            <w:vAlign w:val="bottom"/>
            <w:gridSpan w:val="2"/>
            <w:shd w:val="clear" w:color="auto" w:fill="CCEEFF"/>
          </w:tcPr>
          <w:p>
            <w:pPr>
              <w:ind w:left="720"/>
              <w:spacing w:after="0"/>
              <w:rPr>
                <w:sz w:val="20"/>
                <w:szCs w:val="20"/>
                <w:color w:val="auto"/>
              </w:rPr>
            </w:pPr>
            <w:r>
              <w:rPr>
                <w:rFonts w:ascii="Arial" w:cs="Arial" w:eastAsia="Arial" w:hAnsi="Arial"/>
                <w:sz w:val="16"/>
                <w:szCs w:val="16"/>
                <w:color w:val="auto"/>
              </w:rPr>
              <w:t>73.3</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490</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154</w:t>
            </w:r>
          </w:p>
        </w:tc>
        <w:tc>
          <w:tcPr>
            <w:tcW w:w="1240" w:type="dxa"/>
            <w:vAlign w:val="bottom"/>
            <w:gridSpan w:val="2"/>
            <w:shd w:val="clear" w:color="auto" w:fill="CCEEFF"/>
          </w:tcPr>
          <w:p>
            <w:pPr>
              <w:ind w:left="720"/>
              <w:spacing w:after="0"/>
              <w:rPr>
                <w:sz w:val="20"/>
                <w:szCs w:val="20"/>
                <w:color w:val="auto"/>
              </w:rPr>
            </w:pPr>
            <w:r>
              <w:rPr>
                <w:rFonts w:ascii="Arial" w:cs="Arial" w:eastAsia="Arial" w:hAnsi="Arial"/>
                <w:sz w:val="16"/>
                <w:szCs w:val="16"/>
                <w:color w:val="auto"/>
              </w:rPr>
              <w:t>68.6</w:t>
            </w:r>
          </w:p>
        </w:tc>
        <w:tc>
          <w:tcPr>
            <w:tcW w:w="0" w:type="dxa"/>
            <w:vAlign w:val="bottom"/>
          </w:tcPr>
          <w:p>
            <w:pPr>
              <w:spacing w:after="0"/>
              <w:rPr>
                <w:sz w:val="1"/>
                <w:szCs w:val="1"/>
                <w:color w:val="auto"/>
              </w:rPr>
            </w:pPr>
          </w:p>
        </w:tc>
      </w:tr>
      <w:tr>
        <w:trPr>
          <w:trHeight w:val="210"/>
        </w:trPr>
        <w:tc>
          <w:tcPr>
            <w:tcW w:w="4320" w:type="dxa"/>
            <w:vAlign w:val="bottom"/>
          </w:tcPr>
          <w:p>
            <w:pPr>
              <w:ind w:left="140"/>
              <w:spacing w:after="0"/>
              <w:rPr>
                <w:sz w:val="20"/>
                <w:szCs w:val="20"/>
                <w:color w:val="auto"/>
              </w:rPr>
            </w:pPr>
            <w:r>
              <w:rPr>
                <w:rFonts w:ascii="Arial" w:cs="Arial" w:eastAsia="Arial" w:hAnsi="Arial"/>
                <w:sz w:val="16"/>
                <w:szCs w:val="16"/>
                <w:color w:val="auto"/>
              </w:rPr>
              <w:t>Total</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9,504</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1,090</w:t>
            </w:r>
          </w:p>
        </w:tc>
        <w:tc>
          <w:tcPr>
            <w:tcW w:w="1240" w:type="dxa"/>
            <w:vAlign w:val="bottom"/>
            <w:gridSpan w:val="2"/>
          </w:tcPr>
          <w:p>
            <w:pPr>
              <w:ind w:left="720"/>
              <w:spacing w:after="0"/>
              <w:rPr>
                <w:sz w:val="20"/>
                <w:szCs w:val="20"/>
                <w:color w:val="auto"/>
              </w:rPr>
            </w:pPr>
            <w:r>
              <w:rPr>
                <w:rFonts w:ascii="Arial" w:cs="Arial" w:eastAsia="Arial" w:hAnsi="Arial"/>
                <w:sz w:val="16"/>
                <w:szCs w:val="16"/>
                <w:color w:val="auto"/>
              </w:rPr>
              <w:t>88.5 %</w:t>
            </w:r>
          </w:p>
        </w:tc>
        <w:tc>
          <w:tcPr>
            <w:tcW w:w="1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7,885</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1,014</w:t>
            </w:r>
          </w:p>
        </w:tc>
        <w:tc>
          <w:tcPr>
            <w:tcW w:w="1240" w:type="dxa"/>
            <w:vAlign w:val="bottom"/>
            <w:gridSpan w:val="2"/>
          </w:tcPr>
          <w:p>
            <w:pPr>
              <w:ind w:left="720"/>
              <w:spacing w:after="0"/>
              <w:rPr>
                <w:sz w:val="20"/>
                <w:szCs w:val="20"/>
                <w:color w:val="auto"/>
              </w:rPr>
            </w:pPr>
            <w:r>
              <w:rPr>
                <w:rFonts w:ascii="Arial" w:cs="Arial" w:eastAsia="Arial" w:hAnsi="Arial"/>
                <w:sz w:val="16"/>
                <w:szCs w:val="16"/>
                <w:color w:val="auto"/>
              </w:rPr>
              <w:t>87.1 %</w:t>
            </w:r>
          </w:p>
        </w:tc>
        <w:tc>
          <w:tcPr>
            <w:tcW w:w="0" w:type="dxa"/>
            <w:vAlign w:val="bottom"/>
          </w:tcPr>
          <w:p>
            <w:pPr>
              <w:spacing w:after="0"/>
              <w:rPr>
                <w:sz w:val="1"/>
                <w:szCs w:val="1"/>
                <w:color w:val="auto"/>
              </w:rPr>
            </w:pPr>
          </w:p>
        </w:tc>
      </w:tr>
      <w:tr>
        <w:trPr>
          <w:trHeight w:val="21"/>
        </w:trPr>
        <w:tc>
          <w:tcPr>
            <w:tcW w:w="4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Medicaid</w:t>
      </w:r>
    </w:p>
    <w:p>
      <w:pPr>
        <w:spacing w:after="0" w:line="115"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Medicaid premium revenue increased $1.1 billion, or 18%, in the first quarter of 2024, when compared with the first quarter of 2023. The increase was mainly due to the membership impact of the Iowa contract that commenced in July 2023, the My Choice acquisition that closed in the third quarter of 2023, and contract wins in Nebraska and California that commenced on January 1, 2024, partially offset by the impact of Medicaid redeterminations and minimum MLR and medical cost corridors.</w:t>
      </w:r>
    </w:p>
    <w:p>
      <w:pPr>
        <w:spacing w:after="0" w:line="68"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The medical margin in our Medicaid program increased $41 million, or 6%, in the first quarter of 2024 when compared with the first quarter of 2023. The improvement was driven by increased premium revenues and margin associated with the membership growth discussed above, partially offset by an increase in the MCR.</w:t>
      </w:r>
    </w:p>
    <w:p>
      <w:pPr>
        <w:spacing w:after="0" w:line="63"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Medicaid MCR increased to 89.7% in the first quarter of 2024, from 88.4% in the first quarter of 2023, or 130 basis points. The increase was mainly attributable to the expected higher initial MCR associated with the start of new contracts and recent acquisitions, and a modest acuity impact from Medicaid redetermination. These increases were partially offset by certain rate actions, minimum MLR and medical cost corridors, improved operations and medical cost management. The Medicaid MCR for the first quarter of 2024 is slightly above our long-term target range.</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Medicare</w:t>
      </w:r>
    </w:p>
    <w:p>
      <w:pPr>
        <w:spacing w:after="0" w:line="115" w:lineRule="exact"/>
        <w:rPr>
          <w:sz w:val="20"/>
          <w:szCs w:val="20"/>
          <w:color w:val="auto"/>
        </w:rPr>
      </w:pPr>
    </w:p>
    <w:p>
      <w:pPr>
        <w:ind w:right="540"/>
        <w:spacing w:after="0" w:line="268" w:lineRule="auto"/>
        <w:rPr>
          <w:sz w:val="20"/>
          <w:szCs w:val="20"/>
          <w:color w:val="auto"/>
        </w:rPr>
      </w:pPr>
      <w:r>
        <w:rPr>
          <w:rFonts w:ascii="Arial" w:cs="Arial" w:eastAsia="Arial" w:hAnsi="Arial"/>
          <w:sz w:val="18"/>
          <w:szCs w:val="18"/>
          <w:color w:val="auto"/>
        </w:rPr>
        <w:t>Medicare premium revenue increased $ 396 million, or 38%, in the first quarter of 2024 when compared to the first quarter of 2023. The increase was primarily due to the Bright Health Medicare acquisition that closed on January 1, 2024, the impact of MAPD and D-SNP membership expansion and organic membership growth in existing states.</w:t>
      </w:r>
    </w:p>
    <w:p>
      <w:pPr>
        <w:spacing w:after="0" w:line="63"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medical margin in Medicare increased $37 million in the first quarter of 2024, when compared with the first quarter of 2023, mainly due to margin associated with the year-over-year growth in membership and premium revenues, partially offset by the increase in MCR discussed below.</w:t>
      </w:r>
    </w:p>
    <w:p>
      <w:pPr>
        <w:spacing w:after="0" w:line="63" w:lineRule="exact"/>
        <w:rPr>
          <w:sz w:val="20"/>
          <w:szCs w:val="20"/>
          <w:color w:val="auto"/>
        </w:rPr>
      </w:pPr>
    </w:p>
    <w:p>
      <w:pPr>
        <w:ind w:right="220"/>
        <w:spacing w:after="0" w:line="262" w:lineRule="auto"/>
        <w:rPr>
          <w:sz w:val="20"/>
          <w:szCs w:val="20"/>
          <w:color w:val="auto"/>
        </w:rPr>
      </w:pPr>
      <w:r>
        <w:rPr>
          <w:rFonts w:ascii="Arial" w:cs="Arial" w:eastAsia="Arial" w:hAnsi="Arial"/>
          <w:sz w:val="18"/>
          <w:szCs w:val="18"/>
          <w:color w:val="auto"/>
        </w:rPr>
        <w:t>The Medicare MCR increased to 88.7% in the first quarter of 2024, from 88.0% in the first quarter of 2023, or 70 basis points. The increase was primarily driven by continued higher long-term services and supports costs and pharmacy utilization we began experiencing in the second half of 2023, partially offset by pricing, benefit design changes, operational improvements and medical cost management in the legacy business. The Medicare MCR for the first quarter of 2024 is slightly above our long-term target range.</w:t>
      </w:r>
    </w:p>
    <w:p>
      <w:pPr>
        <w:spacing w:after="0" w:line="200" w:lineRule="exact"/>
        <w:rPr>
          <w:sz w:val="20"/>
          <w:szCs w:val="20"/>
          <w:color w:val="auto"/>
        </w:rPr>
      </w:pPr>
    </w:p>
    <w:p>
      <w:pPr>
        <w:spacing w:after="0" w:line="31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March 31, 2024 Form 10-Q | 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Marketplace</w:t>
      </w:r>
    </w:p>
    <w:p>
      <w:pPr>
        <w:spacing w:after="0" w:line="115" w:lineRule="exact"/>
        <w:rPr>
          <w:sz w:val="20"/>
          <w:szCs w:val="20"/>
          <w:color w:val="auto"/>
        </w:rPr>
      </w:pPr>
    </w:p>
    <w:p>
      <w:pPr>
        <w:jc w:val="both"/>
        <w:ind w:right="160"/>
        <w:spacing w:after="0" w:line="262" w:lineRule="auto"/>
        <w:rPr>
          <w:sz w:val="20"/>
          <w:szCs w:val="20"/>
          <w:color w:val="auto"/>
        </w:rPr>
      </w:pPr>
      <w:r>
        <w:rPr>
          <w:rFonts w:ascii="Arial" w:cs="Arial" w:eastAsia="Arial" w:hAnsi="Arial"/>
          <w:sz w:val="18"/>
          <w:szCs w:val="18"/>
          <w:color w:val="auto"/>
        </w:rPr>
        <w:t>Marketplace premium revenue in the first quarter of 2024 increased $80 million, compared with the first quarter of 2023, due to an expected increase in membership, and changes in member mix. Our Marketplace membership as of March 31, 2024 amounted to 346,000 members, representing an increase of 75,000 members compared to March 31, 2023, which is in line with our product and pricing strategy to achieve growth, while maintaining target margins in this segment.</w:t>
      </w:r>
    </w:p>
    <w:p>
      <w:pPr>
        <w:spacing w:after="0" w:line="68" w:lineRule="exact"/>
        <w:rPr>
          <w:sz w:val="20"/>
          <w:szCs w:val="20"/>
          <w:color w:val="auto"/>
        </w:rPr>
      </w:pPr>
    </w:p>
    <w:p>
      <w:pPr>
        <w:ind w:right="40"/>
        <w:spacing w:after="0" w:line="318" w:lineRule="auto"/>
        <w:rPr>
          <w:sz w:val="20"/>
          <w:szCs w:val="20"/>
          <w:color w:val="auto"/>
        </w:rPr>
      </w:pPr>
      <w:r>
        <w:rPr>
          <w:rFonts w:ascii="Arial" w:cs="Arial" w:eastAsia="Arial" w:hAnsi="Arial"/>
          <w:sz w:val="17"/>
          <w:szCs w:val="17"/>
          <w:color w:val="auto"/>
        </w:rPr>
        <w:t>The Marketplace medical margin decreased $2 million in the first quarter of 2024, when compared with the first quarter of 2023, primarily due to the increase in the MCR discussed below, partially offset by the increase in premiums and margin associated with membership growth.</w:t>
      </w:r>
    </w:p>
    <w:p>
      <w:pPr>
        <w:spacing w:after="0" w:line="22" w:lineRule="exact"/>
        <w:rPr>
          <w:sz w:val="20"/>
          <w:szCs w:val="20"/>
          <w:color w:val="auto"/>
        </w:rPr>
      </w:pPr>
    </w:p>
    <w:p>
      <w:pPr>
        <w:ind w:right="180"/>
        <w:spacing w:after="0" w:line="262" w:lineRule="auto"/>
        <w:rPr>
          <w:sz w:val="20"/>
          <w:szCs w:val="20"/>
          <w:color w:val="auto"/>
        </w:rPr>
      </w:pPr>
      <w:r>
        <w:rPr>
          <w:rFonts w:ascii="Arial" w:cs="Arial" w:eastAsia="Arial" w:hAnsi="Arial"/>
          <w:sz w:val="18"/>
          <w:szCs w:val="18"/>
          <w:color w:val="auto"/>
        </w:rPr>
        <w:t>The Marketplace MCR increased to 73.3% in the first quarter of 2024, from 68.6% in the first quarter of 2023. The increase resulted mainly from our product and pricing strategy to achieve growth and changes in membership mix discussed above. Our first quarter Marketplace MCR is in line with our full year expectations and consistent with seasonality patterns. Silver metal tier products incur less MCR seasonality than bronze metal tier products due to lower deductibles.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w:t>
      </w:r>
    </w:p>
    <w:p>
      <w:pPr>
        <w:spacing w:after="0" w:line="115"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The Other segment includes service revenues and costs associated with long-term services and supports consultative services we provide in Wisconsin, and also includes certain corporate amounts not allocated to the Medicaid, Medicare, or Marketplace segments. Such amounts were immaterial to our consolidated results of operations in the first quarters of 2024 and 2023, respectively.</w:t>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22"/>
          <w:szCs w:val="22"/>
          <w:b w:val="1"/>
          <w:bCs w:val="1"/>
          <w:color w:val="0F7C7F"/>
        </w:rPr>
        <w:t>LIQUIDITY, FINANCIAL CONDITION AND CAPITAL RESOURCES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828282"/>
        </w:rPr>
        <w:t>LIQUIDITY</w:t>
      </w:r>
    </w:p>
    <w:p>
      <w:pPr>
        <w:spacing w:after="0" w:line="117"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We manage our cash, investments, and capital structure to meet the short- and long-term obligations of our business while maintaining liquidity and financial flexibility. We forecast, analyze, and monitor our cash flows to enable prudent investment management and financing within the confines of our financial strategy.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We maintain liquidity at two levels: 1) the regulated health plan subsidiaries; and 2) the parent company.</w:t>
      </w:r>
    </w:p>
    <w:p>
      <w:pPr>
        <w:spacing w:after="0" w:line="117"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Our regulated health plan subsidiaries’ primary liquidity requirements include payment of medical claims and other health care services; payment of certain settlements with our state and federal customers, such as minimum medical loss ratio and risk corridors and Marketplace risk transfers on behalf of CMS; general and administrative costs directly incurred or paid through an administrative services agreement to the parent company; and federal tax payments to the parent company under an intercompany tax sharing agreement. Our regulated health plan subsidiaries meet their liquidity needs by generating cash flows from operating activities, primarily from premium revenue; cash flows from investing activities, including investment income and sales of investments; and capital contributions received from our parent company.</w:t>
      </w:r>
    </w:p>
    <w:p>
      <w:pPr>
        <w:spacing w:after="0" w:line="74"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Our regulated health plan subsidiaries are each subject to applicable state regulations that, among other things, require the maintenance of minimum levels of capital and surplus. We continue to maintain levels of aggregate excess statutory capital and surplus in our regulated health plan subsidiaries that we believe are appropriate. See further discussion under “Regulatory Capital and Dividend Restrictions” below. When available and as permitted by applicable regulations, cash in excess of the capital needs of our regulated health plan subsidiaries is generally paid in the form of dividends to our parent company to be used for general corporate purposes. In the three months ended March 31, 2024, the parent company received $110 million in dividends and return of capital from the regulated health plan subsidiaries. See further discussion of dividends below in “Future Sources and Uses of Liquidity—Future Sources.”</w:t>
      </w:r>
    </w:p>
    <w:p>
      <w:pPr>
        <w:spacing w:after="0" w:line="7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Parent company liquidity requirements generally consist of payment of administrative costs not directly incurred by our regulated operations, including, but not limited to, staffing costs, lease payments, branding and certain information technology services; capital contributions paid to our regulated health plan subsidiaries, including funding for newer health plans; capital expenditures; debt service; funding for common stock purchases, acquisitions and other growth-related activities; and federal tax payments. In the three months ended March 31, 2024, the parent company contributed capital in the aggregate amount of $229 million to our regulated health plan subsidiaries to satisfy statutory capital and surplus requirements and to fund growth in California health plans acquired in the Bright Health Medicare acquisition and our Iowa and Nebraska health plans. Our parent company normally meets its liquidity requirements from administrative services fees earned under administrative services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March 31, 2024 Form 10-Q | 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ind w:right="220"/>
        <w:spacing w:after="0" w:line="268" w:lineRule="auto"/>
        <w:rPr>
          <w:sz w:val="20"/>
          <w:szCs w:val="20"/>
          <w:color w:val="auto"/>
        </w:rPr>
      </w:pPr>
      <w:r>
        <w:rPr>
          <w:rFonts w:ascii="Arial" w:cs="Arial" w:eastAsia="Arial" w:hAnsi="Arial"/>
          <w:sz w:val="18"/>
          <w:szCs w:val="18"/>
          <w:color w:val="auto"/>
        </w:rPr>
        <w:t>agreements; dividends received from our regulated subsidiaries; federal tax payments collected from the regulated subsidiaries; proceeds received from the issuance of debt and equity securities; and cash flows from investing activities, including investment income and sales of investments.</w:t>
      </w:r>
    </w:p>
    <w:p>
      <w:pPr>
        <w:spacing w:after="0" w:line="63" w:lineRule="exact"/>
        <w:rPr>
          <w:sz w:val="20"/>
          <w:szCs w:val="20"/>
          <w:color w:val="auto"/>
        </w:rPr>
      </w:pPr>
    </w:p>
    <w:p>
      <w:pPr>
        <w:ind w:right="240"/>
        <w:spacing w:after="0" w:line="262" w:lineRule="auto"/>
        <w:rPr>
          <w:sz w:val="20"/>
          <w:szCs w:val="20"/>
          <w:color w:val="auto"/>
        </w:rPr>
      </w:pPr>
      <w:r>
        <w:rPr>
          <w:rFonts w:ascii="Arial" w:cs="Arial" w:eastAsia="Arial" w:hAnsi="Arial"/>
          <w:sz w:val="18"/>
          <w:szCs w:val="18"/>
          <w:color w:val="auto"/>
        </w:rPr>
        <w:t>Cash, cash equivalents and investments at the parent company amounted to $194 million and $742 million as of March 31, 2024, and December 31, 2023, respectively. The decrease as of March 31, 2024, was primarily due to funding our Bright Health Medicare acquisition for $441 million, and capital contributions to regulated health plan subsidiaries, partially offset by the timing of corporate payments, and dividends received from regulated health plan subsidiaries.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w:t>
      </w:r>
    </w:p>
    <w:p>
      <w:pPr>
        <w:spacing w:after="0" w:line="115"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After considering expected cash flows from operating activities, we generally invest cash of regulated subsidiaries that exceeds our expected short-term obligations in longer term, investment-grade, and marketable debt securities to improve our overall investment return. These investments are made pursuant to board-approved investment policies which conform to applicable state laws and regulations.</w:t>
      </w:r>
    </w:p>
    <w:p>
      <w:pPr>
        <w:spacing w:after="0" w:line="63"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Our investment policies are designed to provide liquidity, preserve capital, and maximize total return on invested assets, all in a manner consistent with state requirements that prescribe the types of instruments in which our subsidiaries may invest. These investment policies require that our investments have final maturities of less than 15 years, or less than 15 years average life for structured securities. Professional portfolio managers operating under documented guidelines manage our investments and a portion of our cash equivalents. Our portfolio managers must obtain our prior approval before selling investments where the loss position of those investments exceeds certain levels.</w:t>
      </w:r>
    </w:p>
    <w:p>
      <w:pPr>
        <w:spacing w:after="0" w:line="74" w:lineRule="exact"/>
        <w:rPr>
          <w:sz w:val="20"/>
          <w:szCs w:val="20"/>
          <w:color w:val="auto"/>
        </w:rPr>
      </w:pPr>
    </w:p>
    <w:p>
      <w:pPr>
        <w:ind w:right="660"/>
        <w:spacing w:after="0" w:line="287" w:lineRule="auto"/>
        <w:rPr>
          <w:sz w:val="20"/>
          <w:szCs w:val="20"/>
          <w:color w:val="auto"/>
        </w:rPr>
      </w:pPr>
      <w:r>
        <w:rPr>
          <w:rFonts w:ascii="Arial" w:cs="Arial" w:eastAsia="Arial" w:hAnsi="Arial"/>
          <w:sz w:val="18"/>
          <w:szCs w:val="18"/>
          <w:color w:val="auto"/>
        </w:rPr>
        <w:t>The overall rating of our portfolio is A+. Our investment policy has directives in conjunction with state guidelines to minimize risks and exposures in volatile markets. Additionally, our portfolio managers assist us in navigating the current volatility in the capital markets.</w:t>
      </w:r>
    </w:p>
    <w:p>
      <w:pPr>
        <w:spacing w:after="0" w:line="45" w:lineRule="exact"/>
        <w:rPr>
          <w:sz w:val="20"/>
          <w:szCs w:val="20"/>
          <w:color w:val="auto"/>
        </w:rPr>
      </w:pPr>
    </w:p>
    <w:p>
      <w:pPr>
        <w:ind w:right="420"/>
        <w:spacing w:after="0" w:line="287" w:lineRule="auto"/>
        <w:rPr>
          <w:sz w:val="20"/>
          <w:szCs w:val="20"/>
          <w:color w:val="auto"/>
        </w:rPr>
      </w:pPr>
      <w:r>
        <w:rPr>
          <w:rFonts w:ascii="Arial" w:cs="Arial" w:eastAsia="Arial" w:hAnsi="Arial"/>
          <w:sz w:val="18"/>
          <w:szCs w:val="18"/>
          <w:color w:val="auto"/>
        </w:rPr>
        <w:t>Our restricted investments are invested principally in cash, cash equivalents, U.S. Treasury securities, and corporate debt securities; we have the ability to hold such restricted investments until maturity. All of our unrestricted investments are classified as current assets.</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 Activities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Our cash flows are summarized as follows:</w:t>
      </w:r>
    </w:p>
    <w:p>
      <w:pPr>
        <w:spacing w:after="0" w:line="167" w:lineRule="exact"/>
        <w:rPr>
          <w:sz w:val="20"/>
          <w:szCs w:val="20"/>
          <w:color w:val="auto"/>
        </w:rPr>
      </w:pPr>
    </w:p>
    <w:tbl>
      <w:tblPr>
        <w:tblLayout w:type="fixed"/>
        <w:tblInd w:w="20" w:type="dxa"/>
        <w:tblCellMar>
          <w:top w:w="0" w:type="dxa"/>
          <w:left w:w="0" w:type="dxa"/>
          <w:bottom w:w="0" w:type="dxa"/>
          <w:right w:w="0" w:type="dxa"/>
        </w:tblCellMar>
      </w:tblPr>
      <w:tr>
        <w:trPr>
          <w:trHeight w:val="197"/>
        </w:trPr>
        <w:tc>
          <w:tcPr>
            <w:tcW w:w="6680" w:type="dxa"/>
            <w:vAlign w:val="bottom"/>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2480" w:type="dxa"/>
            <w:vAlign w:val="bottom"/>
            <w:tcBorders>
              <w:bottom w:val="single" w:sz="8" w:color="auto"/>
            </w:tcBorders>
            <w:gridSpan w:val="6"/>
          </w:tcPr>
          <w:p>
            <w:pPr>
              <w:jc w:val="center"/>
              <w:ind w:left="41"/>
              <w:spacing w:after="0"/>
              <w:rPr>
                <w:sz w:val="20"/>
                <w:szCs w:val="20"/>
                <w:color w:val="auto"/>
              </w:rPr>
            </w:pPr>
            <w:r>
              <w:rPr>
                <w:rFonts w:ascii="Arial" w:cs="Arial" w:eastAsia="Arial" w:hAnsi="Arial"/>
                <w:sz w:val="14"/>
                <w:szCs w:val="14"/>
                <w:b w:val="1"/>
                <w:bCs w:val="1"/>
                <w:color w:val="auto"/>
              </w:rPr>
              <w:t>Three Months Ended March 31,</w:t>
            </w:r>
          </w:p>
        </w:tc>
        <w:tc>
          <w:tcPr>
            <w:tcW w:w="10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680" w:type="dxa"/>
            <w:vAlign w:val="bottom"/>
          </w:tcPr>
          <w:p>
            <w:pPr>
              <w:spacing w:after="0"/>
              <w:rPr>
                <w:sz w:val="17"/>
                <w:szCs w:val="17"/>
                <w:color w:val="auto"/>
              </w:rPr>
            </w:pPr>
          </w:p>
        </w:tc>
        <w:tc>
          <w:tcPr>
            <w:tcW w:w="960" w:type="dxa"/>
            <w:vAlign w:val="bottom"/>
            <w:tcBorders>
              <w:bottom w:val="single" w:sz="8" w:color="auto"/>
            </w:tcBorders>
          </w:tcPr>
          <w:p>
            <w:pPr>
              <w:jc w:val="right"/>
              <w:ind w:right="2"/>
              <w:spacing w:after="0"/>
              <w:rPr>
                <w:sz w:val="20"/>
                <w:szCs w:val="20"/>
                <w:color w:val="auto"/>
              </w:rPr>
            </w:pPr>
            <w:r>
              <w:rPr>
                <w:rFonts w:ascii="Arial" w:cs="Arial" w:eastAsia="Arial" w:hAnsi="Arial"/>
                <w:sz w:val="14"/>
                <w:szCs w:val="14"/>
                <w:b w:val="1"/>
                <w:bCs w:val="1"/>
                <w:color w:val="auto"/>
              </w:rPr>
              <w:t>2024</w:t>
            </w:r>
          </w:p>
        </w:tc>
        <w:tc>
          <w:tcPr>
            <w:tcW w:w="4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center"/>
              <w:ind w:right="142"/>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381"/>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36"/>
        </w:trPr>
        <w:tc>
          <w:tcPr>
            <w:tcW w:w="66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(In millions)</w:t>
            </w:r>
          </w:p>
        </w:tc>
        <w:tc>
          <w:tcPr>
            <w:tcW w:w="3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7"/>
        </w:trPr>
        <w:tc>
          <w:tcPr>
            <w:tcW w:w="6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provided by operating activities</w:t>
            </w:r>
          </w:p>
        </w:tc>
        <w:tc>
          <w:tcPr>
            <w:tcW w:w="960" w:type="dxa"/>
            <w:vAlign w:val="bottom"/>
            <w:shd w:val="clear" w:color="auto" w:fill="CCEEFF"/>
          </w:tcPr>
          <w:p>
            <w:pPr>
              <w:jc w:val="right"/>
              <w:ind w:right="782"/>
              <w:spacing w:after="0"/>
              <w:rPr>
                <w:sz w:val="20"/>
                <w:szCs w:val="20"/>
                <w:color w:val="auto"/>
              </w:rPr>
            </w:pPr>
            <w:r>
              <w:rPr>
                <w:rFonts w:ascii="Arial" w:cs="Arial" w:eastAsia="Arial" w:hAnsi="Arial"/>
                <w:sz w:val="16"/>
                <w:szCs w:val="16"/>
                <w:color w:val="auto"/>
                <w:w w:val="89"/>
              </w:rPr>
              <w:t>$</w:t>
            </w:r>
          </w:p>
        </w:tc>
        <w:tc>
          <w:tcPr>
            <w:tcW w:w="4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214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916</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(702)</w:t>
            </w:r>
          </w:p>
        </w:tc>
        <w:tc>
          <w:tcPr>
            <w:tcW w:w="0" w:type="dxa"/>
            <w:vAlign w:val="bottom"/>
          </w:tcPr>
          <w:p>
            <w:pPr>
              <w:spacing w:after="0"/>
              <w:rPr>
                <w:sz w:val="1"/>
                <w:szCs w:val="1"/>
                <w:color w:val="auto"/>
              </w:rPr>
            </w:pPr>
          </w:p>
        </w:tc>
      </w:tr>
      <w:tr>
        <w:trPr>
          <w:trHeight w:val="215"/>
        </w:trPr>
        <w:tc>
          <w:tcPr>
            <w:tcW w:w="6680" w:type="dxa"/>
            <w:vAlign w:val="bottom"/>
          </w:tcPr>
          <w:p>
            <w:pPr>
              <w:ind w:left="20"/>
              <w:spacing w:after="0"/>
              <w:rPr>
                <w:sz w:val="20"/>
                <w:szCs w:val="20"/>
                <w:color w:val="auto"/>
              </w:rPr>
            </w:pPr>
            <w:r>
              <w:rPr>
                <w:rFonts w:ascii="Arial" w:cs="Arial" w:eastAsia="Arial" w:hAnsi="Arial"/>
                <w:sz w:val="16"/>
                <w:szCs w:val="16"/>
                <w:color w:val="auto"/>
              </w:rPr>
              <w:t>Net cash used in investing activities</w:t>
            </w:r>
          </w:p>
        </w:tc>
        <w:tc>
          <w:tcPr>
            <w:tcW w:w="9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(488)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(302)</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(186)</w:t>
            </w:r>
          </w:p>
        </w:tc>
        <w:tc>
          <w:tcPr>
            <w:tcW w:w="0" w:type="dxa"/>
            <w:vAlign w:val="bottom"/>
          </w:tcPr>
          <w:p>
            <w:pPr>
              <w:spacing w:after="0"/>
              <w:rPr>
                <w:sz w:val="1"/>
                <w:szCs w:val="1"/>
                <w:color w:val="auto"/>
              </w:rPr>
            </w:pPr>
          </w:p>
        </w:tc>
      </w:tr>
      <w:tr>
        <w:trPr>
          <w:trHeight w:val="217"/>
        </w:trPr>
        <w:tc>
          <w:tcPr>
            <w:tcW w:w="6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used in financing activities</w:t>
            </w:r>
          </w:p>
        </w:tc>
        <w:tc>
          <w:tcPr>
            <w:tcW w:w="96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142"/>
        </w:trPr>
        <w:tc>
          <w:tcPr>
            <w:tcW w:w="6680" w:type="dxa"/>
            <w:vAlign w:val="bottom"/>
          </w:tcPr>
          <w:p>
            <w:pPr>
              <w:ind w:left="140"/>
              <w:spacing w:after="0" w:line="142" w:lineRule="exact"/>
              <w:rPr>
                <w:sz w:val="20"/>
                <w:szCs w:val="20"/>
                <w:color w:val="auto"/>
              </w:rPr>
            </w:pPr>
            <w:r>
              <w:rPr>
                <w:rFonts w:ascii="Arial" w:cs="Arial" w:eastAsia="Arial" w:hAnsi="Arial"/>
                <w:sz w:val="16"/>
                <w:szCs w:val="16"/>
                <w:color w:val="auto"/>
              </w:rPr>
              <w:t>Net (decrease) increase in cash, cash equivalents, and restricted cash and cash</w:t>
            </w:r>
          </w:p>
        </w:tc>
        <w:tc>
          <w:tcPr>
            <w:tcW w:w="960" w:type="dxa"/>
            <w:vAlign w:val="bottom"/>
            <w:vMerge w:val="restart"/>
          </w:tcPr>
          <w:p>
            <w:pPr>
              <w:jc w:val="right"/>
              <w:ind w:right="782"/>
              <w:spacing w:after="0"/>
              <w:rPr>
                <w:sz w:val="20"/>
                <w:szCs w:val="20"/>
                <w:color w:val="auto"/>
              </w:rPr>
            </w:pPr>
            <w:r>
              <w:rPr>
                <w:rFonts w:ascii="Arial" w:cs="Arial" w:eastAsia="Arial" w:hAnsi="Arial"/>
                <w:sz w:val="16"/>
                <w:szCs w:val="16"/>
                <w:color w:val="auto"/>
                <w:w w:val="89"/>
              </w:rPr>
              <w:t>$</w:t>
            </w:r>
          </w:p>
        </w:tc>
        <w:tc>
          <w:tcPr>
            <w:tcW w:w="480" w:type="dxa"/>
            <w:vAlign w:val="bottom"/>
            <w:vMerge w:val="restart"/>
          </w:tcPr>
          <w:p>
            <w:pPr>
              <w:jc w:val="right"/>
              <w:spacing w:after="0"/>
              <w:rPr>
                <w:sz w:val="20"/>
                <w:szCs w:val="20"/>
                <w:color w:val="auto"/>
              </w:rPr>
            </w:pPr>
            <w:r>
              <w:rPr>
                <w:rFonts w:ascii="Arial" w:cs="Arial" w:eastAsia="Arial" w:hAnsi="Arial"/>
                <w:sz w:val="16"/>
                <w:szCs w:val="16"/>
                <w:color w:val="auto"/>
              </w:rPr>
              <w:t>(336)</w:t>
            </w:r>
          </w:p>
        </w:tc>
        <w:tc>
          <w:tcPr>
            <w:tcW w:w="100" w:type="dxa"/>
            <w:vAlign w:val="bottom"/>
          </w:tcPr>
          <w:p>
            <w:pPr>
              <w:spacing w:after="0"/>
              <w:rPr>
                <w:sz w:val="12"/>
                <w:szCs w:val="12"/>
                <w:color w:val="auto"/>
              </w:rPr>
            </w:pPr>
          </w:p>
        </w:tc>
        <w:tc>
          <w:tcPr>
            <w:tcW w:w="220" w:type="dxa"/>
            <w:vAlign w:val="bottom"/>
            <w:vMerge w:val="restart"/>
          </w:tcPr>
          <w:p>
            <w:pPr>
              <w:jc w:val="right"/>
              <w:ind w:right="19"/>
              <w:spacing w:after="0"/>
              <w:rPr>
                <w:sz w:val="20"/>
                <w:szCs w:val="20"/>
                <w:color w:val="auto"/>
              </w:rPr>
            </w:pPr>
            <w:r>
              <w:rPr>
                <w:rFonts w:ascii="Arial" w:cs="Arial" w:eastAsia="Arial" w:hAnsi="Arial"/>
                <w:sz w:val="16"/>
                <w:szCs w:val="16"/>
                <w:color w:val="auto"/>
              </w:rPr>
              <w:t>$</w:t>
            </w:r>
          </w:p>
        </w:tc>
        <w:tc>
          <w:tcPr>
            <w:tcW w:w="1220" w:type="dxa"/>
            <w:vAlign w:val="bottom"/>
            <w:vMerge w:val="restart"/>
          </w:tcPr>
          <w:p>
            <w:pPr>
              <w:jc w:val="right"/>
              <w:ind w:right="2"/>
              <w:spacing w:after="0"/>
              <w:rPr>
                <w:sz w:val="20"/>
                <w:szCs w:val="20"/>
                <w:color w:val="auto"/>
              </w:rPr>
            </w:pPr>
            <w:r>
              <w:rPr>
                <w:rFonts w:ascii="Arial" w:cs="Arial" w:eastAsia="Arial" w:hAnsi="Arial"/>
                <w:sz w:val="16"/>
                <w:szCs w:val="16"/>
                <w:color w:val="auto"/>
              </w:rPr>
              <w:t>549</w:t>
            </w:r>
          </w:p>
        </w:tc>
        <w:tc>
          <w:tcPr>
            <w:tcW w:w="100" w:type="dxa"/>
            <w:vAlign w:val="bottom"/>
          </w:tcPr>
          <w:p>
            <w:pPr>
              <w:spacing w:after="0"/>
              <w:rPr>
                <w:sz w:val="12"/>
                <w:szCs w:val="12"/>
                <w:color w:val="auto"/>
              </w:rPr>
            </w:pPr>
          </w:p>
        </w:tc>
        <w:tc>
          <w:tcPr>
            <w:tcW w:w="360" w:type="dxa"/>
            <w:vAlign w:val="bottom"/>
            <w:vMerge w:val="restart"/>
          </w:tcPr>
          <w:p>
            <w:pPr>
              <w:jc w:val="right"/>
              <w:ind w:right="159"/>
              <w:spacing w:after="0"/>
              <w:rPr>
                <w:sz w:val="20"/>
                <w:szCs w:val="20"/>
                <w:color w:val="auto"/>
              </w:rPr>
            </w:pPr>
            <w:r>
              <w:rPr>
                <w:rFonts w:ascii="Arial" w:cs="Arial" w:eastAsia="Arial" w:hAnsi="Arial"/>
                <w:sz w:val="16"/>
                <w:szCs w:val="16"/>
                <w:color w:val="auto"/>
              </w:rPr>
              <w:t>$</w:t>
            </w:r>
          </w:p>
        </w:tc>
        <w:tc>
          <w:tcPr>
            <w:tcW w:w="1080" w:type="dxa"/>
            <w:vAlign w:val="bottom"/>
            <w:vMerge w:val="restart"/>
          </w:tcPr>
          <w:p>
            <w:pPr>
              <w:jc w:val="right"/>
              <w:spacing w:after="0"/>
              <w:rPr>
                <w:sz w:val="20"/>
                <w:szCs w:val="20"/>
                <w:color w:val="auto"/>
              </w:rPr>
            </w:pPr>
            <w:r>
              <w:rPr>
                <w:rFonts w:ascii="Arial" w:cs="Arial" w:eastAsia="Arial" w:hAnsi="Arial"/>
                <w:sz w:val="16"/>
                <w:szCs w:val="16"/>
                <w:color w:val="auto"/>
              </w:rPr>
              <w:t>(885)</w:t>
            </w:r>
          </w:p>
        </w:tc>
        <w:tc>
          <w:tcPr>
            <w:tcW w:w="0" w:type="dxa"/>
            <w:vAlign w:val="bottom"/>
          </w:tcPr>
          <w:p>
            <w:pPr>
              <w:spacing w:after="0"/>
              <w:rPr>
                <w:sz w:val="1"/>
                <w:szCs w:val="1"/>
                <w:color w:val="auto"/>
              </w:rPr>
            </w:pPr>
          </w:p>
        </w:tc>
      </w:tr>
      <w:tr>
        <w:trPr>
          <w:trHeight w:val="194"/>
        </w:trPr>
        <w:tc>
          <w:tcPr>
            <w:tcW w:w="6680" w:type="dxa"/>
            <w:vAlign w:val="bottom"/>
          </w:tcPr>
          <w:p>
            <w:pPr>
              <w:ind w:left="300"/>
              <w:spacing w:after="0"/>
              <w:rPr>
                <w:sz w:val="20"/>
                <w:szCs w:val="20"/>
                <w:color w:val="auto"/>
              </w:rPr>
            </w:pPr>
            <w:r>
              <w:rPr>
                <w:rFonts w:ascii="Arial" w:cs="Arial" w:eastAsia="Arial" w:hAnsi="Arial"/>
                <w:sz w:val="16"/>
                <w:szCs w:val="16"/>
                <w:color w:val="auto"/>
              </w:rPr>
              <w:t>equivalents</w:t>
            </w:r>
          </w:p>
        </w:tc>
        <w:tc>
          <w:tcPr>
            <w:tcW w:w="960" w:type="dxa"/>
            <w:vAlign w:val="bottom"/>
            <w:tcBorders>
              <w:bottom w:val="single" w:sz="8" w:color="auto"/>
            </w:tcBorders>
            <w:vMerge w:val="continue"/>
          </w:tcPr>
          <w:p>
            <w:pPr>
              <w:spacing w:after="0"/>
              <w:rPr>
                <w:sz w:val="16"/>
                <w:szCs w:val="16"/>
                <w:color w:val="auto"/>
              </w:rPr>
            </w:pPr>
          </w:p>
        </w:tc>
        <w:tc>
          <w:tcPr>
            <w:tcW w:w="48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vMerge w:val="continue"/>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vMerge w:val="continue"/>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6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Operating Activities</w:t>
      </w:r>
    </w:p>
    <w:p>
      <w:pPr>
        <w:spacing w:after="0" w:line="117"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We typically receive capitation payments monthly, in advance of payments for medical claims; however, government payors may adjust their payment schedules, positively or negatively impacting our reported cash flows from operating activities in any given period. For example, government payors may delay our premium payments, or they may prepay the following month’s premium payment.</w:t>
      </w:r>
    </w:p>
    <w:p>
      <w:pPr>
        <w:spacing w:after="0" w:line="63"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Net cash provided by operations for the three months ended March 31, 2024 was $214 million, compared with $916 million in the three months ended March 31, 2023. The $702 million decrease in cash flow was impacted mainly by timing differences in government receivables and payables, including Medicare and Medicaid premium prepayments benefiting the 2023 period, and timing differences in receipts and payments of non-risk provider payables.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Investing Activities</w:t>
      </w:r>
    </w:p>
    <w:p>
      <w:pPr>
        <w:spacing w:after="0" w:line="117"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Net cash used in investing activities was $488 million in the three months ended March 31, 2024, compared with $302 million used in the three months ended March 31, 2023, a decrease in cash flow of $186 million. This decrease in cash flow was primarily due to a $295 million net cash outflow related to the Bright Health Medicare</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March 31, 2024 Form 10-Q |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right="420"/>
        <w:spacing w:after="0" w:line="287" w:lineRule="auto"/>
        <w:rPr>
          <w:sz w:val="20"/>
          <w:szCs w:val="20"/>
          <w:color w:val="auto"/>
        </w:rPr>
      </w:pPr>
      <w:r>
        <w:rPr>
          <w:rFonts w:ascii="Arial" w:cs="Arial" w:eastAsia="Arial" w:hAnsi="Arial"/>
          <w:sz w:val="18"/>
          <w:szCs w:val="18"/>
          <w:color w:val="auto"/>
        </w:rPr>
        <w:t>acquisition, partially offset by the net activity of proceeds and purchases of investments, which were net purchases of $169 million in the three months ended March 31, 2024 and net purchases of $275 million in the three months ended March 31, 2023.</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Financing Activities</w:t>
      </w:r>
    </w:p>
    <w:p>
      <w:pPr>
        <w:spacing w:after="0" w:line="117"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Net cash used in financing activities was $62 million in the three months ended March 31, 2024, compared with $ 65 million used in the three months ended March 31, 2023, an increase in cash flow of $3 million. In the three months ended March 31, 2024 and 2023, financing cash outflows included $56 million and $58 million, respectively, for common stock withheld to settle employee tax obligations.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828282"/>
        </w:rPr>
        <w:t>FINANCIAL CONDITION</w:t>
      </w:r>
    </w:p>
    <w:p>
      <w:pPr>
        <w:spacing w:after="0" w:line="117"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We believe that our cash resources, borrowing capacity available under our Credit Agreement as discussed further below in “Future Sources and Uses of Liquidity—Future Sources,” and internally generated funds will be sufficient to support our operations, regulatory requirements, debt repayment obligations and capital expenditures for at least the next 12 months.</w:t>
      </w:r>
    </w:p>
    <w:p>
      <w:pPr>
        <w:spacing w:after="0" w:line="63"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On a consolidated basis, at March 31, 2024, our working capital was $4.2 billion, compared with $ 4.4 billion at December 31, 2023. At March 31, 2024, our cash and investments amounted to $9.2 billion, compared with $9.4 billion at December 31, 2023. A significant portion of our portfolio is held in cash and cash equivalents and we do not anticipate the fluctuations in the aggregate fair value of our financial assets to have a material impact on our liquidity or capital position since we intend to hold our securities to maturity. Net unrealized losses on our investments classified as current and available for sale was $113 million at March 31, 2024 and $108 million at December 31, 2023. We have determined that the unrealized losses primarily resulted from fluctuating interest rates, rather than a deterioration of the creditworthiness of the issuers.</w:t>
      </w:r>
    </w:p>
    <w:p>
      <w:pPr>
        <w:spacing w:after="0" w:line="75"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Because of the statutory restrictions that inhibit the ability of our health plan subsidiaries to transfer net assets to us, the amount of retained earnings readily available to pay dividends to our stockholders is generally limited to cash, cash equivalents and investments held by our unregulated parent. For more information, see the “Liquidity” discussion presented above.</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Regulatory Capital and Dividend Restrictions</w:t>
      </w:r>
    </w:p>
    <w:p>
      <w:pPr>
        <w:spacing w:after="0" w:line="115"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Each of our regulated, wholly owned subsidiaries must maintain a minimum amount of statutory capital determined by statute or regulations. Such statutes, regulations and capital requirements also restrict the timing, payment and amount of dividends and other distributions, loans or advances that may be paid to us as the sole stockholder. To the extent our subsidiaries must comply with these regulations, they may not have the financial flexibility to transfer funds to us. Based upon current statutes and regulations, the minimum capital and surplus requirement for these subsidiaries was estimated to be approximately $2.4 billion at March 31, 2024 and $2.3 billion at December 31, 2023. The aggregate capital and surplus of our wholly owned subsidiaries was in excess of these minimum capital requirements as of both dates.</w:t>
      </w:r>
    </w:p>
    <w:p>
      <w:pPr>
        <w:spacing w:after="0" w:line="74"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Under applicable regulatory requirements, the amount of dividends that may be paid by our wholly owned subsidiaries without prior approval by regulatory authorities as of March 31, 2024, was approximately $390 million in the aggregate. The subsidiaries may pay dividends over this amount, but only after approval is granted by the regulatory authorities.</w:t>
      </w:r>
    </w:p>
    <w:p>
      <w:pPr>
        <w:spacing w:after="0" w:line="63" w:lineRule="exact"/>
        <w:rPr>
          <w:sz w:val="20"/>
          <w:szCs w:val="20"/>
          <w:color w:val="auto"/>
        </w:rPr>
      </w:pPr>
    </w:p>
    <w:p>
      <w:pPr>
        <w:jc w:val="both"/>
        <w:ind w:right="280"/>
        <w:spacing w:after="0" w:line="268" w:lineRule="auto"/>
        <w:rPr>
          <w:sz w:val="20"/>
          <w:szCs w:val="20"/>
          <w:color w:val="auto"/>
        </w:rPr>
      </w:pPr>
      <w:r>
        <w:rPr>
          <w:rFonts w:ascii="Arial" w:cs="Arial" w:eastAsia="Arial" w:hAnsi="Arial"/>
          <w:sz w:val="18"/>
          <w:szCs w:val="18"/>
          <w:color w:val="auto"/>
        </w:rPr>
        <w:t>Based on our cash and investments balances as of March 31, 2024, management believes that our regulated, wholly owned subsidiaries remain well capitalized and exceed their regulatory minimum requirements. We have the ability, and have committed to provide, additional capital to each of our health plans as necessary to ensure compliance with minimum statutory capital requirements.</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 Ratings</w:t>
      </w:r>
    </w:p>
    <w:p>
      <w:pPr>
        <w:spacing w:after="0" w:line="115"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In March 2024, our senior notes were upgraded to “BB” by Standard &amp; Poor’s, and to “Ba2” by Moody’s Investor Service, Inc. A downgrade in our ratings could adversely affect our borrowing capacity and increase our borrowing costs.</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Covenants</w:t>
      </w:r>
    </w:p>
    <w:p>
      <w:pPr>
        <w:spacing w:after="0" w:line="115" w:lineRule="exact"/>
        <w:rPr>
          <w:sz w:val="20"/>
          <w:szCs w:val="20"/>
          <w:color w:val="auto"/>
        </w:rPr>
      </w:pPr>
    </w:p>
    <w:p>
      <w:pPr>
        <w:ind w:right="420"/>
        <w:spacing w:after="0" w:line="287" w:lineRule="auto"/>
        <w:rPr>
          <w:sz w:val="20"/>
          <w:szCs w:val="20"/>
          <w:color w:val="auto"/>
        </w:rPr>
      </w:pPr>
      <w:r>
        <w:rPr>
          <w:rFonts w:ascii="Arial" w:cs="Arial" w:eastAsia="Arial" w:hAnsi="Arial"/>
          <w:sz w:val="18"/>
          <w:szCs w:val="18"/>
          <w:color w:val="auto"/>
        </w:rPr>
        <w:t>The Credit Agreement contains customary non-financial and financial covenants, including a net leverage ratio and an interest coverage ratio. Such ratios are computed as defined by the terms of the Credit Agreement.</w:t>
      </w:r>
    </w:p>
    <w:p>
      <w:pPr>
        <w:spacing w:after="0" w:line="45" w:lineRule="exact"/>
        <w:rPr>
          <w:sz w:val="20"/>
          <w:szCs w:val="20"/>
          <w:color w:val="auto"/>
        </w:rPr>
      </w:pPr>
    </w:p>
    <w:p>
      <w:pPr>
        <w:ind w:right="80"/>
        <w:spacing w:after="0" w:line="287" w:lineRule="auto"/>
        <w:rPr>
          <w:sz w:val="20"/>
          <w:szCs w:val="20"/>
          <w:color w:val="auto"/>
        </w:rPr>
      </w:pPr>
      <w:r>
        <w:rPr>
          <w:rFonts w:ascii="Arial" w:cs="Arial" w:eastAsia="Arial" w:hAnsi="Arial"/>
          <w:sz w:val="18"/>
          <w:szCs w:val="18"/>
          <w:color w:val="auto"/>
        </w:rPr>
        <w:t>In addition, the indentures governing each of our outstanding senior notes contain cross-default provisions that are triggered upon default by us or any of our subsidiaries on any indebtedness in excess of the amount specified in the</w:t>
      </w:r>
    </w:p>
    <w:p>
      <w:pPr>
        <w:spacing w:after="0" w:line="200" w:lineRule="exact"/>
        <w:rPr>
          <w:sz w:val="20"/>
          <w:szCs w:val="20"/>
          <w:color w:val="auto"/>
        </w:rPr>
      </w:pPr>
    </w:p>
    <w:p>
      <w:pPr>
        <w:spacing w:after="0" w:line="39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March 31, 2024 Form 10-Q |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color w:val="auto"/>
        </w:rPr>
        <w:t>applicable indenture. As of March 31, 2024, we were in compliance with all financial and non-financial covenants under the Credit Agreement and other long-term debt.</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828282"/>
        </w:rPr>
        <w:t>FUTURE SOURCES AND USES OF LIQUIDITY</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Sources</w:t>
      </w:r>
    </w:p>
    <w:p>
      <w:pPr>
        <w:spacing w:after="0" w:line="115" w:lineRule="exact"/>
        <w:rPr>
          <w:sz w:val="20"/>
          <w:szCs w:val="20"/>
          <w:color w:val="auto"/>
        </w:rPr>
      </w:pPr>
    </w:p>
    <w:p>
      <w:pPr>
        <w:jc w:val="both"/>
        <w:ind w:right="260"/>
        <w:spacing w:after="0" w:line="268" w:lineRule="auto"/>
        <w:rPr>
          <w:sz w:val="20"/>
          <w:szCs w:val="20"/>
          <w:color w:val="auto"/>
        </w:rPr>
      </w:pPr>
      <w:r>
        <w:rPr>
          <w:rFonts w:ascii="Arial" w:cs="Arial" w:eastAsia="Arial" w:hAnsi="Arial"/>
          <w:sz w:val="18"/>
          <w:szCs w:val="18"/>
          <w:color w:val="auto"/>
        </w:rPr>
        <w:t>Our regulated subsidiaries’ generate significant cash flows from premium revenue, which is generally received a short time before related healthcare services are paid. Premium revenue is our primary source of liquidity. Thus, any decline in the receipt of premium revenue, and our profitability, could have a negative impact on our liquidity.</w:t>
      </w:r>
    </w:p>
    <w:p>
      <w:pPr>
        <w:spacing w:after="0" w:line="63" w:lineRule="exact"/>
        <w:rPr>
          <w:sz w:val="20"/>
          <w:szCs w:val="20"/>
          <w:color w:val="auto"/>
        </w:rPr>
      </w:pPr>
    </w:p>
    <w:p>
      <w:pPr>
        <w:spacing w:after="0" w:line="253" w:lineRule="auto"/>
        <w:rPr>
          <w:sz w:val="20"/>
          <w:szCs w:val="20"/>
          <w:color w:val="auto"/>
        </w:rPr>
      </w:pPr>
      <w:r>
        <w:rPr>
          <w:rFonts w:ascii="Arial" w:cs="Arial" w:eastAsia="Arial" w:hAnsi="Arial"/>
          <w:sz w:val="18"/>
          <w:szCs w:val="18"/>
          <w:i w:val="1"/>
          <w:iCs w:val="1"/>
          <w:color w:val="auto"/>
        </w:rPr>
        <w:t>Regulatory Developments</w:t>
      </w:r>
      <w:r>
        <w:rPr>
          <w:rFonts w:ascii="Arial" w:cs="Arial" w:eastAsia="Arial" w:hAnsi="Arial"/>
          <w:sz w:val="18"/>
          <w:szCs w:val="18"/>
          <w:color w:val="auto"/>
        </w:rPr>
        <w:t>. Excluding acquisitions and our exit from Puerto Rico, we estimate we added approximately one million new</w:t>
      </w:r>
      <w:r>
        <w:rPr>
          <w:rFonts w:ascii="Arial" w:cs="Arial" w:eastAsia="Arial" w:hAnsi="Arial"/>
          <w:sz w:val="18"/>
          <w:szCs w:val="18"/>
          <w:i w:val="1"/>
          <w:iCs w:val="1"/>
          <w:color w:val="auto"/>
        </w:rPr>
        <w:t xml:space="preserve"> </w:t>
      </w:r>
      <w:r>
        <w:rPr>
          <w:rFonts w:ascii="Arial" w:cs="Arial" w:eastAsia="Arial" w:hAnsi="Arial"/>
          <w:sz w:val="18"/>
          <w:szCs w:val="18"/>
          <w:color w:val="auto"/>
        </w:rPr>
        <w:t>Medicaid members since March 31, 2020, when we first began to report on the impacts of the pandemic. We believe this membership increase was mainly due to the suspension of redeterminations for Medicaid eligibility. The Consolidated Appropriations Act of 2023 authorized states to resume redeterminations and terminate coverage for ineligible enrollees starting on April 1, 2023, irrespective of the status of the PHE. Consequently, during the third quarter of 2023, all states in which we operate had begun disenrolling members. In the first quarter of 2024, we estimate we lost approximately 50,000 members due to the net effect of redeterminations. This was on track with our expectations and brings the total count of members lost through redeterminations to 550,000. Given the high number of procedural terminations and increasing interventions by CMS and various states, we expect reconnects will likely continue, decreasing currently reported losses. Although the medical cost profile of members who have been disenrolled is more favorable than the Medicaid segment average, when combined with the beneficial impact of corridor offsets in several states, our Medicaid MCR for the first quarter ended March 31, 2024 was in line with our expectations. Based on the experience to date, we expect that we will ultimately retain approximately 40% of the membership gained since March 31, 2020.</w:t>
      </w:r>
    </w:p>
    <w:p>
      <w:pPr>
        <w:spacing w:after="0" w:line="82" w:lineRule="exact"/>
        <w:rPr>
          <w:sz w:val="20"/>
          <w:szCs w:val="20"/>
          <w:color w:val="auto"/>
        </w:rPr>
      </w:pPr>
    </w:p>
    <w:p>
      <w:pPr>
        <w:ind w:right="40"/>
        <w:spacing w:after="0" w:line="287" w:lineRule="auto"/>
        <w:rPr>
          <w:sz w:val="20"/>
          <w:szCs w:val="20"/>
          <w:color w:val="auto"/>
        </w:rPr>
      </w:pPr>
      <w:r>
        <w:rPr>
          <w:rFonts w:ascii="Arial" w:cs="Arial" w:eastAsia="Arial" w:hAnsi="Arial"/>
          <w:sz w:val="18"/>
          <w:szCs w:val="18"/>
          <w:i w:val="1"/>
          <w:iCs w:val="1"/>
          <w:color w:val="auto"/>
        </w:rPr>
        <w:t xml:space="preserve">Dividends from Subsidiaries. </w:t>
      </w:r>
      <w:r>
        <w:rPr>
          <w:rFonts w:ascii="Arial" w:cs="Arial" w:eastAsia="Arial" w:hAnsi="Arial"/>
          <w:sz w:val="18"/>
          <w:szCs w:val="18"/>
          <w:color w:val="auto"/>
        </w:rPr>
        <w:t>When available and as permitted by applicable regulations, cash in excess of the capital needs of our regulated</w:t>
      </w:r>
      <w:r>
        <w:rPr>
          <w:rFonts w:ascii="Arial" w:cs="Arial" w:eastAsia="Arial" w:hAnsi="Arial"/>
          <w:sz w:val="18"/>
          <w:szCs w:val="18"/>
          <w:i w:val="1"/>
          <w:iCs w:val="1"/>
          <w:color w:val="auto"/>
        </w:rPr>
        <w:t xml:space="preserve"> </w:t>
      </w:r>
      <w:r>
        <w:rPr>
          <w:rFonts w:ascii="Arial" w:cs="Arial" w:eastAsia="Arial" w:hAnsi="Arial"/>
          <w:sz w:val="18"/>
          <w:szCs w:val="18"/>
          <w:color w:val="auto"/>
        </w:rPr>
        <w:t>health plans is generally paid in the form of dividends to our unregulated parent company to be used for general corporate purposes.</w:t>
      </w:r>
    </w:p>
    <w:p>
      <w:pPr>
        <w:spacing w:after="0" w:line="45"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i w:val="1"/>
          <w:iCs w:val="1"/>
          <w:color w:val="auto"/>
        </w:rPr>
        <w:t xml:space="preserve">Credit Agreement Borrowing Capacity. </w:t>
      </w:r>
      <w:r>
        <w:rPr>
          <w:rFonts w:ascii="Arial" w:cs="Arial" w:eastAsia="Arial" w:hAnsi="Arial"/>
          <w:sz w:val="18"/>
          <w:szCs w:val="18"/>
          <w:color w:val="auto"/>
        </w:rPr>
        <w:t>We are party to a credit agreement (the “Credit Agreement”) which provides for a revolving credit</w:t>
      </w:r>
      <w:r>
        <w:rPr>
          <w:rFonts w:ascii="Arial" w:cs="Arial" w:eastAsia="Arial" w:hAnsi="Arial"/>
          <w:sz w:val="18"/>
          <w:szCs w:val="18"/>
          <w:i w:val="1"/>
          <w:iCs w:val="1"/>
          <w:color w:val="auto"/>
        </w:rPr>
        <w:t xml:space="preserve"> </w:t>
      </w:r>
      <w:r>
        <w:rPr>
          <w:rFonts w:ascii="Arial" w:cs="Arial" w:eastAsia="Arial" w:hAnsi="Arial"/>
          <w:sz w:val="18"/>
          <w:szCs w:val="18"/>
          <w:color w:val="auto"/>
        </w:rPr>
        <w:t>facility (“Credit Facility”) of $1 billion, a $15 million swingline sub-facility and a $100 million letter of credit sub -facility, as well as incremental term loans available to finance certain acquisitions up to $ 500 million, plus an unlimited amount of such term loans as long as we maintain a minimum consolidated net leverage ratio. As of March 31, 2024, we had available borrowing capacity of $1 billion under Credit Facility. See further discussion in the Notes to Consolidated Financial Statements, Note 8, “Debt.”</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Uses</w:t>
      </w:r>
    </w:p>
    <w:p>
      <w:pPr>
        <w:spacing w:after="0" w:line="115" w:lineRule="exact"/>
        <w:rPr>
          <w:sz w:val="20"/>
          <w:szCs w:val="20"/>
          <w:color w:val="auto"/>
        </w:rPr>
      </w:pPr>
    </w:p>
    <w:p>
      <w:pPr>
        <w:spacing w:after="0" w:line="259" w:lineRule="auto"/>
        <w:rPr>
          <w:sz w:val="20"/>
          <w:szCs w:val="20"/>
          <w:color w:val="auto"/>
        </w:rPr>
      </w:pPr>
      <w:r>
        <w:rPr>
          <w:rFonts w:ascii="Arial" w:cs="Arial" w:eastAsia="Arial" w:hAnsi="Arial"/>
          <w:sz w:val="18"/>
          <w:szCs w:val="18"/>
          <w:i w:val="1"/>
          <w:iCs w:val="1"/>
          <w:color w:val="auto"/>
        </w:rPr>
        <w:t xml:space="preserve">Common Stock Purchases. </w:t>
      </w:r>
      <w:r>
        <w:rPr>
          <w:rFonts w:ascii="Arial" w:cs="Arial" w:eastAsia="Arial" w:hAnsi="Arial"/>
          <w:sz w:val="18"/>
          <w:szCs w:val="18"/>
          <w:color w:val="auto"/>
        </w:rPr>
        <w:t>In September 2023, our board of directors authorized the purchase of up to $750 million of our common stock.</w:t>
      </w:r>
      <w:r>
        <w:rPr>
          <w:rFonts w:ascii="Arial" w:cs="Arial" w:eastAsia="Arial" w:hAnsi="Arial"/>
          <w:sz w:val="18"/>
          <w:szCs w:val="18"/>
          <w:i w:val="1"/>
          <w:iCs w:val="1"/>
          <w:color w:val="auto"/>
        </w:rPr>
        <w:t xml:space="preserve"> </w:t>
      </w:r>
      <w:r>
        <w:rPr>
          <w:rFonts w:ascii="Arial" w:cs="Arial" w:eastAsia="Arial" w:hAnsi="Arial"/>
          <w:sz w:val="18"/>
          <w:szCs w:val="18"/>
          <w:color w:val="auto"/>
        </w:rPr>
        <w:t>This new program supersedes the stock purchase program previously approved by our board of directors in November 2022 and extends through December 31, 2024. The exact timing and amount of any repurchase is determined by management based on market conditions and share price, in addition to other factors, and subject to the restrictions relating to volume, price, and timing under applicable law. As of March 31, 2024, $750 million remained available to purchase our common stock under this program through December 31, 2024.</w:t>
      </w:r>
    </w:p>
    <w:p>
      <w:pPr>
        <w:spacing w:after="0" w:line="71" w:lineRule="exact"/>
        <w:rPr>
          <w:sz w:val="20"/>
          <w:szCs w:val="20"/>
          <w:color w:val="auto"/>
        </w:rPr>
      </w:pPr>
    </w:p>
    <w:p>
      <w:pPr>
        <w:ind w:right="380"/>
        <w:spacing w:after="0" w:line="262" w:lineRule="auto"/>
        <w:rPr>
          <w:sz w:val="20"/>
          <w:szCs w:val="20"/>
          <w:color w:val="auto"/>
        </w:rPr>
      </w:pPr>
      <w:r>
        <w:rPr>
          <w:rFonts w:ascii="Arial" w:cs="Arial" w:eastAsia="Arial" w:hAnsi="Arial"/>
          <w:sz w:val="18"/>
          <w:szCs w:val="18"/>
          <w:i w:val="1"/>
          <w:iCs w:val="1"/>
          <w:color w:val="auto"/>
        </w:rPr>
        <w:t xml:space="preserve">Acquisitions. </w:t>
      </w:r>
      <w:r>
        <w:rPr>
          <w:rFonts w:ascii="Arial" w:cs="Arial" w:eastAsia="Arial" w:hAnsi="Arial"/>
          <w:sz w:val="18"/>
          <w:szCs w:val="18"/>
          <w:color w:val="auto"/>
        </w:rPr>
        <w:t>We have a disciplined and steady approach to growth. Organic growth, which includes leveraging our existing health plan</w:t>
      </w:r>
      <w:r>
        <w:rPr>
          <w:rFonts w:ascii="Arial" w:cs="Arial" w:eastAsia="Arial" w:hAnsi="Arial"/>
          <w:sz w:val="18"/>
          <w:szCs w:val="18"/>
          <w:i w:val="1"/>
          <w:iCs w:val="1"/>
          <w:color w:val="auto"/>
        </w:rPr>
        <w:t xml:space="preserve"> </w:t>
      </w:r>
      <w:r>
        <w:rPr>
          <w:rFonts w:ascii="Arial" w:cs="Arial" w:eastAsia="Arial" w:hAnsi="Arial"/>
          <w:sz w:val="18"/>
          <w:szCs w:val="18"/>
          <w:color w:val="auto"/>
        </w:rPr>
        <w:t>portfolio and winning new territories, is our highest priority. In addition to organic growth, we will consider targeted acquisitions that are a strategic fit that we believe will leverage operational synergies, and lead to incremental earnings accretion. For further information on our acquisitions, refer to the Notes to Consolidated Financial Statements, Note 4, “Business Combinations.”</w:t>
      </w:r>
    </w:p>
    <w:p>
      <w:pPr>
        <w:spacing w:after="0" w:line="68" w:lineRule="exact"/>
        <w:rPr>
          <w:sz w:val="20"/>
          <w:szCs w:val="20"/>
          <w:color w:val="auto"/>
        </w:rPr>
      </w:pPr>
    </w:p>
    <w:p>
      <w:pPr>
        <w:ind w:right="40"/>
        <w:spacing w:after="0" w:line="287" w:lineRule="auto"/>
        <w:rPr>
          <w:sz w:val="20"/>
          <w:szCs w:val="20"/>
          <w:color w:val="auto"/>
        </w:rPr>
      </w:pPr>
      <w:r>
        <w:rPr>
          <w:rFonts w:ascii="Arial" w:cs="Arial" w:eastAsia="Arial" w:hAnsi="Arial"/>
          <w:sz w:val="18"/>
          <w:szCs w:val="18"/>
          <w:i w:val="1"/>
          <w:iCs w:val="1"/>
          <w:color w:val="auto"/>
        </w:rPr>
        <w:t xml:space="preserve">Regulatory Capital Requirements and Dividend Restrictions. </w:t>
      </w:r>
      <w:r>
        <w:rPr>
          <w:rFonts w:ascii="Arial" w:cs="Arial" w:eastAsia="Arial" w:hAnsi="Arial"/>
          <w:sz w:val="18"/>
          <w:szCs w:val="18"/>
          <w:color w:val="auto"/>
        </w:rPr>
        <w:t>We have the ability, and have committed to provide, additional capital to each of</w:t>
      </w:r>
      <w:r>
        <w:rPr>
          <w:rFonts w:ascii="Arial" w:cs="Arial" w:eastAsia="Arial" w:hAnsi="Arial"/>
          <w:sz w:val="18"/>
          <w:szCs w:val="18"/>
          <w:i w:val="1"/>
          <w:iCs w:val="1"/>
          <w:color w:val="auto"/>
        </w:rPr>
        <w:t xml:space="preserve"> </w:t>
      </w:r>
      <w:r>
        <w:rPr>
          <w:rFonts w:ascii="Arial" w:cs="Arial" w:eastAsia="Arial" w:hAnsi="Arial"/>
          <w:sz w:val="18"/>
          <w:szCs w:val="18"/>
          <w:color w:val="auto"/>
        </w:rPr>
        <w:t>our health plans as necessary to ensure compliance with minimum statutory capital requirements.</w:t>
      </w:r>
    </w:p>
    <w:p>
      <w:pPr>
        <w:spacing w:after="0" w:line="400" w:lineRule="exact"/>
        <w:rPr>
          <w:sz w:val="20"/>
          <w:szCs w:val="20"/>
          <w:color w:val="auto"/>
        </w:rPr>
      </w:pPr>
    </w:p>
    <w:p>
      <w:pPr>
        <w:spacing w:after="0"/>
        <w:rPr>
          <w:sz w:val="20"/>
          <w:szCs w:val="20"/>
          <w:color w:val="auto"/>
        </w:rPr>
      </w:pPr>
      <w:r>
        <w:rPr>
          <w:rFonts w:ascii="Arial" w:cs="Arial" w:eastAsia="Arial" w:hAnsi="Arial"/>
          <w:sz w:val="22"/>
          <w:szCs w:val="22"/>
          <w:b w:val="1"/>
          <w:bCs w:val="1"/>
          <w:color w:val="0F7C7F"/>
        </w:rPr>
        <w:t>CONTRACTUAL OBLIGATIONS</w:t>
      </w:r>
    </w:p>
    <w:p>
      <w:pPr>
        <w:spacing w:after="0" w:line="108" w:lineRule="exact"/>
        <w:rPr>
          <w:sz w:val="20"/>
          <w:szCs w:val="20"/>
          <w:color w:val="auto"/>
        </w:rPr>
      </w:pPr>
    </w:p>
    <w:p>
      <w:pPr>
        <w:ind w:right="200"/>
        <w:spacing w:after="0" w:line="287" w:lineRule="auto"/>
        <w:rPr>
          <w:sz w:val="20"/>
          <w:szCs w:val="20"/>
          <w:color w:val="auto"/>
        </w:rPr>
      </w:pPr>
      <w:r>
        <w:rPr>
          <w:rFonts w:ascii="Arial" w:cs="Arial" w:eastAsia="Arial" w:hAnsi="Arial"/>
          <w:sz w:val="18"/>
          <w:szCs w:val="18"/>
          <w:color w:val="auto"/>
        </w:rPr>
        <w:t>A summary of future obligations under our various contractual obligations and commitments as of December 31, 2023 was disclosed in our 2023 Annual Report on Form 10-K.</w:t>
      </w:r>
    </w:p>
    <w:p>
      <w:pPr>
        <w:spacing w:after="0" w:line="45" w:lineRule="exact"/>
        <w:rPr>
          <w:sz w:val="20"/>
          <w:szCs w:val="20"/>
          <w:color w:val="auto"/>
        </w:rPr>
      </w:pPr>
    </w:p>
    <w:p>
      <w:pPr>
        <w:ind w:right="180"/>
        <w:spacing w:after="0" w:line="287" w:lineRule="auto"/>
        <w:rPr>
          <w:sz w:val="20"/>
          <w:szCs w:val="20"/>
          <w:color w:val="auto"/>
        </w:rPr>
      </w:pPr>
      <w:r>
        <w:rPr>
          <w:rFonts w:ascii="Arial" w:cs="Arial" w:eastAsia="Arial" w:hAnsi="Arial"/>
          <w:sz w:val="18"/>
          <w:szCs w:val="18"/>
          <w:color w:val="auto"/>
        </w:rPr>
        <w:t>There were no significant changes to our contractual obligations and commitments outside the ordinary course of business during the three months ended March 31, 2024.</w:t>
      </w:r>
    </w:p>
    <w:p>
      <w:pPr>
        <w:spacing w:after="0" w:line="200" w:lineRule="exact"/>
        <w:rPr>
          <w:sz w:val="20"/>
          <w:szCs w:val="20"/>
          <w:color w:val="auto"/>
        </w:rPr>
      </w:pPr>
    </w:p>
    <w:p>
      <w:pPr>
        <w:spacing w:after="0" w:line="39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March 31, 2024 Form 10-Q | 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22"/>
          <w:szCs w:val="22"/>
          <w:b w:val="1"/>
          <w:bCs w:val="1"/>
          <w:color w:val="0F7C7F"/>
        </w:rPr>
        <w:t>CRITICAL ACCOUNTING ESTIMATES</w:t>
      </w:r>
    </w:p>
    <w:p>
      <w:pPr>
        <w:spacing w:after="0" w:line="108" w:lineRule="exact"/>
        <w:rPr>
          <w:sz w:val="20"/>
          <w:szCs w:val="20"/>
          <w:color w:val="auto"/>
        </w:rPr>
      </w:pPr>
    </w:p>
    <w:p>
      <w:pPr>
        <w:ind w:right="420"/>
        <w:spacing w:after="0" w:line="287" w:lineRule="auto"/>
        <w:rPr>
          <w:sz w:val="20"/>
          <w:szCs w:val="20"/>
          <w:color w:val="auto"/>
        </w:rPr>
      </w:pPr>
      <w:r>
        <w:rPr>
          <w:rFonts w:ascii="Arial" w:cs="Arial" w:eastAsia="Arial" w:hAnsi="Arial"/>
          <w:sz w:val="18"/>
          <w:szCs w:val="18"/>
          <w:color w:val="auto"/>
        </w:rPr>
        <w:t>When we prepare our consolidated financial statements, we use estimates based on assumptions that may affect reported amounts and disclosures; actual results could differ from these estimates. Our critical accounting estimates relate to:</w:t>
      </w:r>
    </w:p>
    <w:p>
      <w:pPr>
        <w:spacing w:after="0" w:line="45" w:lineRule="exact"/>
        <w:rPr>
          <w:sz w:val="20"/>
          <w:szCs w:val="20"/>
          <w:color w:val="auto"/>
        </w:rPr>
      </w:pPr>
    </w:p>
    <w:p>
      <w:pPr>
        <w:ind w:left="660" w:right="100" w:hanging="328"/>
        <w:spacing w:after="0" w:line="278" w:lineRule="auto"/>
        <w:tabs>
          <w:tab w:leader="none" w:pos="655" w:val="left"/>
        </w:tabs>
        <w:numPr>
          <w:ilvl w:val="0"/>
          <w:numId w:val="12"/>
        </w:numPr>
        <w:rPr>
          <w:rFonts w:ascii="Arial" w:cs="Arial" w:eastAsia="Arial" w:hAnsi="Arial"/>
          <w:sz w:val="17"/>
          <w:szCs w:val="17"/>
          <w:i w:val="1"/>
          <w:iCs w:val="1"/>
          <w:color w:val="auto"/>
        </w:rPr>
      </w:pPr>
      <w:r>
        <w:rPr>
          <w:rFonts w:ascii="Arial" w:cs="Arial" w:eastAsia="Arial" w:hAnsi="Arial"/>
          <w:sz w:val="17"/>
          <w:szCs w:val="17"/>
          <w:i w:val="1"/>
          <w:iCs w:val="1"/>
          <w:color w:val="auto"/>
        </w:rPr>
        <w:t>Medical costs, claims and benefits payable</w:t>
      </w:r>
      <w:r>
        <w:rPr>
          <w:rFonts w:ascii="Arial" w:cs="Arial" w:eastAsia="Arial" w:hAnsi="Arial"/>
          <w:sz w:val="17"/>
          <w:szCs w:val="17"/>
          <w:color w:val="auto"/>
        </w:rPr>
        <w:t>. Refer to Notes to Consolidated Financial Statements, Note 7, “Medical Claims and</w:t>
      </w:r>
      <w:r>
        <w:rPr>
          <w:rFonts w:ascii="Arial" w:cs="Arial" w:eastAsia="Arial" w:hAnsi="Arial"/>
          <w:sz w:val="17"/>
          <w:szCs w:val="17"/>
          <w:i w:val="1"/>
          <w:iCs w:val="1"/>
          <w:color w:val="auto"/>
        </w:rPr>
        <w:t xml:space="preserve"> </w:t>
      </w:r>
      <w:r>
        <w:rPr>
          <w:rFonts w:ascii="Arial" w:cs="Arial" w:eastAsia="Arial" w:hAnsi="Arial"/>
          <w:sz w:val="17"/>
          <w:szCs w:val="17"/>
          <w:color w:val="auto"/>
        </w:rPr>
        <w:t>Benefits Payable,” for a table that presents the components of the change in medical claims and benefits payable, and for additional information regarding the factors used to determine our changes in estimates for all periods presented in the accompanying consolidated financial statements. Other than the discussion as noted above, in the three months ended March 31, 2024 there were no significant changes to our disclosure reported in “Critical Accounting Estimates” in our 2023 Annual Report on Form 10-K.</w:t>
      </w:r>
    </w:p>
    <w:p>
      <w:pPr>
        <w:spacing w:after="0" w:line="55" w:lineRule="exact"/>
        <w:rPr>
          <w:rFonts w:ascii="Arial" w:cs="Arial" w:eastAsia="Arial" w:hAnsi="Arial"/>
          <w:sz w:val="17"/>
          <w:szCs w:val="17"/>
          <w:i w:val="1"/>
          <w:iCs w:val="1"/>
          <w:color w:val="auto"/>
        </w:rPr>
      </w:pPr>
    </w:p>
    <w:p>
      <w:pPr>
        <w:ind w:left="660" w:right="100" w:hanging="328"/>
        <w:spacing w:after="0" w:line="268"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Premium Revenue Recognition and Amounts Due Government Agencies: Risk Adjustment</w:t>
      </w:r>
      <w:r>
        <w:rPr>
          <w:rFonts w:ascii="Arial" w:cs="Arial" w:eastAsia="Arial" w:hAnsi="Arial"/>
          <w:sz w:val="18"/>
          <w:szCs w:val="18"/>
          <w:color w:val="auto"/>
        </w:rPr>
        <w:t>. For a discussion of this topic, including</w:t>
      </w:r>
      <w:r>
        <w:rPr>
          <w:rFonts w:ascii="Arial" w:cs="Arial" w:eastAsia="Arial" w:hAnsi="Arial"/>
          <w:sz w:val="18"/>
          <w:szCs w:val="18"/>
          <w:i w:val="1"/>
          <w:iCs w:val="1"/>
          <w:color w:val="auto"/>
        </w:rPr>
        <w:t xml:space="preserve"> </w:t>
      </w:r>
      <w:r>
        <w:rPr>
          <w:rFonts w:ascii="Arial" w:cs="Arial" w:eastAsia="Arial" w:hAnsi="Arial"/>
          <w:sz w:val="18"/>
          <w:szCs w:val="18"/>
          <w:color w:val="auto"/>
        </w:rPr>
        <w:t>amounts recorded in our consolidated financial statements, refer to Notes to Consolidated Financial Statements, Note 2, “Significant Accounting Policies.”</w:t>
      </w:r>
    </w:p>
    <w:p>
      <w:pPr>
        <w:spacing w:after="0" w:line="62" w:lineRule="exact"/>
        <w:rPr>
          <w:rFonts w:ascii="Arial" w:cs="Arial" w:eastAsia="Arial" w:hAnsi="Arial"/>
          <w:sz w:val="18"/>
          <w:szCs w:val="18"/>
          <w:color w:val="auto"/>
        </w:rPr>
      </w:pPr>
    </w:p>
    <w:p>
      <w:pPr>
        <w:ind w:left="660" w:right="40" w:hanging="328"/>
        <w:spacing w:after="0" w:line="262" w:lineRule="auto"/>
        <w:tabs>
          <w:tab w:leader="none" w:pos="655" w:val="left"/>
        </w:tabs>
        <w:numPr>
          <w:ilvl w:val="0"/>
          <w:numId w:val="12"/>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Business Combinations, and Goodwill and intangible assets, net. </w:t>
      </w:r>
      <w:r>
        <w:rPr>
          <w:rFonts w:ascii="Arial" w:cs="Arial" w:eastAsia="Arial" w:hAnsi="Arial"/>
          <w:sz w:val="18"/>
          <w:szCs w:val="18"/>
          <w:color w:val="auto"/>
        </w:rPr>
        <w:t>For a discussion of this topic, including amounts recorded in our</w:t>
      </w:r>
      <w:r>
        <w:rPr>
          <w:rFonts w:ascii="Arial" w:cs="Arial" w:eastAsia="Arial" w:hAnsi="Arial"/>
          <w:sz w:val="18"/>
          <w:szCs w:val="18"/>
          <w:i w:val="1"/>
          <w:iCs w:val="1"/>
          <w:color w:val="auto"/>
        </w:rPr>
        <w:t xml:space="preserve"> </w:t>
      </w:r>
      <w:r>
        <w:rPr>
          <w:rFonts w:ascii="Arial" w:cs="Arial" w:eastAsia="Arial" w:hAnsi="Arial"/>
          <w:sz w:val="18"/>
          <w:szCs w:val="18"/>
          <w:color w:val="auto"/>
        </w:rPr>
        <w:t>consolidated financial statements, refer to Notes to Consolidated Financial Statements, Note 4, “Business Combinations.” Other than the discussion as noted above, in the three months ended March 31, 2024, there were no significant changes to our disclosure reported in “Critical Accounting Estimates” in our 2023 Annual Report on Form 10-K.</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22"/>
          <w:szCs w:val="22"/>
          <w:b w:val="1"/>
          <w:bCs w:val="1"/>
          <w:color w:val="0F7C7F"/>
        </w:rPr>
        <w:t>QUANTITATIVE AND QUALITATIVE DISCLOSURES ABOUT MARKET RISK</w:t>
      </w:r>
    </w:p>
    <w:p>
      <w:pPr>
        <w:spacing w:after="0" w:line="108" w:lineRule="exact"/>
        <w:rPr>
          <w:sz w:val="20"/>
          <w:szCs w:val="20"/>
          <w:color w:val="auto"/>
        </w:rPr>
      </w:pPr>
    </w:p>
    <w:p>
      <w:pPr>
        <w:ind w:right="480"/>
        <w:spacing w:after="0" w:line="287" w:lineRule="auto"/>
        <w:rPr>
          <w:sz w:val="20"/>
          <w:szCs w:val="20"/>
          <w:color w:val="auto"/>
        </w:rPr>
      </w:pPr>
      <w:r>
        <w:rPr>
          <w:rFonts w:ascii="Arial" w:cs="Arial" w:eastAsia="Arial" w:hAnsi="Arial"/>
          <w:sz w:val="18"/>
          <w:szCs w:val="18"/>
          <w:color w:val="auto"/>
        </w:rPr>
        <w:t>Our earnings and financial position are exposed to financial market risk relating to changes in interest rates, and the resulting impact on investment income and interest expense.</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color w:val="auto"/>
        </w:rPr>
        <w:t>Substantially all of our investments and restricted investments are subject to interest rate risk and will decrease in value if market interest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rates increase. Assuming a hypothetical and immediate 1% increase in market interest rates at March 31, 2024, the fair value of our fixed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income investments would decrease by approximately $109 million. Declines in interest rates over time will reduce our investment income.</w:t>
      </w:r>
    </w:p>
    <w:p>
      <w:pPr>
        <w:spacing w:after="0" w:line="99" w:lineRule="exact"/>
        <w:rPr>
          <w:sz w:val="20"/>
          <w:szCs w:val="20"/>
          <w:color w:val="auto"/>
        </w:rPr>
      </w:pPr>
    </w:p>
    <w:p>
      <w:pPr>
        <w:ind w:right="60"/>
        <w:spacing w:after="0" w:line="287" w:lineRule="auto"/>
        <w:rPr>
          <w:sz w:val="20"/>
          <w:szCs w:val="20"/>
          <w:color w:val="auto"/>
        </w:rPr>
      </w:pPr>
      <w:r>
        <w:rPr>
          <w:rFonts w:ascii="Arial" w:cs="Arial" w:eastAsia="Arial" w:hAnsi="Arial"/>
          <w:sz w:val="18"/>
          <w:szCs w:val="18"/>
          <w:color w:val="auto"/>
        </w:rPr>
        <w:t>For further information on fair value measurements and our investment portfolio, please refer to Notes to Consolidated Financial Statements, Note 5, “Fair Value Measurements,” and Note 6, “Investments.”</w:t>
      </w:r>
    </w:p>
    <w:p>
      <w:pPr>
        <w:spacing w:after="0" w:line="45" w:lineRule="exact"/>
        <w:rPr>
          <w:sz w:val="20"/>
          <w:szCs w:val="20"/>
          <w:color w:val="auto"/>
        </w:rPr>
      </w:pPr>
    </w:p>
    <w:p>
      <w:pPr>
        <w:ind w:right="480"/>
        <w:spacing w:after="0" w:line="287" w:lineRule="auto"/>
        <w:rPr>
          <w:sz w:val="20"/>
          <w:szCs w:val="20"/>
          <w:color w:val="auto"/>
        </w:rPr>
      </w:pPr>
      <w:r>
        <w:rPr>
          <w:rFonts w:ascii="Arial" w:cs="Arial" w:eastAsia="Arial" w:hAnsi="Arial"/>
          <w:sz w:val="18"/>
          <w:szCs w:val="18"/>
          <w:color w:val="auto"/>
        </w:rPr>
        <w:t>Borrowings under the Credit Agreement bear interest based, at our election, on a base rate or other defined rate, plus in each case, the applicable margin. For further information, see Notes to Consolidated Financial Statements, Note 8, “Debt.”</w:t>
      </w:r>
    </w:p>
    <w:p>
      <w:pPr>
        <w:spacing w:after="0" w:line="400" w:lineRule="exact"/>
        <w:rPr>
          <w:sz w:val="20"/>
          <w:szCs w:val="20"/>
          <w:color w:val="auto"/>
        </w:rPr>
      </w:pPr>
    </w:p>
    <w:p>
      <w:pPr>
        <w:spacing w:after="0"/>
        <w:rPr>
          <w:sz w:val="20"/>
          <w:szCs w:val="20"/>
          <w:color w:val="auto"/>
        </w:rPr>
      </w:pPr>
      <w:r>
        <w:rPr>
          <w:rFonts w:ascii="Arial" w:cs="Arial" w:eastAsia="Arial" w:hAnsi="Arial"/>
          <w:sz w:val="22"/>
          <w:szCs w:val="22"/>
          <w:b w:val="1"/>
          <w:bCs w:val="1"/>
          <w:color w:val="0F7C7F"/>
        </w:rPr>
        <w:t>CONTROLS AND PROCEDURES</w:t>
      </w:r>
    </w:p>
    <w:p>
      <w:pPr>
        <w:spacing w:after="0" w:line="12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i w:val="1"/>
          <w:iCs w:val="1"/>
          <w:color w:val="auto"/>
        </w:rPr>
        <w:t xml:space="preserve">Evaluation of Disclosure Controls and Procedures. </w:t>
      </w:r>
      <w:r>
        <w:rPr>
          <w:rFonts w:ascii="Arial" w:cs="Arial" w:eastAsia="Arial" w:hAnsi="Arial"/>
          <w:sz w:val="18"/>
          <w:szCs w:val="18"/>
          <w:color w:val="auto"/>
        </w:rPr>
        <w:t>Our management, with the participation of our chief executive officer and our chief</w:t>
      </w:r>
      <w:r>
        <w:rPr>
          <w:rFonts w:ascii="Arial" w:cs="Arial" w:eastAsia="Arial" w:hAnsi="Arial"/>
          <w:sz w:val="18"/>
          <w:szCs w:val="18"/>
          <w:i w:val="1"/>
          <w:iCs w:val="1"/>
          <w:color w:val="auto"/>
        </w:rPr>
        <w:t xml:space="preserve"> </w:t>
      </w:r>
      <w:r>
        <w:rPr>
          <w:rFonts w:ascii="Arial" w:cs="Arial" w:eastAsia="Arial" w:hAnsi="Arial"/>
          <w:sz w:val="18"/>
          <w:szCs w:val="18"/>
          <w:color w:val="auto"/>
        </w:rPr>
        <w:t>financial officer, evaluated, as of the end of the period covered by this Quarterly Report on Form 10-Q, the effectiveness of our disclosure controls and procedures (as defined in Rules 13a-15(e) and 15d-15(e) under the Securities Exchange Act). Based on that evaluation, our chief executive officer and chief financial officer concluded that, as of March 31, 2024, our disclosure controls and procedures were effective at the reasonable assurance level.</w:t>
      </w:r>
    </w:p>
    <w:p>
      <w:pPr>
        <w:spacing w:after="0" w:line="71" w:lineRule="exact"/>
        <w:rPr>
          <w:sz w:val="20"/>
          <w:szCs w:val="20"/>
          <w:color w:val="auto"/>
        </w:rPr>
      </w:pPr>
    </w:p>
    <w:p>
      <w:pPr>
        <w:jc w:val="both"/>
        <w:ind w:right="560"/>
        <w:spacing w:after="0" w:line="268" w:lineRule="auto"/>
        <w:rPr>
          <w:sz w:val="20"/>
          <w:szCs w:val="20"/>
          <w:color w:val="auto"/>
        </w:rPr>
      </w:pPr>
      <w:r>
        <w:rPr>
          <w:rFonts w:ascii="Arial" w:cs="Arial" w:eastAsia="Arial" w:hAnsi="Arial"/>
          <w:sz w:val="18"/>
          <w:szCs w:val="18"/>
          <w:i w:val="1"/>
          <w:iCs w:val="1"/>
          <w:color w:val="auto"/>
        </w:rPr>
        <w:t xml:space="preserve">Changes in Internal Control Over Financial Reporting. </w:t>
      </w:r>
      <w:r>
        <w:rPr>
          <w:rFonts w:ascii="Arial" w:cs="Arial" w:eastAsia="Arial" w:hAnsi="Arial"/>
          <w:sz w:val="18"/>
          <w:szCs w:val="18"/>
          <w:color w:val="auto"/>
        </w:rPr>
        <w:t>There were no changes in our internal control over financial reporting during the</w:t>
      </w:r>
      <w:r>
        <w:rPr>
          <w:rFonts w:ascii="Arial" w:cs="Arial" w:eastAsia="Arial" w:hAnsi="Arial"/>
          <w:sz w:val="18"/>
          <w:szCs w:val="18"/>
          <w:i w:val="1"/>
          <w:iCs w:val="1"/>
          <w:color w:val="auto"/>
        </w:rPr>
        <w:t xml:space="preserve"> </w:t>
      </w:r>
      <w:r>
        <w:rPr>
          <w:rFonts w:ascii="Arial" w:cs="Arial" w:eastAsia="Arial" w:hAnsi="Arial"/>
          <w:sz w:val="18"/>
          <w:szCs w:val="18"/>
          <w:color w:val="auto"/>
        </w:rPr>
        <w:t>quarter ended March 31, 2024, that materially affected, or are reasonably likely to materially affect, our internal controls over financial reporting.</w:t>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22"/>
          <w:szCs w:val="22"/>
          <w:b w:val="1"/>
          <w:bCs w:val="1"/>
          <w:color w:val="0F7C7F"/>
        </w:rPr>
        <w:t>LEGAL PROCEEDINGS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For information regarding legal proceedings, see Notes to Consolidated Financial Statements, Note 10, “Commitments and Contingencies.”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March 31, 2024 Form 10-Q | 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22"/>
          <w:szCs w:val="22"/>
          <w:b w:val="1"/>
          <w:bCs w:val="1"/>
          <w:color w:val="0F7C7F"/>
        </w:rPr>
        <w:t>RISK FACTORS</w:t>
      </w:r>
    </w:p>
    <w:p>
      <w:pPr>
        <w:spacing w:after="0" w:line="108" w:lineRule="exact"/>
        <w:rPr>
          <w:sz w:val="20"/>
          <w:szCs w:val="20"/>
          <w:color w:val="auto"/>
        </w:rPr>
      </w:pPr>
    </w:p>
    <w:p>
      <w:pPr>
        <w:jc w:val="both"/>
        <w:ind w:right="240"/>
        <w:spacing w:after="0" w:line="262" w:lineRule="auto"/>
        <w:rPr>
          <w:sz w:val="20"/>
          <w:szCs w:val="20"/>
          <w:color w:val="auto"/>
        </w:rPr>
      </w:pPr>
      <w:r>
        <w:rPr>
          <w:rFonts w:ascii="Arial" w:cs="Arial" w:eastAsia="Arial" w:hAnsi="Arial"/>
          <w:sz w:val="18"/>
          <w:szCs w:val="18"/>
          <w:color w:val="auto"/>
        </w:rPr>
        <w:t>Certain risks may have a material adverse effect on our business, financial condition, cash flows, results of operations, or stock price, and you should carefully consider them before making an investment decision with respect to our securities. In addition to the other information set forth in this report, you should carefully consider the risk factors discussed under the caption “Risk Factors,” in our 2023 Annual Report on Form 10-K.</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22"/>
          <w:szCs w:val="22"/>
          <w:b w:val="1"/>
          <w:bCs w:val="1"/>
          <w:color w:val="0F7C7F"/>
        </w:rPr>
        <w:t>UNREGISTERED SALES OF EQUITY SECURITIES AND USE OF PROCEEDS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828282"/>
        </w:rPr>
        <w:t>ISSUER PURCHASES OF EQUITY SECURITIES</w:t>
      </w:r>
    </w:p>
    <w:p>
      <w:pPr>
        <w:spacing w:after="0" w:line="117" w:lineRule="exact"/>
        <w:rPr>
          <w:sz w:val="20"/>
          <w:szCs w:val="20"/>
          <w:color w:val="auto"/>
        </w:rPr>
      </w:pPr>
    </w:p>
    <w:p>
      <w:pPr>
        <w:ind w:right="460"/>
        <w:spacing w:after="0" w:line="287" w:lineRule="auto"/>
        <w:rPr>
          <w:sz w:val="20"/>
          <w:szCs w:val="20"/>
          <w:color w:val="auto"/>
        </w:rPr>
      </w:pPr>
      <w:r>
        <w:rPr>
          <w:rFonts w:ascii="Arial" w:cs="Arial" w:eastAsia="Arial" w:hAnsi="Arial"/>
          <w:sz w:val="18"/>
          <w:szCs w:val="18"/>
          <w:color w:val="auto"/>
        </w:rPr>
        <w:t>Purchases of common stock made by us, or on our behalf, during the first quarter of 2024, including shares withheld by us to satisfy our employees’ income tax obligations, are set forth below:</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0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80" w:type="dxa"/>
            <w:vAlign w:val="bottom"/>
            <w:gridSpan w:val="2"/>
          </w:tcPr>
          <w:p>
            <w:pPr>
              <w:jc w:val="center"/>
              <w:spacing w:after="0"/>
              <w:rPr>
                <w:sz w:val="20"/>
                <w:szCs w:val="20"/>
                <w:color w:val="auto"/>
              </w:rPr>
            </w:pPr>
            <w:r>
              <w:rPr>
                <w:rFonts w:ascii="Arial" w:cs="Arial" w:eastAsia="Arial" w:hAnsi="Arial"/>
                <w:sz w:val="16"/>
                <w:szCs w:val="16"/>
                <w:b w:val="1"/>
                <w:bCs w:val="1"/>
                <w:color w:val="auto"/>
                <w:w w:val="99"/>
              </w:rPr>
              <w:t>Total Number of Shares</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40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80" w:type="dxa"/>
            <w:vAlign w:val="bottom"/>
            <w:gridSpan w:val="2"/>
          </w:tcPr>
          <w:p>
            <w:pPr>
              <w:jc w:val="center"/>
              <w:spacing w:after="0" w:line="162" w:lineRule="exact"/>
              <w:rPr>
                <w:sz w:val="20"/>
                <w:szCs w:val="20"/>
                <w:color w:val="auto"/>
              </w:rPr>
            </w:pPr>
            <w:r>
              <w:rPr>
                <w:rFonts w:ascii="Arial" w:cs="Arial" w:eastAsia="Arial" w:hAnsi="Arial"/>
                <w:sz w:val="16"/>
                <w:szCs w:val="16"/>
                <w:b w:val="1"/>
                <w:bCs w:val="1"/>
                <w:color w:val="auto"/>
              </w:rPr>
              <w:t>Purchased as Part of</w:t>
            </w:r>
          </w:p>
        </w:tc>
        <w:tc>
          <w:tcPr>
            <w:tcW w:w="100" w:type="dxa"/>
            <w:vAlign w:val="bottom"/>
          </w:tcPr>
          <w:p>
            <w:pPr>
              <w:spacing w:after="0"/>
              <w:rPr>
                <w:sz w:val="14"/>
                <w:szCs w:val="14"/>
                <w:color w:val="auto"/>
              </w:rPr>
            </w:pPr>
          </w:p>
        </w:tc>
        <w:tc>
          <w:tcPr>
            <w:tcW w:w="202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Approximate Dollar Value</w:t>
            </w:r>
          </w:p>
        </w:tc>
        <w:tc>
          <w:tcPr>
            <w:tcW w:w="0" w:type="dxa"/>
            <w:vAlign w:val="bottom"/>
          </w:tcPr>
          <w:p>
            <w:pPr>
              <w:spacing w:after="0"/>
              <w:rPr>
                <w:sz w:val="1"/>
                <w:szCs w:val="1"/>
                <w:color w:val="auto"/>
              </w:rPr>
            </w:pPr>
          </w:p>
        </w:tc>
      </w:tr>
      <w:tr>
        <w:trPr>
          <w:trHeight w:val="162"/>
        </w:trPr>
        <w:tc>
          <w:tcPr>
            <w:tcW w:w="4080" w:type="dxa"/>
            <w:vAlign w:val="bottom"/>
          </w:tcPr>
          <w:p>
            <w:pPr>
              <w:spacing w:after="0"/>
              <w:rPr>
                <w:sz w:val="14"/>
                <w:szCs w:val="14"/>
                <w:color w:val="auto"/>
              </w:rPr>
            </w:pPr>
          </w:p>
        </w:tc>
        <w:tc>
          <w:tcPr>
            <w:tcW w:w="138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8"/>
              </w:rPr>
              <w:t>Total Number</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tcPr>
          <w:p>
            <w:pPr>
              <w:jc w:val="center"/>
              <w:ind w:left="239"/>
              <w:spacing w:after="0" w:line="162" w:lineRule="exact"/>
              <w:rPr>
                <w:sz w:val="20"/>
                <w:szCs w:val="20"/>
                <w:color w:val="auto"/>
              </w:rPr>
            </w:pPr>
            <w:r>
              <w:rPr>
                <w:rFonts w:ascii="Arial" w:cs="Arial" w:eastAsia="Arial" w:hAnsi="Arial"/>
                <w:sz w:val="16"/>
                <w:szCs w:val="16"/>
                <w:b w:val="1"/>
                <w:bCs w:val="1"/>
                <w:color w:val="auto"/>
              </w:rPr>
              <w:t>Publicly</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080" w:type="dxa"/>
            <w:vAlign w:val="bottom"/>
          </w:tcPr>
          <w:p>
            <w:pPr>
              <w:spacing w:after="0"/>
              <w:rPr>
                <w:sz w:val="14"/>
                <w:szCs w:val="14"/>
                <w:color w:val="auto"/>
              </w:rPr>
            </w:pPr>
          </w:p>
        </w:tc>
        <w:tc>
          <w:tcPr>
            <w:tcW w:w="13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620" w:type="dxa"/>
            <w:vAlign w:val="bottom"/>
            <w:gridSpan w:val="3"/>
            <w:vMerge w:val="restart"/>
          </w:tcPr>
          <w:p>
            <w:pPr>
              <w:ind w:left="40"/>
              <w:spacing w:after="0"/>
              <w:rPr>
                <w:sz w:val="20"/>
                <w:szCs w:val="20"/>
                <w:color w:val="auto"/>
              </w:rPr>
            </w:pPr>
            <w:r>
              <w:rPr>
                <w:rFonts w:ascii="Arial" w:cs="Arial" w:eastAsia="Arial" w:hAnsi="Arial"/>
                <w:sz w:val="16"/>
                <w:szCs w:val="16"/>
                <w:b w:val="1"/>
                <w:bCs w:val="1"/>
                <w:color w:val="auto"/>
              </w:rPr>
              <w:t>Average Price Paid</w:t>
            </w:r>
          </w:p>
        </w:tc>
        <w:tc>
          <w:tcPr>
            <w:tcW w:w="1500" w:type="dxa"/>
            <w:vAlign w:val="bottom"/>
          </w:tcPr>
          <w:p>
            <w:pPr>
              <w:jc w:val="center"/>
              <w:ind w:left="259"/>
              <w:spacing w:after="0" w:line="162" w:lineRule="exact"/>
              <w:rPr>
                <w:sz w:val="20"/>
                <w:szCs w:val="20"/>
                <w:color w:val="auto"/>
              </w:rPr>
            </w:pPr>
            <w:r>
              <w:rPr>
                <w:rFonts w:ascii="Arial" w:cs="Arial" w:eastAsia="Arial" w:hAnsi="Arial"/>
                <w:sz w:val="16"/>
                <w:szCs w:val="16"/>
                <w:b w:val="1"/>
                <w:bCs w:val="1"/>
                <w:color w:val="auto"/>
                <w:w w:val="99"/>
              </w:rPr>
              <w:t>Announced</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00" w:type="dxa"/>
            <w:vAlign w:val="bottom"/>
          </w:tcPr>
          <w:p>
            <w:pPr>
              <w:jc w:val="right"/>
              <w:ind w:right="59"/>
              <w:spacing w:after="0" w:line="162" w:lineRule="exact"/>
              <w:rPr>
                <w:sz w:val="20"/>
                <w:szCs w:val="20"/>
                <w:color w:val="auto"/>
              </w:rPr>
            </w:pPr>
            <w:r>
              <w:rPr>
                <w:rFonts w:ascii="Arial" w:cs="Arial" w:eastAsia="Arial" w:hAnsi="Arial"/>
                <w:sz w:val="16"/>
                <w:szCs w:val="16"/>
                <w:b w:val="1"/>
                <w:bCs w:val="1"/>
                <w:color w:val="auto"/>
              </w:rPr>
              <w:t>of Shares that May Yet</w:t>
            </w:r>
          </w:p>
        </w:tc>
        <w:tc>
          <w:tcPr>
            <w:tcW w:w="0" w:type="dxa"/>
            <w:vAlign w:val="bottom"/>
          </w:tcPr>
          <w:p>
            <w:pPr>
              <w:spacing w:after="0"/>
              <w:rPr>
                <w:sz w:val="1"/>
                <w:szCs w:val="1"/>
                <w:color w:val="auto"/>
              </w:rPr>
            </w:pPr>
          </w:p>
        </w:tc>
      </w:tr>
      <w:tr>
        <w:trPr>
          <w:trHeight w:val="162"/>
        </w:trPr>
        <w:tc>
          <w:tcPr>
            <w:tcW w:w="4080" w:type="dxa"/>
            <w:vAlign w:val="bottom"/>
          </w:tcPr>
          <w:p>
            <w:pPr>
              <w:spacing w:after="0"/>
              <w:rPr>
                <w:sz w:val="14"/>
                <w:szCs w:val="14"/>
                <w:color w:val="auto"/>
              </w:rPr>
            </w:pPr>
          </w:p>
        </w:tc>
        <w:tc>
          <w:tcPr>
            <w:tcW w:w="138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rPr>
              <w:t>of Shares</w:t>
            </w:r>
          </w:p>
        </w:tc>
        <w:tc>
          <w:tcPr>
            <w:tcW w:w="100" w:type="dxa"/>
            <w:vAlign w:val="bottom"/>
          </w:tcPr>
          <w:p>
            <w:pPr>
              <w:spacing w:after="0"/>
              <w:rPr>
                <w:sz w:val="14"/>
                <w:szCs w:val="14"/>
                <w:color w:val="auto"/>
              </w:rPr>
            </w:pPr>
          </w:p>
        </w:tc>
        <w:tc>
          <w:tcPr>
            <w:tcW w:w="1620" w:type="dxa"/>
            <w:vAlign w:val="bottom"/>
            <w:gridSpan w:val="3"/>
            <w:vMerge w:val="continue"/>
          </w:tcPr>
          <w:p>
            <w:pPr>
              <w:spacing w:after="0"/>
              <w:rPr>
                <w:sz w:val="14"/>
                <w:szCs w:val="14"/>
                <w:color w:val="auto"/>
              </w:rPr>
            </w:pPr>
          </w:p>
        </w:tc>
        <w:tc>
          <w:tcPr>
            <w:tcW w:w="1500" w:type="dxa"/>
            <w:vAlign w:val="bottom"/>
          </w:tcPr>
          <w:p>
            <w:pPr>
              <w:jc w:val="center"/>
              <w:ind w:left="259"/>
              <w:spacing w:after="0" w:line="162" w:lineRule="exact"/>
              <w:rPr>
                <w:sz w:val="20"/>
                <w:szCs w:val="20"/>
                <w:color w:val="auto"/>
              </w:rPr>
            </w:pPr>
            <w:r>
              <w:rPr>
                <w:rFonts w:ascii="Arial" w:cs="Arial" w:eastAsia="Arial" w:hAnsi="Arial"/>
                <w:sz w:val="16"/>
                <w:szCs w:val="16"/>
                <w:b w:val="1"/>
                <w:bCs w:val="1"/>
                <w:color w:val="auto"/>
              </w:rPr>
              <w:t>Plans or</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20" w:type="dxa"/>
            <w:vAlign w:val="bottom"/>
            <w:gridSpan w:val="2"/>
          </w:tcPr>
          <w:p>
            <w:pPr>
              <w:jc w:val="right"/>
              <w:spacing w:after="0" w:line="162" w:lineRule="exact"/>
              <w:rPr>
                <w:sz w:val="20"/>
                <w:szCs w:val="20"/>
                <w:color w:val="auto"/>
              </w:rPr>
            </w:pPr>
            <w:r>
              <w:rPr>
                <w:rFonts w:ascii="Arial" w:cs="Arial" w:eastAsia="Arial" w:hAnsi="Arial"/>
                <w:sz w:val="16"/>
                <w:szCs w:val="16"/>
                <w:b w:val="1"/>
                <w:bCs w:val="1"/>
                <w:color w:val="auto"/>
              </w:rPr>
              <w:t>Be Purchased Under the</w:t>
            </w:r>
          </w:p>
        </w:tc>
        <w:tc>
          <w:tcPr>
            <w:tcW w:w="0" w:type="dxa"/>
            <w:vAlign w:val="bottom"/>
          </w:tcPr>
          <w:p>
            <w:pPr>
              <w:spacing w:after="0"/>
              <w:rPr>
                <w:sz w:val="1"/>
                <w:szCs w:val="1"/>
                <w:color w:val="auto"/>
              </w:rPr>
            </w:pPr>
          </w:p>
        </w:tc>
      </w:tr>
      <w:tr>
        <w:trPr>
          <w:trHeight w:val="216"/>
        </w:trPr>
        <w:tc>
          <w:tcPr>
            <w:tcW w:w="4080" w:type="dxa"/>
            <w:vAlign w:val="bottom"/>
          </w:tcPr>
          <w:p>
            <w:pPr>
              <w:spacing w:after="0"/>
              <w:rPr>
                <w:sz w:val="18"/>
                <w:szCs w:val="18"/>
                <w:color w:val="auto"/>
              </w:rPr>
            </w:pPr>
          </w:p>
        </w:tc>
        <w:tc>
          <w:tcPr>
            <w:tcW w:w="1380" w:type="dxa"/>
            <w:vAlign w:val="bottom"/>
          </w:tcPr>
          <w:p>
            <w:pPr>
              <w:jc w:val="center"/>
              <w:spacing w:after="0" w:line="216" w:lineRule="exact"/>
              <w:rPr>
                <w:sz w:val="20"/>
                <w:szCs w:val="20"/>
                <w:color w:val="auto"/>
              </w:rPr>
            </w:pPr>
            <w:r>
              <w:rPr>
                <w:rFonts w:ascii="Arial" w:cs="Arial" w:eastAsia="Arial" w:hAnsi="Arial"/>
                <w:sz w:val="16"/>
                <w:szCs w:val="16"/>
                <w:b w:val="1"/>
                <w:bCs w:val="1"/>
                <w:color w:val="auto"/>
                <w:w w:val="96"/>
              </w:rPr>
              <w:t xml:space="preserve">Purchased </w:t>
            </w:r>
            <w:r>
              <w:rPr>
                <w:rFonts w:ascii="Arial" w:cs="Arial" w:eastAsia="Arial" w:hAnsi="Arial"/>
                <w:sz w:val="21"/>
                <w:szCs w:val="21"/>
                <w:b w:val="1"/>
                <w:bCs w:val="1"/>
                <w:color w:val="auto"/>
                <w:w w:val="96"/>
                <w:vertAlign w:val="superscript"/>
              </w:rPr>
              <w:t>(1)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gridSpan w:val="2"/>
          </w:tcPr>
          <w:p>
            <w:pPr>
              <w:ind w:left="140"/>
              <w:spacing w:after="0"/>
              <w:rPr>
                <w:sz w:val="20"/>
                <w:szCs w:val="20"/>
                <w:color w:val="auto"/>
              </w:rPr>
            </w:pPr>
            <w:r>
              <w:rPr>
                <w:rFonts w:ascii="Arial" w:cs="Arial" w:eastAsia="Arial" w:hAnsi="Arial"/>
                <w:sz w:val="16"/>
                <w:szCs w:val="16"/>
                <w:b w:val="1"/>
                <w:bCs w:val="1"/>
                <w:color w:val="auto"/>
              </w:rPr>
              <w:t>per Share</w:t>
            </w:r>
          </w:p>
        </w:tc>
        <w:tc>
          <w:tcPr>
            <w:tcW w:w="1500" w:type="dxa"/>
            <w:vAlign w:val="bottom"/>
          </w:tcPr>
          <w:p>
            <w:pPr>
              <w:jc w:val="center"/>
              <w:ind w:left="299"/>
              <w:spacing w:after="0"/>
              <w:rPr>
                <w:sz w:val="20"/>
                <w:szCs w:val="20"/>
                <w:color w:val="auto"/>
              </w:rPr>
            </w:pPr>
            <w:r>
              <w:rPr>
                <w:rFonts w:ascii="Arial" w:cs="Arial" w:eastAsia="Arial" w:hAnsi="Arial"/>
                <w:sz w:val="16"/>
                <w:szCs w:val="16"/>
                <w:b w:val="1"/>
                <w:bCs w:val="1"/>
                <w:color w:val="auto"/>
              </w:rPr>
              <w:t>Programs</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00" w:type="dxa"/>
            <w:vAlign w:val="bottom"/>
          </w:tcPr>
          <w:p>
            <w:pPr>
              <w:jc w:val="right"/>
              <w:ind w:right="119"/>
              <w:spacing w:after="0" w:line="216" w:lineRule="exact"/>
              <w:rPr>
                <w:sz w:val="20"/>
                <w:szCs w:val="20"/>
                <w:color w:val="auto"/>
              </w:rPr>
            </w:pPr>
            <w:r>
              <w:rPr>
                <w:rFonts w:ascii="Arial" w:cs="Arial" w:eastAsia="Arial" w:hAnsi="Arial"/>
                <w:sz w:val="16"/>
                <w:szCs w:val="16"/>
                <w:b w:val="1"/>
                <w:bCs w:val="1"/>
                <w:color w:val="auto"/>
              </w:rPr>
              <w:t xml:space="preserve">Plans or Programs </w:t>
            </w:r>
            <w:r>
              <w:rPr>
                <w:rFonts w:ascii="Arial" w:cs="Arial" w:eastAsia="Arial" w:hAnsi="Arial"/>
                <w:sz w:val="21"/>
                <w:szCs w:val="21"/>
                <w:b w:val="1"/>
                <w:bCs w:val="1"/>
                <w:color w:val="auto"/>
                <w:vertAlign w:val="superscript"/>
              </w:rPr>
              <w:t>(2)</w:t>
            </w:r>
          </w:p>
        </w:tc>
        <w:tc>
          <w:tcPr>
            <w:tcW w:w="0" w:type="dxa"/>
            <w:vAlign w:val="bottom"/>
          </w:tcPr>
          <w:p>
            <w:pPr>
              <w:spacing w:after="0"/>
              <w:rPr>
                <w:sz w:val="1"/>
                <w:szCs w:val="1"/>
                <w:color w:val="auto"/>
              </w:rPr>
            </w:pPr>
          </w:p>
        </w:tc>
      </w:tr>
      <w:tr>
        <w:trPr>
          <w:trHeight w:val="209"/>
        </w:trPr>
        <w:tc>
          <w:tcPr>
            <w:tcW w:w="40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January 1 - January 31</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361.31</w:t>
            </w:r>
          </w:p>
        </w:tc>
        <w:tc>
          <w:tcPr>
            <w:tcW w:w="100" w:type="dxa"/>
            <w:vAlign w:val="bottom"/>
            <w:tcBorders>
              <w:top w:val="single" w:sz="8" w:color="CCEEFF"/>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1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750,000,000</w:t>
            </w:r>
          </w:p>
        </w:tc>
        <w:tc>
          <w:tcPr>
            <w:tcW w:w="0" w:type="dxa"/>
            <w:vAlign w:val="bottom"/>
          </w:tcPr>
          <w:p>
            <w:pPr>
              <w:spacing w:after="0"/>
              <w:rPr>
                <w:sz w:val="1"/>
                <w:szCs w:val="1"/>
                <w:color w:val="auto"/>
              </w:rPr>
            </w:pPr>
          </w:p>
        </w:tc>
      </w:tr>
      <w:tr>
        <w:trPr>
          <w:trHeight w:val="215"/>
        </w:trPr>
        <w:tc>
          <w:tcPr>
            <w:tcW w:w="4080" w:type="dxa"/>
            <w:vAlign w:val="bottom"/>
          </w:tcPr>
          <w:p>
            <w:pPr>
              <w:ind w:left="20"/>
              <w:spacing w:after="0"/>
              <w:rPr>
                <w:sz w:val="20"/>
                <w:szCs w:val="20"/>
                <w:color w:val="auto"/>
              </w:rPr>
            </w:pPr>
            <w:r>
              <w:rPr>
                <w:rFonts w:ascii="Arial" w:cs="Arial" w:eastAsia="Arial" w:hAnsi="Arial"/>
                <w:sz w:val="16"/>
                <w:szCs w:val="16"/>
                <w:color w:val="auto"/>
              </w:rPr>
              <w:t>February 1 - February 29</w:t>
            </w:r>
          </w:p>
        </w:tc>
        <w:tc>
          <w:tcPr>
            <w:tcW w:w="1380" w:type="dxa"/>
            <w:vAlign w:val="bottom"/>
          </w:tcPr>
          <w:p>
            <w:pPr>
              <w:jc w:val="right"/>
              <w:spacing w:after="0"/>
              <w:rPr>
                <w:sz w:val="20"/>
                <w:szCs w:val="20"/>
                <w:color w:val="auto"/>
              </w:rPr>
            </w:pPr>
            <w:r>
              <w:rPr>
                <w:rFonts w:ascii="Arial" w:cs="Arial" w:eastAsia="Arial" w:hAnsi="Arial"/>
                <w:sz w:val="16"/>
                <w:szCs w:val="16"/>
                <w:color w:val="auto"/>
              </w:rPr>
              <w:t>—</w:t>
            </w:r>
          </w:p>
        </w:tc>
        <w:tc>
          <w:tcPr>
            <w:tcW w:w="360" w:type="dxa"/>
            <w:vAlign w:val="bottom"/>
            <w:gridSpan w:val="2"/>
          </w:tcPr>
          <w:p>
            <w:pPr>
              <w:ind w:left="120"/>
              <w:spacing w:after="0"/>
              <w:rPr>
                <w:sz w:val="20"/>
                <w:szCs w:val="20"/>
                <w:color w:val="auto"/>
              </w:rPr>
            </w:pPr>
            <w:r>
              <w:rPr>
                <w:rFonts w:ascii="Arial" w:cs="Arial" w:eastAsia="Arial" w:hAnsi="Arial"/>
                <w:sz w:val="16"/>
                <w:szCs w:val="16"/>
                <w:color w:val="auto"/>
              </w:rPr>
              <w:t>$</w:t>
            </w:r>
          </w:p>
        </w:tc>
        <w:tc>
          <w:tcPr>
            <w:tcW w:w="13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500" w:type="dxa"/>
            <w:vAlign w:val="bottom"/>
          </w:tcPr>
          <w:p>
            <w:pPr>
              <w:spacing w:after="0"/>
              <w:rPr>
                <w:sz w:val="18"/>
                <w:szCs w:val="18"/>
                <w:color w:val="auto"/>
              </w:rPr>
            </w:pPr>
          </w:p>
        </w:tc>
        <w:tc>
          <w:tcPr>
            <w:tcW w:w="380" w:type="dxa"/>
            <w:vAlign w:val="bottom"/>
          </w:tcPr>
          <w:p>
            <w:pPr>
              <w:ind w:left="140"/>
              <w:spacing w:after="0"/>
              <w:rPr>
                <w:sz w:val="20"/>
                <w:szCs w:val="20"/>
                <w:color w:val="auto"/>
              </w:rPr>
            </w:pPr>
            <w:r>
              <w:rPr>
                <w:rFonts w:ascii="Arial" w:cs="Arial" w:eastAsia="Arial" w:hAnsi="Arial"/>
                <w:sz w:val="16"/>
                <w:szCs w:val="16"/>
                <w:color w:val="auto"/>
              </w:rPr>
              <w:t>—</w:t>
            </w:r>
          </w:p>
        </w:tc>
        <w:tc>
          <w:tcPr>
            <w:tcW w:w="220" w:type="dxa"/>
            <w:vAlign w:val="bottom"/>
            <w:gridSpan w:val="2"/>
          </w:tcPr>
          <w:p>
            <w:pPr>
              <w:ind w:left="120"/>
              <w:spacing w:after="0"/>
              <w:rPr>
                <w:sz w:val="20"/>
                <w:szCs w:val="20"/>
                <w:color w:val="auto"/>
              </w:rPr>
            </w:pPr>
            <w:r>
              <w:rPr>
                <w:rFonts w:ascii="Arial" w:cs="Arial" w:eastAsia="Arial" w:hAnsi="Arial"/>
                <w:sz w:val="16"/>
                <w:szCs w:val="16"/>
                <w:color w:val="auto"/>
                <w:w w:val="89"/>
              </w:rPr>
              <w:t>$</w:t>
            </w:r>
          </w:p>
        </w:tc>
        <w:tc>
          <w:tcPr>
            <w:tcW w:w="1900" w:type="dxa"/>
            <w:vAlign w:val="bottom"/>
          </w:tcPr>
          <w:p>
            <w:pPr>
              <w:jc w:val="right"/>
              <w:spacing w:after="0"/>
              <w:rPr>
                <w:sz w:val="20"/>
                <w:szCs w:val="20"/>
                <w:color w:val="auto"/>
              </w:rPr>
            </w:pPr>
            <w:r>
              <w:rPr>
                <w:rFonts w:ascii="Arial" w:cs="Arial" w:eastAsia="Arial" w:hAnsi="Arial"/>
                <w:sz w:val="16"/>
                <w:szCs w:val="16"/>
                <w:color w:val="auto"/>
              </w:rPr>
              <w:t>750,000,000</w:t>
            </w: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March 1 - March 31</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143,000</w:t>
            </w:r>
          </w:p>
        </w:tc>
        <w:tc>
          <w:tcPr>
            <w:tcW w:w="36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387.21</w:t>
            </w:r>
          </w:p>
        </w:tc>
        <w:tc>
          <w:tcPr>
            <w:tcW w:w="100" w:type="dxa"/>
            <w:vAlign w:val="bottom"/>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w w:val="89"/>
              </w:rPr>
              <w:t>$</w:t>
            </w:r>
          </w:p>
        </w:tc>
        <w:tc>
          <w:tcPr>
            <w:tcW w:w="1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750,000,000</w:t>
            </w:r>
          </w:p>
        </w:tc>
        <w:tc>
          <w:tcPr>
            <w:tcW w:w="0" w:type="dxa"/>
            <w:vAlign w:val="bottom"/>
          </w:tcPr>
          <w:p>
            <w:pPr>
              <w:spacing w:after="0"/>
              <w:rPr>
                <w:sz w:val="1"/>
                <w:szCs w:val="1"/>
                <w:color w:val="auto"/>
              </w:rPr>
            </w:pPr>
          </w:p>
        </w:tc>
      </w:tr>
      <w:tr>
        <w:trPr>
          <w:trHeight w:val="210"/>
        </w:trPr>
        <w:tc>
          <w:tcPr>
            <w:tcW w:w="4080" w:type="dxa"/>
            <w:vAlign w:val="bottom"/>
          </w:tcPr>
          <w:p>
            <w:pPr>
              <w:ind w:left="140"/>
              <w:spacing w:after="0"/>
              <w:rPr>
                <w:sz w:val="20"/>
                <w:szCs w:val="20"/>
                <w:color w:val="auto"/>
              </w:rPr>
            </w:pPr>
            <w:r>
              <w:rPr>
                <w:rFonts w:ascii="Arial" w:cs="Arial" w:eastAsia="Arial" w:hAnsi="Arial"/>
                <w:sz w:val="16"/>
                <w:szCs w:val="16"/>
                <w:color w:val="auto"/>
              </w:rPr>
              <w:t>Total</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144,000</w:t>
            </w:r>
          </w:p>
        </w:tc>
        <w:tc>
          <w:tcPr>
            <w:tcW w:w="360" w:type="dxa"/>
            <w:vAlign w:val="bottom"/>
            <w:gridSpan w:val="2"/>
          </w:tcPr>
          <w:p>
            <w:pPr>
              <w:ind w:left="120"/>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387.09</w:t>
            </w:r>
          </w:p>
        </w:tc>
        <w:tc>
          <w:tcPr>
            <w:tcW w:w="100" w:type="dxa"/>
            <w:vAlign w:val="bottom"/>
          </w:tcPr>
          <w:p>
            <w:pPr>
              <w:spacing w:after="0"/>
              <w:rPr>
                <w:sz w:val="18"/>
                <w:szCs w:val="18"/>
                <w:color w:val="auto"/>
              </w:rPr>
            </w:pPr>
          </w:p>
        </w:tc>
        <w:tc>
          <w:tcPr>
            <w:tcW w:w="150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ind w:left="1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w:t>
      </w:r>
    </w:p>
    <w:p>
      <w:pPr>
        <w:spacing w:after="0" w:line="122" w:lineRule="exact"/>
        <w:rPr>
          <w:sz w:val="20"/>
          <w:szCs w:val="20"/>
          <w:color w:val="auto"/>
        </w:rPr>
      </w:pPr>
    </w:p>
    <w:p>
      <w:pPr>
        <w:ind w:left="340" w:right="220" w:hanging="332"/>
        <w:spacing w:after="0" w:line="265" w:lineRule="auto"/>
        <w:tabs>
          <w:tab w:leader="none" w:pos="335" w:val="left"/>
        </w:tabs>
        <w:numPr>
          <w:ilvl w:val="0"/>
          <w:numId w:val="13"/>
        </w:numPr>
        <w:rPr>
          <w:rFonts w:ascii="Arial" w:cs="Arial" w:eastAsia="Arial" w:hAnsi="Arial"/>
          <w:sz w:val="16"/>
          <w:szCs w:val="16"/>
          <w:color w:val="auto"/>
        </w:rPr>
      </w:pPr>
      <w:r>
        <w:rPr>
          <w:rFonts w:ascii="Arial" w:cs="Arial" w:eastAsia="Arial" w:hAnsi="Arial"/>
          <w:sz w:val="16"/>
          <w:szCs w:val="16"/>
          <w:color w:val="auto"/>
        </w:rPr>
        <w:t>During the first quarter of 2024, we withheld approximately 144,000 shares of common stock to settle employee income tax obligations for releases of awards granted under the Molina Healthcare, Inc. 2019 Equity Incentive Plan.</w:t>
      </w:r>
    </w:p>
    <w:p>
      <w:pPr>
        <w:spacing w:after="0" w:line="1" w:lineRule="exact"/>
        <w:rPr>
          <w:rFonts w:ascii="Arial" w:cs="Arial" w:eastAsia="Arial" w:hAnsi="Arial"/>
          <w:sz w:val="16"/>
          <w:szCs w:val="16"/>
          <w:color w:val="auto"/>
        </w:rPr>
      </w:pPr>
    </w:p>
    <w:p>
      <w:pPr>
        <w:ind w:left="320" w:hanging="312"/>
        <w:spacing w:after="0"/>
        <w:tabs>
          <w:tab w:leader="none" w:pos="3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For further information on our stock repurchase programs, refer to our 2023 Annual Report on Form 10-K, Note 13, “Stockholders' Equity.”</w:t>
      </w: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22"/>
          <w:szCs w:val="22"/>
          <w:b w:val="1"/>
          <w:bCs w:val="1"/>
          <w:color w:val="0F7C7F"/>
        </w:rPr>
        <w:t>OTHER INFORMATION</w:t>
      </w:r>
    </w:p>
    <w:p>
      <w:pPr>
        <w:spacing w:after="0" w:line="94" w:lineRule="exact"/>
        <w:rPr>
          <w:sz w:val="20"/>
          <w:szCs w:val="20"/>
          <w:color w:val="auto"/>
        </w:rPr>
      </w:pPr>
    </w:p>
    <w:p>
      <w:pPr>
        <w:ind w:left="420" w:hanging="412"/>
        <w:spacing w:after="0"/>
        <w:tabs>
          <w:tab w:leader="none" w:pos="4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None.</w:t>
      </w:r>
    </w:p>
    <w:p>
      <w:pPr>
        <w:spacing w:after="0" w:line="117" w:lineRule="exact"/>
        <w:rPr>
          <w:rFonts w:ascii="Arial" w:cs="Arial" w:eastAsia="Arial" w:hAnsi="Arial"/>
          <w:sz w:val="18"/>
          <w:szCs w:val="18"/>
          <w:color w:val="auto"/>
        </w:rPr>
      </w:pPr>
    </w:p>
    <w:p>
      <w:pPr>
        <w:ind w:left="420" w:hanging="412"/>
        <w:spacing w:after="0"/>
        <w:tabs>
          <w:tab w:leader="none" w:pos="4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None.</w:t>
      </w:r>
    </w:p>
    <w:p>
      <w:pPr>
        <w:spacing w:after="0" w:line="117" w:lineRule="exact"/>
        <w:rPr>
          <w:rFonts w:ascii="Arial" w:cs="Arial" w:eastAsia="Arial" w:hAnsi="Arial"/>
          <w:sz w:val="18"/>
          <w:szCs w:val="18"/>
          <w:color w:val="auto"/>
        </w:rPr>
      </w:pPr>
    </w:p>
    <w:p>
      <w:pPr>
        <w:ind w:left="340" w:right="100" w:hanging="332"/>
        <w:spacing w:after="0" w:line="282" w:lineRule="auto"/>
        <w:tabs>
          <w:tab w:leader="none" w:pos="426" w:val="left"/>
        </w:tabs>
        <w:numPr>
          <w:ilvl w:val="0"/>
          <w:numId w:val="14"/>
        </w:numPr>
        <w:rPr>
          <w:rFonts w:ascii="Arial" w:cs="Arial" w:eastAsia="Arial" w:hAnsi="Arial"/>
          <w:sz w:val="17"/>
          <w:szCs w:val="17"/>
          <w:color w:val="auto"/>
        </w:rPr>
      </w:pPr>
      <w:r>
        <w:rPr>
          <w:rFonts w:ascii="Arial" w:cs="Arial" w:eastAsia="Arial" w:hAnsi="Arial"/>
          <w:sz w:val="17"/>
          <w:szCs w:val="17"/>
          <w:color w:val="auto"/>
        </w:rPr>
        <w:t>On February 20, 2024, James Woys, the Company’s Senior Executive Vice President and Chief Operating Officer, adopted a stock trading plan, pursuant to which he may sell up to 20,000 shares of the Company’s common stock prior to November 29, 2024. This trading plan was entering into during an open insider trading window and is intended to satisfy the affirmative defense rule of Rule 10b5-1(c) under the Securities Exchange Act of 1934, as amended, and the Company’s policies regarding transactions in our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March 31, 2024 Form 10-Q |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22"/>
          <w:szCs w:val="22"/>
          <w:b w:val="1"/>
          <w:bCs w:val="1"/>
          <w:color w:val="0F7C7F"/>
        </w:rPr>
        <w:t>INDEX TO EXHIBITS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1140" w:type="dxa"/>
            <w:vAlign w:val="bottom"/>
            <w:gridSpan w:val="2"/>
          </w:tcPr>
          <w:p>
            <w:pPr>
              <w:ind w:left="20"/>
              <w:spacing w:after="0"/>
              <w:rPr>
                <w:sz w:val="20"/>
                <w:szCs w:val="20"/>
                <w:color w:val="auto"/>
              </w:rPr>
            </w:pPr>
            <w:r>
              <w:rPr>
                <w:rFonts w:ascii="Arial" w:cs="Arial" w:eastAsia="Arial" w:hAnsi="Arial"/>
                <w:sz w:val="14"/>
                <w:szCs w:val="14"/>
                <w:color w:val="auto"/>
              </w:rPr>
              <w:t>Exhibit No.</w:t>
            </w:r>
          </w:p>
        </w:tc>
        <w:tc>
          <w:tcPr>
            <w:tcW w:w="20" w:type="dxa"/>
            <w:vAlign w:val="bottom"/>
          </w:tcPr>
          <w:p>
            <w:pPr>
              <w:spacing w:after="0"/>
              <w:rPr>
                <w:sz w:val="16"/>
                <w:szCs w:val="16"/>
                <w:color w:val="auto"/>
              </w:rPr>
            </w:pPr>
          </w:p>
        </w:tc>
        <w:tc>
          <w:tcPr>
            <w:tcW w:w="5660" w:type="dxa"/>
            <w:vAlign w:val="bottom"/>
            <w:gridSpan w:val="8"/>
          </w:tcPr>
          <w:p>
            <w:pPr>
              <w:spacing w:after="0"/>
              <w:rPr>
                <w:sz w:val="20"/>
                <w:szCs w:val="20"/>
                <w:color w:val="auto"/>
              </w:rPr>
            </w:pPr>
            <w:r>
              <w:rPr>
                <w:rFonts w:ascii="Arial" w:cs="Arial" w:eastAsia="Arial" w:hAnsi="Arial"/>
                <w:sz w:val="14"/>
                <w:szCs w:val="14"/>
                <w:color w:val="auto"/>
              </w:rPr>
              <w:t>Title</w:t>
            </w:r>
          </w:p>
        </w:tc>
        <w:tc>
          <w:tcPr>
            <w:tcW w:w="4420" w:type="dxa"/>
            <w:vAlign w:val="bottom"/>
          </w:tcPr>
          <w:p>
            <w:pPr>
              <w:ind w:left="20"/>
              <w:spacing w:after="0"/>
              <w:rPr>
                <w:sz w:val="20"/>
                <w:szCs w:val="20"/>
                <w:color w:val="auto"/>
              </w:rPr>
            </w:pPr>
            <w:r>
              <w:rPr>
                <w:rFonts w:ascii="Arial" w:cs="Arial" w:eastAsia="Arial" w:hAnsi="Arial"/>
                <w:sz w:val="14"/>
                <w:szCs w:val="14"/>
                <w:color w:val="auto"/>
              </w:rPr>
              <w:t>Method of Filing</w:t>
            </w:r>
          </w:p>
        </w:tc>
      </w:tr>
      <w:tr>
        <w:trPr>
          <w:trHeight w:val="173"/>
        </w:trPr>
        <w:tc>
          <w:tcPr>
            <w:tcW w:w="1040" w:type="dxa"/>
            <w:vAlign w:val="bottom"/>
            <w:tcBorders>
              <w:top w:val="single" w:sz="8" w:color="auto"/>
            </w:tcBorders>
          </w:tcPr>
          <w:p>
            <w:pPr>
              <w:ind w:left="20"/>
              <w:spacing w:after="0" w:line="173" w:lineRule="exact"/>
              <w:rPr>
                <w:sz w:val="20"/>
                <w:szCs w:val="20"/>
                <w:color w:val="auto"/>
              </w:rPr>
            </w:pPr>
            <w:r>
              <w:rPr>
                <w:rFonts w:ascii="Arial" w:cs="Arial" w:eastAsia="Arial" w:hAnsi="Arial"/>
                <w:sz w:val="16"/>
                <w:szCs w:val="16"/>
                <w:color w:val="auto"/>
              </w:rPr>
              <w:t>31.1</w:t>
            </w:r>
          </w:p>
        </w:tc>
        <w:tc>
          <w:tcPr>
            <w:tcW w:w="10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5540" w:type="dxa"/>
            <w:vAlign w:val="bottom"/>
            <w:tcBorders>
              <w:top w:val="single" w:sz="8" w:color="auto"/>
            </w:tcBorders>
            <w:gridSpan w:val="7"/>
          </w:tcPr>
          <w:p>
            <w:pPr>
              <w:spacing w:after="0" w:line="173" w:lineRule="exact"/>
              <w:rPr>
                <w:sz w:val="20"/>
                <w:szCs w:val="20"/>
                <w:color w:val="auto"/>
              </w:rPr>
            </w:pPr>
            <w:r>
              <w:rPr>
                <w:rFonts w:ascii="Arial" w:cs="Arial" w:eastAsia="Arial" w:hAnsi="Arial"/>
                <w:sz w:val="16"/>
                <w:szCs w:val="16"/>
                <w:color w:val="0F7C7F"/>
              </w:rPr>
              <w:t>Section 302 Certification of Chief Executive Officer</w:t>
            </w:r>
          </w:p>
        </w:tc>
        <w:tc>
          <w:tcPr>
            <w:tcW w:w="120" w:type="dxa"/>
            <w:vAlign w:val="bottom"/>
          </w:tcPr>
          <w:p>
            <w:pPr>
              <w:spacing w:after="0"/>
              <w:rPr>
                <w:sz w:val="15"/>
                <w:szCs w:val="15"/>
                <w:color w:val="auto"/>
              </w:rPr>
            </w:pPr>
          </w:p>
        </w:tc>
        <w:tc>
          <w:tcPr>
            <w:tcW w:w="4420" w:type="dxa"/>
            <w:vAlign w:val="bottom"/>
            <w:tcBorders>
              <w:top w:val="single" w:sz="8" w:color="auto"/>
            </w:tcBorders>
          </w:tcPr>
          <w:p>
            <w:pPr>
              <w:ind w:left="20"/>
              <w:spacing w:after="0" w:line="173" w:lineRule="exact"/>
              <w:rPr>
                <w:sz w:val="20"/>
                <w:szCs w:val="20"/>
                <w:color w:val="auto"/>
              </w:rPr>
            </w:pPr>
            <w:r>
              <w:rPr>
                <w:rFonts w:ascii="Arial" w:cs="Arial" w:eastAsia="Arial" w:hAnsi="Arial"/>
                <w:sz w:val="16"/>
                <w:szCs w:val="16"/>
                <w:color w:val="auto"/>
              </w:rPr>
              <w:t>Filed herewith.</w:t>
            </w:r>
          </w:p>
        </w:tc>
      </w:tr>
      <w:tr>
        <w:trPr>
          <w:trHeight w:val="196"/>
        </w:trPr>
        <w:tc>
          <w:tcPr>
            <w:tcW w:w="1040" w:type="dxa"/>
            <w:vAlign w:val="bottom"/>
          </w:tcPr>
          <w:p>
            <w:pPr>
              <w:ind w:left="20"/>
              <w:spacing w:after="0"/>
              <w:rPr>
                <w:sz w:val="20"/>
                <w:szCs w:val="20"/>
                <w:color w:val="auto"/>
              </w:rPr>
            </w:pPr>
            <w:r>
              <w:rPr>
                <w:rFonts w:ascii="Arial" w:cs="Arial" w:eastAsia="Arial" w:hAnsi="Arial"/>
                <w:sz w:val="16"/>
                <w:szCs w:val="16"/>
                <w:color w:val="auto"/>
              </w:rPr>
              <w:t>31.2</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580" w:type="dxa"/>
            <w:vAlign w:val="bottom"/>
            <w:tcBorders>
              <w:top w:val="single" w:sz="8" w:color="0F7C7F"/>
              <w:bottom w:val="single" w:sz="8" w:color="0F7C7F"/>
            </w:tcBorders>
          </w:tcPr>
          <w:p>
            <w:pPr>
              <w:spacing w:after="0"/>
              <w:rPr>
                <w:sz w:val="20"/>
                <w:szCs w:val="20"/>
                <w:color w:val="auto"/>
              </w:rPr>
            </w:pPr>
            <w:r>
              <w:rPr>
                <w:rFonts w:ascii="Arial" w:cs="Arial" w:eastAsia="Arial" w:hAnsi="Arial"/>
                <w:sz w:val="16"/>
                <w:szCs w:val="16"/>
                <w:color w:val="0F7C7F"/>
              </w:rPr>
              <w:t>Section 302 Certification of Chief Financial Officer</w:t>
            </w:r>
          </w:p>
        </w:tc>
        <w:tc>
          <w:tcPr>
            <w:tcW w:w="40" w:type="dxa"/>
            <w:vAlign w:val="bottom"/>
            <w:tcBorders>
              <w:top w:val="single" w:sz="8" w:color="0F7C7F"/>
            </w:tcBorders>
          </w:tcPr>
          <w:p>
            <w:pPr>
              <w:spacing w:after="0"/>
              <w:rPr>
                <w:sz w:val="17"/>
                <w:szCs w:val="17"/>
                <w:color w:val="auto"/>
              </w:rPr>
            </w:pPr>
          </w:p>
        </w:tc>
        <w:tc>
          <w:tcPr>
            <w:tcW w:w="2040" w:type="dxa"/>
            <w:vAlign w:val="bottom"/>
            <w:gridSpan w:val="6"/>
          </w:tcPr>
          <w:p>
            <w:pPr>
              <w:spacing w:after="0"/>
              <w:rPr>
                <w:sz w:val="17"/>
                <w:szCs w:val="17"/>
                <w:color w:val="auto"/>
              </w:rPr>
            </w:pPr>
          </w:p>
        </w:tc>
        <w:tc>
          <w:tcPr>
            <w:tcW w:w="4420" w:type="dxa"/>
            <w:vAlign w:val="bottom"/>
          </w:tcPr>
          <w:p>
            <w:pPr>
              <w:ind w:left="20"/>
              <w:spacing w:after="0"/>
              <w:rPr>
                <w:sz w:val="20"/>
                <w:szCs w:val="20"/>
                <w:color w:val="auto"/>
              </w:rPr>
            </w:pPr>
            <w:r>
              <w:rPr>
                <w:rFonts w:ascii="Arial" w:cs="Arial" w:eastAsia="Arial" w:hAnsi="Arial"/>
                <w:sz w:val="16"/>
                <w:szCs w:val="16"/>
                <w:color w:val="auto"/>
              </w:rPr>
              <w:t>Filed herewith.</w:t>
            </w:r>
          </w:p>
        </w:tc>
      </w:tr>
      <w:tr>
        <w:trPr>
          <w:trHeight w:val="196"/>
        </w:trPr>
        <w:tc>
          <w:tcPr>
            <w:tcW w:w="1040" w:type="dxa"/>
            <w:vAlign w:val="bottom"/>
          </w:tcPr>
          <w:p>
            <w:pPr>
              <w:ind w:left="20"/>
              <w:spacing w:after="0"/>
              <w:rPr>
                <w:sz w:val="20"/>
                <w:szCs w:val="20"/>
                <w:color w:val="auto"/>
              </w:rPr>
            </w:pPr>
            <w:r>
              <w:rPr>
                <w:rFonts w:ascii="Arial" w:cs="Arial" w:eastAsia="Arial" w:hAnsi="Arial"/>
                <w:sz w:val="16"/>
                <w:szCs w:val="16"/>
                <w:color w:val="auto"/>
              </w:rPr>
              <w:t>32.1</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60" w:type="dxa"/>
            <w:vAlign w:val="bottom"/>
            <w:gridSpan w:val="8"/>
          </w:tcPr>
          <w:p>
            <w:pPr>
              <w:spacing w:after="0"/>
              <w:rPr>
                <w:sz w:val="20"/>
                <w:szCs w:val="20"/>
                <w:color w:val="auto"/>
              </w:rPr>
            </w:pPr>
            <w:r>
              <w:rPr>
                <w:rFonts w:ascii="Arial" w:cs="Arial" w:eastAsia="Arial" w:hAnsi="Arial"/>
                <w:sz w:val="16"/>
                <w:szCs w:val="16"/>
                <w:color w:val="0F7C7F"/>
              </w:rPr>
              <w:t>Certification of Chief Executive Officer pursuant to 18 U.S.C. Section 1350,</w:t>
            </w:r>
          </w:p>
        </w:tc>
        <w:tc>
          <w:tcPr>
            <w:tcW w:w="4420" w:type="dxa"/>
            <w:vAlign w:val="bottom"/>
          </w:tcPr>
          <w:p>
            <w:pPr>
              <w:ind w:left="20"/>
              <w:spacing w:after="0"/>
              <w:rPr>
                <w:sz w:val="20"/>
                <w:szCs w:val="20"/>
                <w:color w:val="auto"/>
              </w:rPr>
            </w:pPr>
            <w:r>
              <w:rPr>
                <w:rFonts w:ascii="Arial" w:cs="Arial" w:eastAsia="Arial" w:hAnsi="Arial"/>
                <w:sz w:val="16"/>
                <w:szCs w:val="16"/>
                <w:color w:val="auto"/>
              </w:rPr>
              <w:t>Filed herewith.</w:t>
            </w:r>
          </w:p>
        </w:tc>
      </w:tr>
      <w:tr>
        <w:trPr>
          <w:trHeight w:val="142"/>
        </w:trPr>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360" w:type="dxa"/>
            <w:vAlign w:val="bottom"/>
            <w:tcBorders>
              <w:top w:val="single" w:sz="8" w:color="0F7C7F"/>
            </w:tcBorders>
            <w:gridSpan w:val="5"/>
          </w:tcPr>
          <w:p>
            <w:pPr>
              <w:spacing w:after="0" w:line="142" w:lineRule="exact"/>
              <w:rPr>
                <w:sz w:val="20"/>
                <w:szCs w:val="20"/>
                <w:color w:val="auto"/>
              </w:rPr>
            </w:pPr>
            <w:r>
              <w:rPr>
                <w:rFonts w:ascii="Arial" w:cs="Arial" w:eastAsia="Arial" w:hAnsi="Arial"/>
                <w:sz w:val="16"/>
                <w:szCs w:val="16"/>
                <w:color w:val="0F7C7F"/>
              </w:rPr>
              <w:t>as adopted pursuant to Section 906 of the Sarbanes-Oxley Act of 2002.</w:t>
            </w:r>
          </w:p>
        </w:tc>
        <w:tc>
          <w:tcPr>
            <w:tcW w:w="160" w:type="dxa"/>
            <w:vAlign w:val="bottom"/>
          </w:tcPr>
          <w:p>
            <w:pPr>
              <w:spacing w:after="0"/>
              <w:rPr>
                <w:sz w:val="12"/>
                <w:szCs w:val="12"/>
                <w:color w:val="auto"/>
              </w:rPr>
            </w:pPr>
          </w:p>
        </w:tc>
        <w:tc>
          <w:tcPr>
            <w:tcW w:w="140" w:type="dxa"/>
            <w:vAlign w:val="bottom"/>
            <w:gridSpan w:val="2"/>
          </w:tcPr>
          <w:p>
            <w:pPr>
              <w:spacing w:after="0"/>
              <w:rPr>
                <w:sz w:val="12"/>
                <w:szCs w:val="12"/>
                <w:color w:val="auto"/>
              </w:rPr>
            </w:pPr>
          </w:p>
        </w:tc>
        <w:tc>
          <w:tcPr>
            <w:tcW w:w="4420" w:type="dxa"/>
            <w:vAlign w:val="bottom"/>
          </w:tcPr>
          <w:p>
            <w:pPr>
              <w:spacing w:after="0"/>
              <w:rPr>
                <w:sz w:val="12"/>
                <w:szCs w:val="12"/>
                <w:color w:val="auto"/>
              </w:rPr>
            </w:pPr>
          </w:p>
        </w:tc>
      </w:tr>
      <w:tr>
        <w:trPr>
          <w:trHeight w:val="20"/>
        </w:trPr>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900" w:type="dxa"/>
            <w:vAlign w:val="bottom"/>
            <w:gridSpan w:val="3"/>
            <w:shd w:val="clear" w:color="auto" w:fill="0F7C7F"/>
          </w:tcPr>
          <w:p>
            <w:pPr>
              <w:spacing w:after="0" w:line="20" w:lineRule="exact"/>
              <w:rPr>
                <w:sz w:val="1"/>
                <w:szCs w:val="1"/>
                <w:color w:val="auto"/>
              </w:rPr>
            </w:pPr>
          </w:p>
        </w:tc>
        <w:tc>
          <w:tcPr>
            <w:tcW w:w="220" w:type="dxa"/>
            <w:vAlign w:val="bottom"/>
            <w:shd w:val="clear" w:color="auto" w:fill="0F7C7F"/>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r>
      <w:tr>
        <w:trPr>
          <w:trHeight w:val="196"/>
        </w:trPr>
        <w:tc>
          <w:tcPr>
            <w:tcW w:w="1040" w:type="dxa"/>
            <w:vAlign w:val="bottom"/>
          </w:tcPr>
          <w:p>
            <w:pPr>
              <w:ind w:left="20"/>
              <w:spacing w:after="0"/>
              <w:rPr>
                <w:sz w:val="20"/>
                <w:szCs w:val="20"/>
                <w:color w:val="auto"/>
              </w:rPr>
            </w:pPr>
            <w:r>
              <w:rPr>
                <w:rFonts w:ascii="Arial" w:cs="Arial" w:eastAsia="Arial" w:hAnsi="Arial"/>
                <w:sz w:val="16"/>
                <w:szCs w:val="16"/>
                <w:color w:val="auto"/>
              </w:rPr>
              <w:t>32.2</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60" w:type="dxa"/>
            <w:vAlign w:val="bottom"/>
            <w:gridSpan w:val="8"/>
          </w:tcPr>
          <w:p>
            <w:pPr>
              <w:spacing w:after="0"/>
              <w:rPr>
                <w:sz w:val="20"/>
                <w:szCs w:val="20"/>
                <w:color w:val="auto"/>
              </w:rPr>
            </w:pPr>
            <w:r>
              <w:rPr>
                <w:rFonts w:ascii="Arial" w:cs="Arial" w:eastAsia="Arial" w:hAnsi="Arial"/>
                <w:sz w:val="16"/>
                <w:szCs w:val="16"/>
                <w:color w:val="0F7C7F"/>
              </w:rPr>
              <w:t>Certification of Chief Financial Officer pursuant to 18 U.S.C. Section 1350, as</w:t>
            </w:r>
          </w:p>
        </w:tc>
        <w:tc>
          <w:tcPr>
            <w:tcW w:w="4420" w:type="dxa"/>
            <w:vAlign w:val="bottom"/>
          </w:tcPr>
          <w:p>
            <w:pPr>
              <w:ind w:left="20"/>
              <w:spacing w:after="0"/>
              <w:rPr>
                <w:sz w:val="20"/>
                <w:szCs w:val="20"/>
                <w:color w:val="auto"/>
              </w:rPr>
            </w:pPr>
            <w:r>
              <w:rPr>
                <w:rFonts w:ascii="Arial" w:cs="Arial" w:eastAsia="Arial" w:hAnsi="Arial"/>
                <w:sz w:val="16"/>
                <w:szCs w:val="16"/>
                <w:color w:val="auto"/>
              </w:rPr>
              <w:t>Filed herewith.</w:t>
            </w:r>
          </w:p>
        </w:tc>
      </w:tr>
      <w:tr>
        <w:trPr>
          <w:trHeight w:val="142"/>
        </w:trPr>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520" w:type="dxa"/>
            <w:vAlign w:val="bottom"/>
            <w:tcBorders>
              <w:top w:val="single" w:sz="8" w:color="0F7C7F"/>
            </w:tcBorders>
            <w:gridSpan w:val="6"/>
          </w:tcPr>
          <w:p>
            <w:pPr>
              <w:spacing w:after="0" w:line="142" w:lineRule="exact"/>
              <w:rPr>
                <w:sz w:val="20"/>
                <w:szCs w:val="20"/>
                <w:color w:val="auto"/>
              </w:rPr>
            </w:pPr>
            <w:r>
              <w:rPr>
                <w:rFonts w:ascii="Arial" w:cs="Arial" w:eastAsia="Arial" w:hAnsi="Arial"/>
                <w:sz w:val="16"/>
                <w:szCs w:val="16"/>
                <w:color w:val="0F7C7F"/>
              </w:rPr>
              <w:t>adopted pursuant to Section 906 of the Sarbanes-Oxley Act of 2002.</w:t>
            </w:r>
          </w:p>
        </w:tc>
        <w:tc>
          <w:tcPr>
            <w:tcW w:w="140" w:type="dxa"/>
            <w:vAlign w:val="bottom"/>
            <w:gridSpan w:val="2"/>
          </w:tcPr>
          <w:p>
            <w:pPr>
              <w:spacing w:after="0"/>
              <w:rPr>
                <w:sz w:val="12"/>
                <w:szCs w:val="12"/>
                <w:color w:val="auto"/>
              </w:rPr>
            </w:pPr>
          </w:p>
        </w:tc>
        <w:tc>
          <w:tcPr>
            <w:tcW w:w="4420" w:type="dxa"/>
            <w:vAlign w:val="bottom"/>
          </w:tcPr>
          <w:p>
            <w:pPr>
              <w:spacing w:after="0"/>
              <w:rPr>
                <w:sz w:val="12"/>
                <w:szCs w:val="12"/>
                <w:color w:val="auto"/>
              </w:rPr>
            </w:pPr>
          </w:p>
        </w:tc>
      </w:tr>
      <w:tr>
        <w:trPr>
          <w:trHeight w:val="20"/>
        </w:trPr>
        <w:tc>
          <w:tcPr>
            <w:tcW w:w="1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900" w:type="dxa"/>
            <w:vAlign w:val="bottom"/>
            <w:gridSpan w:val="3"/>
            <w:shd w:val="clear" w:color="auto" w:fill="0F7C7F"/>
          </w:tcPr>
          <w:p>
            <w:pPr>
              <w:spacing w:after="0" w:line="20" w:lineRule="exact"/>
              <w:rPr>
                <w:sz w:val="1"/>
                <w:szCs w:val="1"/>
                <w:color w:val="auto"/>
              </w:rPr>
            </w:pPr>
          </w:p>
        </w:tc>
        <w:tc>
          <w:tcPr>
            <w:tcW w:w="760" w:type="dxa"/>
            <w:vAlign w:val="bottom"/>
            <w:gridSpan w:val="5"/>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r>
      <w:tr>
        <w:trPr>
          <w:trHeight w:val="183"/>
        </w:trPr>
        <w:tc>
          <w:tcPr>
            <w:tcW w:w="1140" w:type="dxa"/>
            <w:vAlign w:val="bottom"/>
            <w:gridSpan w:val="2"/>
          </w:tcPr>
          <w:p>
            <w:pPr>
              <w:ind w:left="20"/>
              <w:spacing w:after="0" w:line="183" w:lineRule="exact"/>
              <w:rPr>
                <w:sz w:val="20"/>
                <w:szCs w:val="20"/>
                <w:color w:val="auto"/>
              </w:rPr>
            </w:pPr>
            <w:r>
              <w:rPr>
                <w:rFonts w:ascii="Arial" w:cs="Arial" w:eastAsia="Arial" w:hAnsi="Arial"/>
                <w:sz w:val="16"/>
                <w:szCs w:val="16"/>
                <w:color w:val="auto"/>
              </w:rPr>
              <w:t>101.INS</w:t>
            </w:r>
          </w:p>
        </w:tc>
        <w:tc>
          <w:tcPr>
            <w:tcW w:w="20" w:type="dxa"/>
            <w:vAlign w:val="bottom"/>
          </w:tcPr>
          <w:p>
            <w:pPr>
              <w:spacing w:after="0"/>
              <w:rPr>
                <w:sz w:val="15"/>
                <w:szCs w:val="15"/>
                <w:color w:val="auto"/>
              </w:rPr>
            </w:pPr>
          </w:p>
        </w:tc>
        <w:tc>
          <w:tcPr>
            <w:tcW w:w="5660" w:type="dxa"/>
            <w:vAlign w:val="bottom"/>
            <w:gridSpan w:val="8"/>
          </w:tcPr>
          <w:p>
            <w:pPr>
              <w:spacing w:after="0" w:line="183" w:lineRule="exact"/>
              <w:rPr>
                <w:sz w:val="20"/>
                <w:szCs w:val="20"/>
                <w:color w:val="auto"/>
              </w:rPr>
            </w:pPr>
            <w:r>
              <w:rPr>
                <w:rFonts w:ascii="Arial" w:cs="Arial" w:eastAsia="Arial" w:hAnsi="Arial"/>
                <w:sz w:val="16"/>
                <w:szCs w:val="16"/>
                <w:color w:val="auto"/>
              </w:rPr>
              <w:t>Inline XBRL Taxonomy Instance Document - the instance document does not</w:t>
            </w:r>
          </w:p>
        </w:tc>
        <w:tc>
          <w:tcPr>
            <w:tcW w:w="4420" w:type="dxa"/>
            <w:vAlign w:val="bottom"/>
          </w:tcPr>
          <w:p>
            <w:pPr>
              <w:ind w:left="20"/>
              <w:spacing w:after="0" w:line="183" w:lineRule="exact"/>
              <w:rPr>
                <w:sz w:val="20"/>
                <w:szCs w:val="20"/>
                <w:color w:val="auto"/>
              </w:rPr>
            </w:pPr>
            <w:r>
              <w:rPr>
                <w:rFonts w:ascii="Arial" w:cs="Arial" w:eastAsia="Arial" w:hAnsi="Arial"/>
                <w:sz w:val="16"/>
                <w:szCs w:val="16"/>
                <w:color w:val="auto"/>
              </w:rPr>
              <w:t>Filed herewith.</w:t>
            </w:r>
          </w:p>
        </w:tc>
      </w:tr>
      <w:tr>
        <w:trPr>
          <w:trHeight w:val="162"/>
        </w:trPr>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60" w:type="dxa"/>
            <w:vAlign w:val="bottom"/>
            <w:gridSpan w:val="8"/>
          </w:tcPr>
          <w:p>
            <w:pPr>
              <w:spacing w:after="0" w:line="162" w:lineRule="exact"/>
              <w:rPr>
                <w:sz w:val="20"/>
                <w:szCs w:val="20"/>
                <w:color w:val="auto"/>
              </w:rPr>
            </w:pPr>
            <w:r>
              <w:rPr>
                <w:rFonts w:ascii="Arial" w:cs="Arial" w:eastAsia="Arial" w:hAnsi="Arial"/>
                <w:sz w:val="16"/>
                <w:szCs w:val="16"/>
                <w:color w:val="auto"/>
              </w:rPr>
              <w:t>appear in the Interactive Data File because its XBRL tags are embedded</w:t>
            </w:r>
          </w:p>
        </w:tc>
        <w:tc>
          <w:tcPr>
            <w:tcW w:w="4420" w:type="dxa"/>
            <w:vAlign w:val="bottom"/>
          </w:tcPr>
          <w:p>
            <w:pPr>
              <w:spacing w:after="0"/>
              <w:rPr>
                <w:sz w:val="14"/>
                <w:szCs w:val="14"/>
                <w:color w:val="auto"/>
              </w:rPr>
            </w:pPr>
          </w:p>
        </w:tc>
      </w:tr>
      <w:tr>
        <w:trPr>
          <w:trHeight w:val="215"/>
        </w:trPr>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60" w:type="dxa"/>
            <w:vAlign w:val="bottom"/>
            <w:gridSpan w:val="8"/>
          </w:tcPr>
          <w:p>
            <w:pPr>
              <w:spacing w:after="0"/>
              <w:rPr>
                <w:sz w:val="20"/>
                <w:szCs w:val="20"/>
                <w:color w:val="auto"/>
              </w:rPr>
            </w:pPr>
            <w:r>
              <w:rPr>
                <w:rFonts w:ascii="Arial" w:cs="Arial" w:eastAsia="Arial" w:hAnsi="Arial"/>
                <w:sz w:val="16"/>
                <w:szCs w:val="16"/>
                <w:color w:val="auto"/>
              </w:rPr>
              <w:t>within the inline XBRL document.</w:t>
            </w:r>
          </w:p>
        </w:tc>
        <w:tc>
          <w:tcPr>
            <w:tcW w:w="4420" w:type="dxa"/>
            <w:vAlign w:val="bottom"/>
          </w:tcPr>
          <w:p>
            <w:pPr>
              <w:spacing w:after="0"/>
              <w:rPr>
                <w:sz w:val="18"/>
                <w:szCs w:val="18"/>
                <w:color w:val="auto"/>
              </w:rPr>
            </w:pPr>
          </w:p>
        </w:tc>
      </w:tr>
      <w:tr>
        <w:trPr>
          <w:trHeight w:val="215"/>
        </w:trPr>
        <w:tc>
          <w:tcPr>
            <w:tcW w:w="1140" w:type="dxa"/>
            <w:vAlign w:val="bottom"/>
            <w:gridSpan w:val="2"/>
          </w:tcPr>
          <w:p>
            <w:pPr>
              <w:ind w:left="20"/>
              <w:spacing w:after="0"/>
              <w:rPr>
                <w:sz w:val="20"/>
                <w:szCs w:val="20"/>
                <w:color w:val="auto"/>
              </w:rPr>
            </w:pPr>
            <w:r>
              <w:rPr>
                <w:rFonts w:ascii="Arial" w:cs="Arial" w:eastAsia="Arial" w:hAnsi="Arial"/>
                <w:sz w:val="16"/>
                <w:szCs w:val="16"/>
                <w:color w:val="auto"/>
              </w:rPr>
              <w:t>101.SCH</w:t>
            </w:r>
          </w:p>
        </w:tc>
        <w:tc>
          <w:tcPr>
            <w:tcW w:w="20" w:type="dxa"/>
            <w:vAlign w:val="bottom"/>
          </w:tcPr>
          <w:p>
            <w:pPr>
              <w:spacing w:after="0"/>
              <w:rPr>
                <w:sz w:val="18"/>
                <w:szCs w:val="18"/>
                <w:color w:val="auto"/>
              </w:rPr>
            </w:pPr>
          </w:p>
        </w:tc>
        <w:tc>
          <w:tcPr>
            <w:tcW w:w="5660" w:type="dxa"/>
            <w:vAlign w:val="bottom"/>
            <w:gridSpan w:val="8"/>
          </w:tcPr>
          <w:p>
            <w:pPr>
              <w:spacing w:after="0"/>
              <w:rPr>
                <w:sz w:val="20"/>
                <w:szCs w:val="20"/>
                <w:color w:val="auto"/>
              </w:rPr>
            </w:pPr>
            <w:r>
              <w:rPr>
                <w:rFonts w:ascii="Arial" w:cs="Arial" w:eastAsia="Arial" w:hAnsi="Arial"/>
                <w:sz w:val="16"/>
                <w:szCs w:val="16"/>
                <w:color w:val="auto"/>
              </w:rPr>
              <w:t>Inline XBRL Taxonomy Extension Schema Document.</w:t>
            </w:r>
          </w:p>
        </w:tc>
        <w:tc>
          <w:tcPr>
            <w:tcW w:w="4420" w:type="dxa"/>
            <w:vAlign w:val="bottom"/>
          </w:tcPr>
          <w:p>
            <w:pPr>
              <w:ind w:left="20"/>
              <w:spacing w:after="0"/>
              <w:rPr>
                <w:sz w:val="20"/>
                <w:szCs w:val="20"/>
                <w:color w:val="auto"/>
              </w:rPr>
            </w:pPr>
            <w:r>
              <w:rPr>
                <w:rFonts w:ascii="Arial" w:cs="Arial" w:eastAsia="Arial" w:hAnsi="Arial"/>
                <w:sz w:val="16"/>
                <w:szCs w:val="16"/>
                <w:color w:val="auto"/>
              </w:rPr>
              <w:t>Filed herewith.</w:t>
            </w:r>
          </w:p>
        </w:tc>
      </w:tr>
      <w:tr>
        <w:trPr>
          <w:trHeight w:val="216"/>
        </w:trPr>
        <w:tc>
          <w:tcPr>
            <w:tcW w:w="1140" w:type="dxa"/>
            <w:vAlign w:val="bottom"/>
            <w:gridSpan w:val="2"/>
          </w:tcPr>
          <w:p>
            <w:pPr>
              <w:ind w:left="20"/>
              <w:spacing w:after="0"/>
              <w:rPr>
                <w:sz w:val="20"/>
                <w:szCs w:val="20"/>
                <w:color w:val="auto"/>
              </w:rPr>
            </w:pPr>
            <w:r>
              <w:rPr>
                <w:rFonts w:ascii="Arial" w:cs="Arial" w:eastAsia="Arial" w:hAnsi="Arial"/>
                <w:sz w:val="16"/>
                <w:szCs w:val="16"/>
                <w:color w:val="auto"/>
              </w:rPr>
              <w:t>101.CAL</w:t>
            </w:r>
          </w:p>
        </w:tc>
        <w:tc>
          <w:tcPr>
            <w:tcW w:w="20" w:type="dxa"/>
            <w:vAlign w:val="bottom"/>
          </w:tcPr>
          <w:p>
            <w:pPr>
              <w:spacing w:after="0"/>
              <w:rPr>
                <w:sz w:val="18"/>
                <w:szCs w:val="18"/>
                <w:color w:val="auto"/>
              </w:rPr>
            </w:pPr>
          </w:p>
        </w:tc>
        <w:tc>
          <w:tcPr>
            <w:tcW w:w="5660" w:type="dxa"/>
            <w:vAlign w:val="bottom"/>
            <w:gridSpan w:val="8"/>
          </w:tcPr>
          <w:p>
            <w:pPr>
              <w:spacing w:after="0"/>
              <w:rPr>
                <w:sz w:val="20"/>
                <w:szCs w:val="20"/>
                <w:color w:val="auto"/>
              </w:rPr>
            </w:pPr>
            <w:r>
              <w:rPr>
                <w:rFonts w:ascii="Arial" w:cs="Arial" w:eastAsia="Arial" w:hAnsi="Arial"/>
                <w:sz w:val="16"/>
                <w:szCs w:val="16"/>
                <w:color w:val="auto"/>
              </w:rPr>
              <w:t>Inline XBRL Taxonomy Extension Calculation Linkbase Document.</w:t>
            </w:r>
          </w:p>
        </w:tc>
        <w:tc>
          <w:tcPr>
            <w:tcW w:w="4420" w:type="dxa"/>
            <w:vAlign w:val="bottom"/>
          </w:tcPr>
          <w:p>
            <w:pPr>
              <w:ind w:left="20"/>
              <w:spacing w:after="0"/>
              <w:rPr>
                <w:sz w:val="20"/>
                <w:szCs w:val="20"/>
                <w:color w:val="auto"/>
              </w:rPr>
            </w:pPr>
            <w:r>
              <w:rPr>
                <w:rFonts w:ascii="Arial" w:cs="Arial" w:eastAsia="Arial" w:hAnsi="Arial"/>
                <w:sz w:val="16"/>
                <w:szCs w:val="16"/>
                <w:color w:val="auto"/>
              </w:rPr>
              <w:t>Filed herewith.</w:t>
            </w:r>
          </w:p>
        </w:tc>
      </w:tr>
      <w:tr>
        <w:trPr>
          <w:trHeight w:val="216"/>
        </w:trPr>
        <w:tc>
          <w:tcPr>
            <w:tcW w:w="1140" w:type="dxa"/>
            <w:vAlign w:val="bottom"/>
            <w:gridSpan w:val="2"/>
          </w:tcPr>
          <w:p>
            <w:pPr>
              <w:ind w:left="20"/>
              <w:spacing w:after="0"/>
              <w:rPr>
                <w:sz w:val="20"/>
                <w:szCs w:val="20"/>
                <w:color w:val="auto"/>
              </w:rPr>
            </w:pPr>
            <w:r>
              <w:rPr>
                <w:rFonts w:ascii="Arial" w:cs="Arial" w:eastAsia="Arial" w:hAnsi="Arial"/>
                <w:sz w:val="16"/>
                <w:szCs w:val="16"/>
                <w:color w:val="auto"/>
              </w:rPr>
              <w:t>101.DEF</w:t>
            </w:r>
          </w:p>
        </w:tc>
        <w:tc>
          <w:tcPr>
            <w:tcW w:w="20" w:type="dxa"/>
            <w:vAlign w:val="bottom"/>
          </w:tcPr>
          <w:p>
            <w:pPr>
              <w:spacing w:after="0"/>
              <w:rPr>
                <w:sz w:val="18"/>
                <w:szCs w:val="18"/>
                <w:color w:val="auto"/>
              </w:rPr>
            </w:pPr>
          </w:p>
        </w:tc>
        <w:tc>
          <w:tcPr>
            <w:tcW w:w="5660" w:type="dxa"/>
            <w:vAlign w:val="bottom"/>
            <w:gridSpan w:val="8"/>
          </w:tcPr>
          <w:p>
            <w:pPr>
              <w:spacing w:after="0"/>
              <w:rPr>
                <w:sz w:val="20"/>
                <w:szCs w:val="20"/>
                <w:color w:val="auto"/>
              </w:rPr>
            </w:pPr>
            <w:r>
              <w:rPr>
                <w:rFonts w:ascii="Arial" w:cs="Arial" w:eastAsia="Arial" w:hAnsi="Arial"/>
                <w:sz w:val="16"/>
                <w:szCs w:val="16"/>
                <w:color w:val="auto"/>
              </w:rPr>
              <w:t>Inline XBRL Taxonomy Extension Definition Linkbase Document.</w:t>
            </w:r>
          </w:p>
        </w:tc>
        <w:tc>
          <w:tcPr>
            <w:tcW w:w="4420" w:type="dxa"/>
            <w:vAlign w:val="bottom"/>
          </w:tcPr>
          <w:p>
            <w:pPr>
              <w:ind w:left="20"/>
              <w:spacing w:after="0"/>
              <w:rPr>
                <w:sz w:val="20"/>
                <w:szCs w:val="20"/>
                <w:color w:val="auto"/>
              </w:rPr>
            </w:pPr>
            <w:r>
              <w:rPr>
                <w:rFonts w:ascii="Arial" w:cs="Arial" w:eastAsia="Arial" w:hAnsi="Arial"/>
                <w:sz w:val="16"/>
                <w:szCs w:val="16"/>
                <w:color w:val="auto"/>
              </w:rPr>
              <w:t>Filed herewith.</w:t>
            </w:r>
          </w:p>
        </w:tc>
      </w:tr>
      <w:tr>
        <w:trPr>
          <w:trHeight w:val="216"/>
        </w:trPr>
        <w:tc>
          <w:tcPr>
            <w:tcW w:w="1140" w:type="dxa"/>
            <w:vAlign w:val="bottom"/>
            <w:gridSpan w:val="2"/>
          </w:tcPr>
          <w:p>
            <w:pPr>
              <w:ind w:left="20"/>
              <w:spacing w:after="0"/>
              <w:rPr>
                <w:sz w:val="20"/>
                <w:szCs w:val="20"/>
                <w:color w:val="auto"/>
              </w:rPr>
            </w:pPr>
            <w:r>
              <w:rPr>
                <w:rFonts w:ascii="Arial" w:cs="Arial" w:eastAsia="Arial" w:hAnsi="Arial"/>
                <w:sz w:val="16"/>
                <w:szCs w:val="16"/>
                <w:color w:val="auto"/>
              </w:rPr>
              <w:t>101.LAB</w:t>
            </w:r>
          </w:p>
        </w:tc>
        <w:tc>
          <w:tcPr>
            <w:tcW w:w="20" w:type="dxa"/>
            <w:vAlign w:val="bottom"/>
          </w:tcPr>
          <w:p>
            <w:pPr>
              <w:spacing w:after="0"/>
              <w:rPr>
                <w:sz w:val="18"/>
                <w:szCs w:val="18"/>
                <w:color w:val="auto"/>
              </w:rPr>
            </w:pPr>
          </w:p>
        </w:tc>
        <w:tc>
          <w:tcPr>
            <w:tcW w:w="5660" w:type="dxa"/>
            <w:vAlign w:val="bottom"/>
            <w:gridSpan w:val="8"/>
          </w:tcPr>
          <w:p>
            <w:pPr>
              <w:spacing w:after="0"/>
              <w:rPr>
                <w:sz w:val="20"/>
                <w:szCs w:val="20"/>
                <w:color w:val="auto"/>
              </w:rPr>
            </w:pPr>
            <w:r>
              <w:rPr>
                <w:rFonts w:ascii="Arial" w:cs="Arial" w:eastAsia="Arial" w:hAnsi="Arial"/>
                <w:sz w:val="16"/>
                <w:szCs w:val="16"/>
                <w:color w:val="auto"/>
              </w:rPr>
              <w:t>Inline XBRL Taxonomy Extension Label Linkbase Document.</w:t>
            </w:r>
          </w:p>
        </w:tc>
        <w:tc>
          <w:tcPr>
            <w:tcW w:w="4420" w:type="dxa"/>
            <w:vAlign w:val="bottom"/>
          </w:tcPr>
          <w:p>
            <w:pPr>
              <w:ind w:left="20"/>
              <w:spacing w:after="0"/>
              <w:rPr>
                <w:sz w:val="20"/>
                <w:szCs w:val="20"/>
                <w:color w:val="auto"/>
              </w:rPr>
            </w:pPr>
            <w:r>
              <w:rPr>
                <w:rFonts w:ascii="Arial" w:cs="Arial" w:eastAsia="Arial" w:hAnsi="Arial"/>
                <w:sz w:val="16"/>
                <w:szCs w:val="16"/>
                <w:color w:val="auto"/>
              </w:rPr>
              <w:t>Filed herewith.</w:t>
            </w:r>
          </w:p>
        </w:tc>
      </w:tr>
      <w:tr>
        <w:trPr>
          <w:trHeight w:val="216"/>
        </w:trPr>
        <w:tc>
          <w:tcPr>
            <w:tcW w:w="1140" w:type="dxa"/>
            <w:vAlign w:val="bottom"/>
            <w:gridSpan w:val="2"/>
          </w:tcPr>
          <w:p>
            <w:pPr>
              <w:ind w:left="20"/>
              <w:spacing w:after="0"/>
              <w:rPr>
                <w:sz w:val="20"/>
                <w:szCs w:val="20"/>
                <w:color w:val="auto"/>
              </w:rPr>
            </w:pPr>
            <w:r>
              <w:rPr>
                <w:rFonts w:ascii="Arial" w:cs="Arial" w:eastAsia="Arial" w:hAnsi="Arial"/>
                <w:sz w:val="16"/>
                <w:szCs w:val="16"/>
                <w:color w:val="auto"/>
              </w:rPr>
              <w:t>101.PRE</w:t>
            </w:r>
          </w:p>
        </w:tc>
        <w:tc>
          <w:tcPr>
            <w:tcW w:w="20" w:type="dxa"/>
            <w:vAlign w:val="bottom"/>
          </w:tcPr>
          <w:p>
            <w:pPr>
              <w:spacing w:after="0"/>
              <w:rPr>
                <w:sz w:val="18"/>
                <w:szCs w:val="18"/>
                <w:color w:val="auto"/>
              </w:rPr>
            </w:pPr>
          </w:p>
        </w:tc>
        <w:tc>
          <w:tcPr>
            <w:tcW w:w="5660" w:type="dxa"/>
            <w:vAlign w:val="bottom"/>
            <w:gridSpan w:val="8"/>
          </w:tcPr>
          <w:p>
            <w:pPr>
              <w:spacing w:after="0"/>
              <w:rPr>
                <w:sz w:val="20"/>
                <w:szCs w:val="20"/>
                <w:color w:val="auto"/>
              </w:rPr>
            </w:pPr>
            <w:r>
              <w:rPr>
                <w:rFonts w:ascii="Arial" w:cs="Arial" w:eastAsia="Arial" w:hAnsi="Arial"/>
                <w:sz w:val="16"/>
                <w:szCs w:val="16"/>
                <w:color w:val="auto"/>
              </w:rPr>
              <w:t>Inline XBRL Taxonomy Extension Presentation Linkbase Document.</w:t>
            </w:r>
          </w:p>
        </w:tc>
        <w:tc>
          <w:tcPr>
            <w:tcW w:w="4420" w:type="dxa"/>
            <w:vAlign w:val="bottom"/>
          </w:tcPr>
          <w:p>
            <w:pPr>
              <w:ind w:left="20"/>
              <w:spacing w:after="0"/>
              <w:rPr>
                <w:sz w:val="20"/>
                <w:szCs w:val="20"/>
                <w:color w:val="auto"/>
              </w:rPr>
            </w:pPr>
            <w:r>
              <w:rPr>
                <w:rFonts w:ascii="Arial" w:cs="Arial" w:eastAsia="Arial" w:hAnsi="Arial"/>
                <w:sz w:val="16"/>
                <w:szCs w:val="16"/>
                <w:color w:val="auto"/>
              </w:rPr>
              <w:t>Filed herewith.</w:t>
            </w:r>
          </w:p>
        </w:tc>
      </w:tr>
      <w:tr>
        <w:trPr>
          <w:trHeight w:val="164"/>
        </w:trPr>
        <w:tc>
          <w:tcPr>
            <w:tcW w:w="1040" w:type="dxa"/>
            <w:vAlign w:val="bottom"/>
          </w:tcPr>
          <w:p>
            <w:pPr>
              <w:ind w:left="20"/>
              <w:spacing w:after="0" w:line="164" w:lineRule="exact"/>
              <w:rPr>
                <w:sz w:val="20"/>
                <w:szCs w:val="20"/>
                <w:color w:val="auto"/>
              </w:rPr>
            </w:pPr>
            <w:r>
              <w:rPr>
                <w:rFonts w:ascii="Arial" w:cs="Arial" w:eastAsia="Arial" w:hAnsi="Arial"/>
                <w:sz w:val="16"/>
                <w:szCs w:val="16"/>
                <w:color w:val="auto"/>
              </w:rPr>
              <w:t>104</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60" w:type="dxa"/>
            <w:vAlign w:val="bottom"/>
            <w:gridSpan w:val="8"/>
          </w:tcPr>
          <w:p>
            <w:pPr>
              <w:spacing w:after="0" w:line="164" w:lineRule="exact"/>
              <w:rPr>
                <w:sz w:val="20"/>
                <w:szCs w:val="20"/>
                <w:color w:val="auto"/>
              </w:rPr>
            </w:pPr>
            <w:r>
              <w:rPr>
                <w:rFonts w:ascii="Arial" w:cs="Arial" w:eastAsia="Arial" w:hAnsi="Arial"/>
                <w:sz w:val="16"/>
                <w:szCs w:val="16"/>
                <w:color w:val="auto"/>
              </w:rPr>
              <w:t>Cover Page Interactive Data file (formatted as Inline XBRL and embedded</w:t>
            </w:r>
          </w:p>
        </w:tc>
        <w:tc>
          <w:tcPr>
            <w:tcW w:w="4420" w:type="dxa"/>
            <w:vAlign w:val="bottom"/>
          </w:tcPr>
          <w:p>
            <w:pPr>
              <w:ind w:left="20"/>
              <w:spacing w:after="0" w:line="164" w:lineRule="exact"/>
              <w:rPr>
                <w:sz w:val="20"/>
                <w:szCs w:val="20"/>
                <w:color w:val="auto"/>
              </w:rPr>
            </w:pPr>
            <w:r>
              <w:rPr>
                <w:rFonts w:ascii="Arial" w:cs="Arial" w:eastAsia="Arial" w:hAnsi="Arial"/>
                <w:sz w:val="16"/>
                <w:szCs w:val="16"/>
                <w:color w:val="auto"/>
              </w:rPr>
              <w:t>Filed herewith.</w:t>
            </w:r>
          </w:p>
        </w:tc>
      </w:tr>
      <w:tr>
        <w:trPr>
          <w:trHeight w:val="215"/>
        </w:trPr>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60" w:type="dxa"/>
            <w:vAlign w:val="bottom"/>
            <w:gridSpan w:val="8"/>
          </w:tcPr>
          <w:p>
            <w:pPr>
              <w:spacing w:after="0"/>
              <w:rPr>
                <w:sz w:val="20"/>
                <w:szCs w:val="20"/>
                <w:color w:val="auto"/>
              </w:rPr>
            </w:pPr>
            <w:r>
              <w:rPr>
                <w:rFonts w:ascii="Arial" w:cs="Arial" w:eastAsia="Arial" w:hAnsi="Arial"/>
                <w:sz w:val="16"/>
                <w:szCs w:val="16"/>
                <w:color w:val="auto"/>
              </w:rPr>
              <w:t>within Exhibit 101)</w:t>
            </w:r>
          </w:p>
        </w:tc>
        <w:tc>
          <w:tcPr>
            <w:tcW w:w="4420" w:type="dxa"/>
            <w:vAlign w:val="bottom"/>
          </w:tcPr>
          <w:p>
            <w:pPr>
              <w:spacing w:after="0"/>
              <w:rPr>
                <w:sz w:val="18"/>
                <w:szCs w:val="18"/>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March 31, 2024 Form 10-Q | 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22"/>
          <w:szCs w:val="22"/>
          <w:b w:val="1"/>
          <w:bCs w:val="1"/>
          <w:color w:val="0F7C7F"/>
        </w:rPr>
        <w:t>SIGNATURES</w:t>
      </w:r>
    </w:p>
    <w:p>
      <w:pPr>
        <w:spacing w:after="0" w:line="108" w:lineRule="exact"/>
        <w:rPr>
          <w:sz w:val="20"/>
          <w:szCs w:val="20"/>
          <w:color w:val="auto"/>
        </w:rPr>
      </w:pPr>
    </w:p>
    <w:p>
      <w:pPr>
        <w:ind w:right="120"/>
        <w:spacing w:after="0" w:line="28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90" w:lineRule="exact"/>
        <w:rPr>
          <w:sz w:val="20"/>
          <w:szCs w:val="20"/>
          <w:color w:val="auto"/>
        </w:rPr>
      </w:pPr>
    </w:p>
    <w:p>
      <w:pPr>
        <w:ind w:left="6500"/>
        <w:spacing w:after="0"/>
        <w:rPr>
          <w:sz w:val="20"/>
          <w:szCs w:val="20"/>
          <w:color w:val="auto"/>
        </w:rPr>
      </w:pPr>
      <w:r>
        <w:rPr>
          <w:rFonts w:ascii="Arial" w:cs="Arial" w:eastAsia="Arial" w:hAnsi="Arial"/>
          <w:sz w:val="16"/>
          <w:szCs w:val="16"/>
          <w:color w:val="auto"/>
        </w:rPr>
        <w:t>MOLINA HEALTHCARE, INC.</w:t>
      </w:r>
    </w:p>
    <w:p>
      <w:pPr>
        <w:spacing w:after="0" w:line="32" w:lineRule="exact"/>
        <w:rPr>
          <w:sz w:val="20"/>
          <w:szCs w:val="20"/>
          <w:color w:val="auto"/>
        </w:rPr>
      </w:pPr>
    </w:p>
    <w:p>
      <w:pPr>
        <w:ind w:left="6500"/>
        <w:spacing w:after="0"/>
        <w:rPr>
          <w:sz w:val="20"/>
          <w:szCs w:val="20"/>
          <w:color w:val="auto"/>
        </w:rPr>
      </w:pPr>
      <w:r>
        <w:rPr>
          <w:rFonts w:ascii="Arial" w:cs="Arial" w:eastAsia="Arial" w:hAnsi="Arial"/>
          <w:sz w:val="16"/>
          <w:szCs w:val="16"/>
          <w:color w:val="auto"/>
        </w:rPr>
        <w:t>(Registrant)</w:t>
      </w:r>
    </w:p>
    <w:p>
      <w:pPr>
        <w:spacing w:after="0" w:line="289" w:lineRule="exact"/>
        <w:rPr>
          <w:sz w:val="20"/>
          <w:szCs w:val="20"/>
          <w:color w:val="auto"/>
        </w:rPr>
      </w:pPr>
    </w:p>
    <w:p>
      <w:pPr>
        <w:ind w:left="220"/>
        <w:spacing w:after="0"/>
        <w:tabs>
          <w:tab w:leader="none" w:pos="6480" w:val="left"/>
        </w:tabs>
        <w:rPr>
          <w:sz w:val="20"/>
          <w:szCs w:val="20"/>
          <w:color w:val="auto"/>
        </w:rPr>
      </w:pPr>
      <w:r>
        <w:rPr>
          <w:rFonts w:ascii="Arial" w:cs="Arial" w:eastAsia="Arial" w:hAnsi="Arial"/>
          <w:sz w:val="16"/>
          <w:szCs w:val="16"/>
          <w:color w:val="auto"/>
        </w:rPr>
        <w:t>Dated: April 25, 2024</w:t>
      </w:r>
      <w:r>
        <w:rPr>
          <w:sz w:val="20"/>
          <w:szCs w:val="20"/>
          <w:color w:val="auto"/>
        </w:rPr>
        <w:tab/>
      </w:r>
      <w:r>
        <w:rPr>
          <w:rFonts w:ascii="Arial" w:cs="Arial" w:eastAsia="Arial" w:hAnsi="Arial"/>
          <w:sz w:val="16"/>
          <w:szCs w:val="16"/>
          <w:color w:val="auto"/>
        </w:rPr>
        <w:t>/s/ JOSEPH M. ZUBRETSKY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4119880</wp:posOffset>
            </wp:positionH>
            <wp:positionV relativeFrom="paragraph">
              <wp:posOffset>20955</wp:posOffset>
            </wp:positionV>
            <wp:extent cx="300037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000375" cy="8255"/>
                    </a:xfrm>
                    <a:prstGeom prst="rect">
                      <a:avLst/>
                    </a:prstGeom>
                    <a:noFill/>
                  </pic:spPr>
                </pic:pic>
              </a:graphicData>
            </a:graphic>
          </wp:anchor>
        </w:drawing>
      </w:r>
    </w:p>
    <w:p>
      <w:pPr>
        <w:spacing w:after="0" w:line="26" w:lineRule="exact"/>
        <w:rPr>
          <w:sz w:val="20"/>
          <w:szCs w:val="20"/>
          <w:color w:val="auto"/>
        </w:rPr>
      </w:pPr>
    </w:p>
    <w:p>
      <w:pPr>
        <w:jc w:val="center"/>
        <w:ind w:left="6440"/>
        <w:spacing w:after="0"/>
        <w:rPr>
          <w:sz w:val="20"/>
          <w:szCs w:val="20"/>
          <w:color w:val="auto"/>
        </w:rPr>
      </w:pPr>
      <w:r>
        <w:rPr>
          <w:rFonts w:ascii="Arial" w:cs="Arial" w:eastAsia="Arial" w:hAnsi="Arial"/>
          <w:sz w:val="16"/>
          <w:szCs w:val="16"/>
          <w:b w:val="1"/>
          <w:bCs w:val="1"/>
          <w:color w:val="auto"/>
        </w:rPr>
        <w:t>Joseph M. Zubretsky</w:t>
      </w:r>
    </w:p>
    <w:p>
      <w:pPr>
        <w:spacing w:after="0" w:line="39" w:lineRule="exact"/>
        <w:rPr>
          <w:sz w:val="20"/>
          <w:szCs w:val="20"/>
          <w:color w:val="auto"/>
        </w:rPr>
      </w:pPr>
    </w:p>
    <w:p>
      <w:pPr>
        <w:jc w:val="center"/>
        <w:ind w:left="6440"/>
        <w:spacing w:after="0"/>
        <w:rPr>
          <w:sz w:val="20"/>
          <w:szCs w:val="20"/>
          <w:color w:val="auto"/>
        </w:rPr>
      </w:pPr>
      <w:r>
        <w:rPr>
          <w:rFonts w:ascii="Arial" w:cs="Arial" w:eastAsia="Arial" w:hAnsi="Arial"/>
          <w:sz w:val="16"/>
          <w:szCs w:val="16"/>
          <w:b w:val="1"/>
          <w:bCs w:val="1"/>
          <w:color w:val="auto"/>
        </w:rPr>
        <w:t>Chief Executive Officer</w:t>
      </w:r>
    </w:p>
    <w:p>
      <w:pPr>
        <w:spacing w:after="0" w:line="32" w:lineRule="exact"/>
        <w:rPr>
          <w:sz w:val="20"/>
          <w:szCs w:val="20"/>
          <w:color w:val="auto"/>
        </w:rPr>
      </w:pPr>
    </w:p>
    <w:p>
      <w:pPr>
        <w:jc w:val="center"/>
        <w:ind w:left="6440"/>
        <w:spacing w:after="0"/>
        <w:rPr>
          <w:sz w:val="20"/>
          <w:szCs w:val="20"/>
          <w:color w:val="auto"/>
        </w:rPr>
      </w:pPr>
      <w:r>
        <w:rPr>
          <w:rFonts w:ascii="Arial" w:cs="Arial" w:eastAsia="Arial" w:hAnsi="Arial"/>
          <w:sz w:val="16"/>
          <w:szCs w:val="16"/>
          <w:b w:val="1"/>
          <w:bCs w:val="1"/>
          <w:color w:val="auto"/>
        </w:rPr>
        <w:t>(Principal Executive Officer)</w:t>
      </w:r>
    </w:p>
    <w:p>
      <w:pPr>
        <w:spacing w:after="0" w:line="282" w:lineRule="exact"/>
        <w:rPr>
          <w:sz w:val="20"/>
          <w:szCs w:val="20"/>
          <w:color w:val="auto"/>
        </w:rPr>
      </w:pPr>
    </w:p>
    <w:p>
      <w:pPr>
        <w:ind w:left="220"/>
        <w:spacing w:after="0"/>
        <w:tabs>
          <w:tab w:leader="none" w:pos="6480" w:val="left"/>
        </w:tabs>
        <w:rPr>
          <w:sz w:val="20"/>
          <w:szCs w:val="20"/>
          <w:color w:val="auto"/>
        </w:rPr>
      </w:pPr>
      <w:r>
        <w:rPr>
          <w:rFonts w:ascii="Arial" w:cs="Arial" w:eastAsia="Arial" w:hAnsi="Arial"/>
          <w:sz w:val="16"/>
          <w:szCs w:val="16"/>
          <w:color w:val="auto"/>
        </w:rPr>
        <w:t>Dated: April 25, 2024</w:t>
      </w:r>
      <w:r>
        <w:rPr>
          <w:sz w:val="20"/>
          <w:szCs w:val="20"/>
          <w:color w:val="auto"/>
        </w:rPr>
        <w:tab/>
      </w:r>
      <w:r>
        <w:rPr>
          <w:rFonts w:ascii="Arial" w:cs="Arial" w:eastAsia="Arial" w:hAnsi="Arial"/>
          <w:sz w:val="16"/>
          <w:szCs w:val="16"/>
          <w:color w:val="auto"/>
        </w:rPr>
        <w:t>/s/ MARK L. KEIM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4119880</wp:posOffset>
            </wp:positionH>
            <wp:positionV relativeFrom="paragraph">
              <wp:posOffset>20955</wp:posOffset>
            </wp:positionV>
            <wp:extent cx="300037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000375" cy="8255"/>
                    </a:xfrm>
                    <a:prstGeom prst="rect">
                      <a:avLst/>
                    </a:prstGeom>
                    <a:noFill/>
                  </pic:spPr>
                </pic:pic>
              </a:graphicData>
            </a:graphic>
          </wp:anchor>
        </w:drawing>
      </w:r>
    </w:p>
    <w:p>
      <w:pPr>
        <w:spacing w:after="0" w:line="26" w:lineRule="exact"/>
        <w:rPr>
          <w:sz w:val="20"/>
          <w:szCs w:val="20"/>
          <w:color w:val="auto"/>
        </w:rPr>
      </w:pPr>
    </w:p>
    <w:p>
      <w:pPr>
        <w:jc w:val="center"/>
        <w:ind w:left="6440"/>
        <w:spacing w:after="0"/>
        <w:rPr>
          <w:sz w:val="20"/>
          <w:szCs w:val="20"/>
          <w:color w:val="auto"/>
        </w:rPr>
      </w:pPr>
      <w:r>
        <w:rPr>
          <w:rFonts w:ascii="Arial" w:cs="Arial" w:eastAsia="Arial" w:hAnsi="Arial"/>
          <w:sz w:val="16"/>
          <w:szCs w:val="16"/>
          <w:b w:val="1"/>
          <w:bCs w:val="1"/>
          <w:color w:val="auto"/>
        </w:rPr>
        <w:t>Mark L. Keim</w:t>
      </w:r>
    </w:p>
    <w:p>
      <w:pPr>
        <w:spacing w:after="0" w:line="39" w:lineRule="exact"/>
        <w:rPr>
          <w:sz w:val="20"/>
          <w:szCs w:val="20"/>
          <w:color w:val="auto"/>
        </w:rPr>
      </w:pPr>
    </w:p>
    <w:p>
      <w:pPr>
        <w:jc w:val="center"/>
        <w:ind w:left="6440"/>
        <w:spacing w:after="0"/>
        <w:rPr>
          <w:sz w:val="20"/>
          <w:szCs w:val="20"/>
          <w:color w:val="auto"/>
        </w:rPr>
      </w:pPr>
      <w:r>
        <w:rPr>
          <w:rFonts w:ascii="Arial" w:cs="Arial" w:eastAsia="Arial" w:hAnsi="Arial"/>
          <w:sz w:val="16"/>
          <w:szCs w:val="16"/>
          <w:b w:val="1"/>
          <w:bCs w:val="1"/>
          <w:color w:val="auto"/>
        </w:rPr>
        <w:t>Chief Financial Officer and Treasurer</w:t>
      </w:r>
    </w:p>
    <w:p>
      <w:pPr>
        <w:spacing w:after="0" w:line="32" w:lineRule="exact"/>
        <w:rPr>
          <w:sz w:val="20"/>
          <w:szCs w:val="20"/>
          <w:color w:val="auto"/>
        </w:rPr>
      </w:pPr>
    </w:p>
    <w:p>
      <w:pPr>
        <w:jc w:val="center"/>
        <w:ind w:left="6440"/>
        <w:spacing w:after="0"/>
        <w:rPr>
          <w:sz w:val="20"/>
          <w:szCs w:val="20"/>
          <w:color w:val="auto"/>
        </w:rPr>
      </w:pPr>
      <w:r>
        <w:rPr>
          <w:rFonts w:ascii="Arial" w:cs="Arial" w:eastAsia="Arial" w:hAnsi="Arial"/>
          <w:sz w:val="16"/>
          <w:szCs w:val="16"/>
          <w:b w:val="1"/>
          <w:bCs w:val="1"/>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March 31, 2024 Form 10-Q | 36</w:t>
      </w:r>
    </w:p>
    <w:p>
      <w:pPr>
        <w:sectPr>
          <w:pgSz w:w="11900" w:h="16838" w:orient="portrait"/>
          <w:cols w:equalWidth="0" w:num="1">
            <w:col w:w="11240"/>
          </w:cols>
          <w:pgMar w:left="320" w:top="121" w:right="339"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b w:val="1"/>
          <w:bCs w:val="1"/>
          <w:color w:val="auto"/>
        </w:rPr>
        <w:t>EXHIBIT 31.1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color w:val="auto"/>
        </w:rPr>
        <w:t>I, Joseph M. Zubretsky, certify that:</w:t>
      </w:r>
    </w:p>
    <w:p>
      <w:pPr>
        <w:spacing w:after="0" w:line="117" w:lineRule="exact"/>
        <w:rPr>
          <w:sz w:val="20"/>
          <w:szCs w:val="20"/>
          <w:color w:val="auto"/>
        </w:rPr>
      </w:pPr>
    </w:p>
    <w:p>
      <w:pPr>
        <w:ind w:left="660" w:hanging="207"/>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period ended March 31, 2024 of Molina Healthcare, Inc.;</w:t>
      </w:r>
    </w:p>
    <w:p>
      <w:pPr>
        <w:spacing w:after="0" w:line="117" w:lineRule="exact"/>
        <w:rPr>
          <w:rFonts w:ascii="Arial" w:cs="Arial" w:eastAsia="Arial" w:hAnsi="Arial"/>
          <w:sz w:val="18"/>
          <w:szCs w:val="18"/>
          <w:color w:val="auto"/>
        </w:rPr>
      </w:pPr>
    </w:p>
    <w:p>
      <w:pPr>
        <w:ind w:right="80" w:firstLine="453"/>
        <w:spacing w:after="0" w:line="268" w:lineRule="auto"/>
        <w:tabs>
          <w:tab w:leader="none" w:pos="646"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8"/>
          <w:szCs w:val="18"/>
          <w:color w:val="auto"/>
        </w:rPr>
      </w:pPr>
    </w:p>
    <w:p>
      <w:pPr>
        <w:ind w:right="120" w:firstLine="453"/>
        <w:spacing w:after="0" w:line="287" w:lineRule="auto"/>
        <w:tabs>
          <w:tab w:leader="none" w:pos="646"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4" w:lineRule="exact"/>
        <w:rPr>
          <w:rFonts w:ascii="Arial" w:cs="Arial" w:eastAsia="Arial" w:hAnsi="Arial"/>
          <w:sz w:val="18"/>
          <w:szCs w:val="18"/>
          <w:color w:val="auto"/>
        </w:rPr>
      </w:pPr>
    </w:p>
    <w:p>
      <w:pPr>
        <w:ind w:right="40" w:firstLine="453"/>
        <w:spacing w:after="0" w:line="268" w:lineRule="auto"/>
        <w:tabs>
          <w:tab w:leader="none" w:pos="646"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2" w:lineRule="exact"/>
        <w:rPr>
          <w:rFonts w:ascii="Arial" w:cs="Arial" w:eastAsia="Arial" w:hAnsi="Arial"/>
          <w:sz w:val="18"/>
          <w:szCs w:val="18"/>
          <w:color w:val="auto"/>
        </w:rPr>
      </w:pPr>
    </w:p>
    <w:p>
      <w:pPr>
        <w:jc w:val="both"/>
        <w:ind w:right="140" w:firstLine="899"/>
        <w:spacing w:after="0" w:line="268" w:lineRule="auto"/>
        <w:tabs>
          <w:tab w:leader="none" w:pos="1161"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2" w:lineRule="exact"/>
        <w:rPr>
          <w:rFonts w:ascii="Arial" w:cs="Arial" w:eastAsia="Arial" w:hAnsi="Arial"/>
          <w:sz w:val="18"/>
          <w:szCs w:val="18"/>
          <w:color w:val="auto"/>
        </w:rPr>
      </w:pPr>
    </w:p>
    <w:p>
      <w:pPr>
        <w:ind w:right="120" w:firstLine="899"/>
        <w:spacing w:after="0" w:line="268" w:lineRule="auto"/>
        <w:tabs>
          <w:tab w:leader="none" w:pos="1161"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2" w:lineRule="exact"/>
        <w:rPr>
          <w:rFonts w:ascii="Arial" w:cs="Arial" w:eastAsia="Arial" w:hAnsi="Arial"/>
          <w:sz w:val="18"/>
          <w:szCs w:val="18"/>
          <w:color w:val="auto"/>
        </w:rPr>
      </w:pPr>
    </w:p>
    <w:p>
      <w:pPr>
        <w:ind w:right="80" w:firstLine="899"/>
        <w:spacing w:after="0" w:line="268" w:lineRule="auto"/>
        <w:tabs>
          <w:tab w:leader="none" w:pos="1151" w:val="left"/>
        </w:tabs>
        <w:numPr>
          <w:ilvl w:val="1"/>
          <w:numId w:val="1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2" w:lineRule="exact"/>
        <w:rPr>
          <w:rFonts w:ascii="Arial" w:cs="Arial" w:eastAsia="Arial" w:hAnsi="Arial"/>
          <w:sz w:val="18"/>
          <w:szCs w:val="18"/>
          <w:color w:val="auto"/>
        </w:rPr>
      </w:pPr>
    </w:p>
    <w:p>
      <w:pPr>
        <w:ind w:right="240" w:firstLine="899"/>
        <w:spacing w:after="0" w:line="268" w:lineRule="auto"/>
        <w:tabs>
          <w:tab w:leader="none" w:pos="1161" w:val="left"/>
        </w:tabs>
        <w:numPr>
          <w:ilvl w:val="1"/>
          <w:numId w:val="1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2" w:lineRule="exact"/>
        <w:rPr>
          <w:rFonts w:ascii="Arial" w:cs="Arial" w:eastAsia="Arial" w:hAnsi="Arial"/>
          <w:sz w:val="18"/>
          <w:szCs w:val="18"/>
          <w:color w:val="auto"/>
        </w:rPr>
      </w:pPr>
    </w:p>
    <w:p>
      <w:pPr>
        <w:ind w:right="340" w:firstLine="453"/>
        <w:spacing w:after="0" w:line="268" w:lineRule="auto"/>
        <w:tabs>
          <w:tab w:leader="none" w:pos="646"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2" w:lineRule="exact"/>
        <w:rPr>
          <w:rFonts w:ascii="Arial" w:cs="Arial" w:eastAsia="Arial" w:hAnsi="Arial"/>
          <w:sz w:val="18"/>
          <w:szCs w:val="18"/>
          <w:color w:val="auto"/>
        </w:rPr>
      </w:pPr>
    </w:p>
    <w:p>
      <w:pPr>
        <w:ind w:right="60" w:firstLine="899"/>
        <w:spacing w:after="0" w:line="287" w:lineRule="auto"/>
        <w:tabs>
          <w:tab w:leader="none" w:pos="1161" w:val="left"/>
        </w:tabs>
        <w:numPr>
          <w:ilvl w:val="1"/>
          <w:numId w:val="1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4" w:lineRule="exact"/>
        <w:rPr>
          <w:rFonts w:ascii="Arial" w:cs="Arial" w:eastAsia="Arial" w:hAnsi="Arial"/>
          <w:sz w:val="18"/>
          <w:szCs w:val="18"/>
          <w:color w:val="auto"/>
        </w:rPr>
      </w:pPr>
    </w:p>
    <w:p>
      <w:pPr>
        <w:ind w:right="900" w:firstLine="899"/>
        <w:spacing w:after="0" w:line="287" w:lineRule="auto"/>
        <w:tabs>
          <w:tab w:leader="none" w:pos="1161" w:val="left"/>
        </w:tabs>
        <w:numPr>
          <w:ilvl w:val="1"/>
          <w:numId w:val="1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40"/>
        <w:spacing w:after="0"/>
        <w:tabs>
          <w:tab w:leader="none" w:pos="6200" w:val="left"/>
        </w:tabs>
        <w:rPr>
          <w:sz w:val="20"/>
          <w:szCs w:val="20"/>
          <w:color w:val="auto"/>
        </w:rPr>
      </w:pPr>
      <w:r>
        <w:rPr>
          <w:rFonts w:ascii="Arial" w:cs="Arial" w:eastAsia="Arial" w:hAnsi="Arial"/>
          <w:sz w:val="18"/>
          <w:szCs w:val="18"/>
          <w:color w:val="auto"/>
        </w:rPr>
        <w:t>Dated: April 25, 2024</w:t>
      </w:r>
      <w:r>
        <w:rPr>
          <w:sz w:val="20"/>
          <w:szCs w:val="20"/>
          <w:color w:val="auto"/>
        </w:rPr>
        <w:tab/>
      </w:r>
      <w:r>
        <w:rPr>
          <w:rFonts w:ascii="Arial" w:cs="Arial" w:eastAsia="Arial" w:hAnsi="Arial"/>
          <w:sz w:val="18"/>
          <w:szCs w:val="18"/>
          <w:color w:val="auto"/>
        </w:rPr>
        <w:t>/s/ Joseph M. Zubretsky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17780</wp:posOffset>
            </wp:positionV>
            <wp:extent cx="710628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06285" cy="8255"/>
                    </a:xfrm>
                    <a:prstGeom prst="rect">
                      <a:avLst/>
                    </a:prstGeom>
                    <a:noFill/>
                  </pic:spPr>
                </pic:pic>
              </a:graphicData>
            </a:graphic>
          </wp:anchor>
        </w:drawing>
      </w:r>
    </w:p>
    <w:p>
      <w:pPr>
        <w:spacing w:after="0" w:line="16" w:lineRule="exact"/>
        <w:rPr>
          <w:sz w:val="20"/>
          <w:szCs w:val="20"/>
          <w:color w:val="auto"/>
        </w:rPr>
      </w:pPr>
    </w:p>
    <w:p>
      <w:pPr>
        <w:ind w:left="6220"/>
        <w:spacing w:after="0"/>
        <w:rPr>
          <w:sz w:val="20"/>
          <w:szCs w:val="20"/>
          <w:color w:val="auto"/>
        </w:rPr>
      </w:pPr>
      <w:r>
        <w:rPr>
          <w:rFonts w:ascii="Arial" w:cs="Arial" w:eastAsia="Arial" w:hAnsi="Arial"/>
          <w:sz w:val="18"/>
          <w:szCs w:val="18"/>
          <w:b w:val="1"/>
          <w:bCs w:val="1"/>
          <w:color w:val="auto"/>
        </w:rPr>
        <w:t>Joseph M. Zubretsky</w:t>
      </w:r>
    </w:p>
    <w:p>
      <w:pPr>
        <w:spacing w:after="0" w:line="40" w:lineRule="exact"/>
        <w:rPr>
          <w:sz w:val="20"/>
          <w:szCs w:val="20"/>
          <w:color w:val="auto"/>
        </w:rPr>
      </w:pPr>
    </w:p>
    <w:p>
      <w:pPr>
        <w:ind w:left="6220"/>
        <w:spacing w:after="0"/>
        <w:rPr>
          <w:sz w:val="20"/>
          <w:szCs w:val="20"/>
          <w:color w:val="auto"/>
        </w:rPr>
      </w:pPr>
      <w:r>
        <w:rPr>
          <w:rFonts w:ascii="Arial" w:cs="Arial" w:eastAsia="Arial" w:hAnsi="Arial"/>
          <w:sz w:val="18"/>
          <w:szCs w:val="18"/>
          <w:b w:val="1"/>
          <w:bCs w:val="1"/>
          <w:color w:val="auto"/>
        </w:rPr>
        <w:t>Chief Executive Officer, President and Director</w:t>
      </w:r>
    </w:p>
    <w:p>
      <w:pPr>
        <w:spacing w:after="0" w:line="23" w:lineRule="exact"/>
        <w:rPr>
          <w:sz w:val="20"/>
          <w:szCs w:val="20"/>
          <w:color w:val="auto"/>
        </w:rPr>
      </w:pPr>
    </w:p>
    <w:p>
      <w:pPr>
        <w:ind w:left="622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240"/>
          </w:cols>
          <w:pgMar w:left="320" w:top="890" w:right="339"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b w:val="1"/>
          <w:bCs w:val="1"/>
          <w:color w:val="auto"/>
        </w:rPr>
        <w:t>EXHIBIT 31.2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color w:val="auto"/>
        </w:rPr>
        <w:t>I, Mark L. Keim, certify that:</w:t>
      </w:r>
    </w:p>
    <w:p>
      <w:pPr>
        <w:spacing w:after="0" w:line="117" w:lineRule="exact"/>
        <w:rPr>
          <w:sz w:val="20"/>
          <w:szCs w:val="20"/>
          <w:color w:val="auto"/>
        </w:rPr>
      </w:pPr>
    </w:p>
    <w:p>
      <w:pPr>
        <w:ind w:left="660" w:hanging="207"/>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period ended March 31, 2024 of Molina Healthcare, Inc.;</w:t>
      </w:r>
    </w:p>
    <w:p>
      <w:pPr>
        <w:spacing w:after="0" w:line="117" w:lineRule="exact"/>
        <w:rPr>
          <w:rFonts w:ascii="Arial" w:cs="Arial" w:eastAsia="Arial" w:hAnsi="Arial"/>
          <w:sz w:val="18"/>
          <w:szCs w:val="18"/>
          <w:color w:val="auto"/>
        </w:rPr>
      </w:pPr>
    </w:p>
    <w:p>
      <w:pPr>
        <w:ind w:right="80" w:firstLine="453"/>
        <w:spacing w:after="0" w:line="268" w:lineRule="auto"/>
        <w:tabs>
          <w:tab w:leader="none" w:pos="646"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8"/>
          <w:szCs w:val="18"/>
          <w:color w:val="auto"/>
        </w:rPr>
      </w:pPr>
    </w:p>
    <w:p>
      <w:pPr>
        <w:ind w:right="120" w:firstLine="453"/>
        <w:spacing w:after="0" w:line="287" w:lineRule="auto"/>
        <w:tabs>
          <w:tab w:leader="none" w:pos="646"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4" w:lineRule="exact"/>
        <w:rPr>
          <w:rFonts w:ascii="Arial" w:cs="Arial" w:eastAsia="Arial" w:hAnsi="Arial"/>
          <w:sz w:val="18"/>
          <w:szCs w:val="18"/>
          <w:color w:val="auto"/>
        </w:rPr>
      </w:pPr>
    </w:p>
    <w:p>
      <w:pPr>
        <w:ind w:right="40" w:firstLine="453"/>
        <w:spacing w:after="0" w:line="268" w:lineRule="auto"/>
        <w:tabs>
          <w:tab w:leader="none" w:pos="646"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2" w:lineRule="exact"/>
        <w:rPr>
          <w:rFonts w:ascii="Arial" w:cs="Arial" w:eastAsia="Arial" w:hAnsi="Arial"/>
          <w:sz w:val="18"/>
          <w:szCs w:val="18"/>
          <w:color w:val="auto"/>
        </w:rPr>
      </w:pPr>
    </w:p>
    <w:p>
      <w:pPr>
        <w:jc w:val="both"/>
        <w:ind w:right="140" w:firstLine="899"/>
        <w:spacing w:after="0" w:line="268" w:lineRule="auto"/>
        <w:tabs>
          <w:tab w:leader="none" w:pos="1161"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2" w:lineRule="exact"/>
        <w:rPr>
          <w:rFonts w:ascii="Arial" w:cs="Arial" w:eastAsia="Arial" w:hAnsi="Arial"/>
          <w:sz w:val="18"/>
          <w:szCs w:val="18"/>
          <w:color w:val="auto"/>
        </w:rPr>
      </w:pPr>
    </w:p>
    <w:p>
      <w:pPr>
        <w:ind w:right="120" w:firstLine="899"/>
        <w:spacing w:after="0" w:line="268" w:lineRule="auto"/>
        <w:tabs>
          <w:tab w:leader="none" w:pos="1161"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2" w:lineRule="exact"/>
        <w:rPr>
          <w:rFonts w:ascii="Arial" w:cs="Arial" w:eastAsia="Arial" w:hAnsi="Arial"/>
          <w:sz w:val="18"/>
          <w:szCs w:val="18"/>
          <w:color w:val="auto"/>
        </w:rPr>
      </w:pPr>
    </w:p>
    <w:p>
      <w:pPr>
        <w:ind w:right="80" w:firstLine="899"/>
        <w:spacing w:after="0" w:line="268" w:lineRule="auto"/>
        <w:tabs>
          <w:tab w:leader="none" w:pos="1151" w:val="left"/>
        </w:tabs>
        <w:numPr>
          <w:ilvl w:val="1"/>
          <w:numId w:val="1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2" w:lineRule="exact"/>
        <w:rPr>
          <w:rFonts w:ascii="Arial" w:cs="Arial" w:eastAsia="Arial" w:hAnsi="Arial"/>
          <w:sz w:val="18"/>
          <w:szCs w:val="18"/>
          <w:color w:val="auto"/>
        </w:rPr>
      </w:pPr>
    </w:p>
    <w:p>
      <w:pPr>
        <w:ind w:right="240" w:firstLine="899"/>
        <w:spacing w:after="0" w:line="268" w:lineRule="auto"/>
        <w:tabs>
          <w:tab w:leader="none" w:pos="1161" w:val="left"/>
        </w:tabs>
        <w:numPr>
          <w:ilvl w:val="1"/>
          <w:numId w:val="1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2" w:lineRule="exact"/>
        <w:rPr>
          <w:rFonts w:ascii="Arial" w:cs="Arial" w:eastAsia="Arial" w:hAnsi="Arial"/>
          <w:sz w:val="18"/>
          <w:szCs w:val="18"/>
          <w:color w:val="auto"/>
        </w:rPr>
      </w:pPr>
    </w:p>
    <w:p>
      <w:pPr>
        <w:ind w:right="340" w:firstLine="453"/>
        <w:spacing w:after="0" w:line="268" w:lineRule="auto"/>
        <w:tabs>
          <w:tab w:leader="none" w:pos="646"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2" w:lineRule="exact"/>
        <w:rPr>
          <w:rFonts w:ascii="Arial" w:cs="Arial" w:eastAsia="Arial" w:hAnsi="Arial"/>
          <w:sz w:val="18"/>
          <w:szCs w:val="18"/>
          <w:color w:val="auto"/>
        </w:rPr>
      </w:pPr>
    </w:p>
    <w:p>
      <w:pPr>
        <w:ind w:right="60" w:firstLine="899"/>
        <w:spacing w:after="0" w:line="287" w:lineRule="auto"/>
        <w:tabs>
          <w:tab w:leader="none" w:pos="1161" w:val="left"/>
        </w:tabs>
        <w:numPr>
          <w:ilvl w:val="1"/>
          <w:numId w:val="1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4" w:lineRule="exact"/>
        <w:rPr>
          <w:rFonts w:ascii="Arial" w:cs="Arial" w:eastAsia="Arial" w:hAnsi="Arial"/>
          <w:sz w:val="18"/>
          <w:szCs w:val="18"/>
          <w:color w:val="auto"/>
        </w:rPr>
      </w:pPr>
    </w:p>
    <w:p>
      <w:pPr>
        <w:ind w:right="900" w:firstLine="899"/>
        <w:spacing w:after="0" w:line="287" w:lineRule="auto"/>
        <w:tabs>
          <w:tab w:leader="none" w:pos="1161" w:val="left"/>
        </w:tabs>
        <w:numPr>
          <w:ilvl w:val="1"/>
          <w:numId w:val="1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40"/>
        <w:spacing w:after="0"/>
        <w:tabs>
          <w:tab w:leader="none" w:pos="6180" w:val="left"/>
        </w:tabs>
        <w:rPr>
          <w:sz w:val="20"/>
          <w:szCs w:val="20"/>
          <w:color w:val="auto"/>
        </w:rPr>
      </w:pPr>
      <w:r>
        <w:rPr>
          <w:rFonts w:ascii="Arial" w:cs="Arial" w:eastAsia="Arial" w:hAnsi="Arial"/>
          <w:sz w:val="18"/>
          <w:szCs w:val="18"/>
          <w:color w:val="auto"/>
        </w:rPr>
        <w:t>Dated: April 25, 2024</w:t>
      </w:r>
      <w:r>
        <w:rPr>
          <w:sz w:val="20"/>
          <w:szCs w:val="20"/>
          <w:color w:val="auto"/>
        </w:rPr>
        <w:tab/>
      </w:r>
      <w:r>
        <w:rPr>
          <w:rFonts w:ascii="Arial" w:cs="Arial" w:eastAsia="Arial" w:hAnsi="Arial"/>
          <w:sz w:val="17"/>
          <w:szCs w:val="17"/>
          <w:color w:val="auto"/>
        </w:rPr>
        <w:t>/s/ Mark L. Keim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17780</wp:posOffset>
            </wp:positionV>
            <wp:extent cx="711517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16" w:lineRule="exact"/>
        <w:rPr>
          <w:sz w:val="20"/>
          <w:szCs w:val="20"/>
          <w:color w:val="auto"/>
        </w:rPr>
      </w:pPr>
    </w:p>
    <w:p>
      <w:pPr>
        <w:ind w:left="6200"/>
        <w:spacing w:after="0"/>
        <w:rPr>
          <w:sz w:val="20"/>
          <w:szCs w:val="20"/>
          <w:color w:val="auto"/>
        </w:rPr>
      </w:pPr>
      <w:r>
        <w:rPr>
          <w:rFonts w:ascii="Arial" w:cs="Arial" w:eastAsia="Arial" w:hAnsi="Arial"/>
          <w:sz w:val="18"/>
          <w:szCs w:val="18"/>
          <w:b w:val="1"/>
          <w:bCs w:val="1"/>
          <w:color w:val="auto"/>
        </w:rPr>
        <w:t>Mark L. Keim</w:t>
      </w:r>
    </w:p>
    <w:p>
      <w:pPr>
        <w:spacing w:after="0" w:line="40" w:lineRule="exact"/>
        <w:rPr>
          <w:sz w:val="20"/>
          <w:szCs w:val="20"/>
          <w:color w:val="auto"/>
        </w:rPr>
      </w:pPr>
    </w:p>
    <w:p>
      <w:pPr>
        <w:ind w:left="6200"/>
        <w:spacing w:after="0"/>
        <w:rPr>
          <w:sz w:val="20"/>
          <w:szCs w:val="20"/>
          <w:color w:val="auto"/>
        </w:rPr>
      </w:pPr>
      <w:r>
        <w:rPr>
          <w:rFonts w:ascii="Arial" w:cs="Arial" w:eastAsia="Arial" w:hAnsi="Arial"/>
          <w:sz w:val="18"/>
          <w:szCs w:val="18"/>
          <w:b w:val="1"/>
          <w:bCs w:val="1"/>
          <w:color w:val="auto"/>
        </w:rPr>
        <w:t>Chief Financial Officer and Treasurer</w:t>
      </w:r>
    </w:p>
    <w:p>
      <w:pPr>
        <w:spacing w:after="0" w:line="2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240"/>
          </w:cols>
          <w:pgMar w:left="320" w:top="890" w:right="339" w:bottom="1440" w:gutter="0" w:footer="0" w:header="0"/>
        </w:sectPr>
      </w:pPr>
    </w:p>
    <w:bookmarkStart w:id="38" w:name="page39"/>
    <w:bookmarkEnd w:id="38"/>
    <w:p>
      <w:pPr>
        <w:ind w:left="10140"/>
        <w:spacing w:after="0"/>
        <w:rPr>
          <w:sz w:val="20"/>
          <w:szCs w:val="20"/>
          <w:color w:val="auto"/>
        </w:rPr>
      </w:pPr>
      <w:r>
        <w:rPr>
          <w:rFonts w:ascii="Arial" w:cs="Arial" w:eastAsia="Arial" w:hAnsi="Arial"/>
          <w:sz w:val="17"/>
          <w:szCs w:val="17"/>
          <w:b w:val="1"/>
          <w:bCs w:val="1"/>
          <w:color w:val="auto"/>
        </w:rPr>
        <w:t>EXHIBIT 32.1</w:t>
      </w: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3" w:lineRule="exact"/>
        <w:rPr>
          <w:sz w:val="20"/>
          <w:szCs w:val="20"/>
          <w:color w:val="auto"/>
        </w:rPr>
      </w:pPr>
    </w:p>
    <w:p>
      <w:pPr>
        <w:ind w:right="80" w:firstLine="445"/>
        <w:spacing w:after="0" w:line="268" w:lineRule="auto"/>
        <w:rPr>
          <w:sz w:val="20"/>
          <w:szCs w:val="20"/>
          <w:color w:val="auto"/>
        </w:rPr>
      </w:pPr>
      <w:r>
        <w:rPr>
          <w:rFonts w:ascii="Arial" w:cs="Arial" w:eastAsia="Arial" w:hAnsi="Arial"/>
          <w:sz w:val="18"/>
          <w:szCs w:val="18"/>
          <w:color w:val="auto"/>
        </w:rPr>
        <w:t>In connection with the Quarterly Report of Molina Healthcare, Inc. (the “Company”) on Form 10-Q for the period ended March 31, 2024 (the “Report”), I, Joseph M. Zubretsky, Chief Executive Officer of the Company, certify, pursuant to 18 U.S.C. Section 1350, as adopted pursuant to Section 906 of the Sarbanes-Oxley Act of 2002, that:</w:t>
      </w:r>
    </w:p>
    <w:p>
      <w:pPr>
        <w:spacing w:after="0" w:line="63" w:lineRule="exact"/>
        <w:rPr>
          <w:sz w:val="20"/>
          <w:szCs w:val="20"/>
          <w:color w:val="auto"/>
        </w:rPr>
      </w:pPr>
    </w:p>
    <w:p>
      <w:pPr>
        <w:ind w:left="1160" w:hanging="261"/>
        <w:spacing w:after="0"/>
        <w:tabs>
          <w:tab w:leader="none" w:pos="11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w:t>
      </w:r>
    </w:p>
    <w:p>
      <w:pPr>
        <w:spacing w:after="0" w:line="27"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amended; and</w:t>
      </w:r>
    </w:p>
    <w:p>
      <w:pPr>
        <w:spacing w:after="0" w:line="99" w:lineRule="exact"/>
        <w:rPr>
          <w:rFonts w:ascii="Arial" w:cs="Arial" w:eastAsia="Arial" w:hAnsi="Arial"/>
          <w:sz w:val="18"/>
          <w:szCs w:val="18"/>
          <w:color w:val="auto"/>
        </w:rPr>
      </w:pPr>
    </w:p>
    <w:p>
      <w:pPr>
        <w:ind w:firstLine="899"/>
        <w:spacing w:after="0" w:line="287" w:lineRule="auto"/>
        <w:tabs>
          <w:tab w:leader="none" w:pos="1161"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60"/>
        <w:spacing w:after="0"/>
        <w:tabs>
          <w:tab w:leader="none" w:pos="6220" w:val="left"/>
        </w:tabs>
        <w:rPr>
          <w:sz w:val="20"/>
          <w:szCs w:val="20"/>
          <w:color w:val="auto"/>
        </w:rPr>
      </w:pPr>
      <w:r>
        <w:rPr>
          <w:rFonts w:ascii="Arial" w:cs="Arial" w:eastAsia="Arial" w:hAnsi="Arial"/>
          <w:sz w:val="18"/>
          <w:szCs w:val="18"/>
          <w:color w:val="auto"/>
        </w:rPr>
        <w:t>Dated: April 25, 2024</w:t>
      </w:r>
      <w:r>
        <w:rPr>
          <w:sz w:val="20"/>
          <w:szCs w:val="20"/>
          <w:color w:val="auto"/>
        </w:rPr>
        <w:tab/>
      </w:r>
      <w:r>
        <w:rPr>
          <w:rFonts w:ascii="Arial" w:cs="Arial" w:eastAsia="Arial" w:hAnsi="Arial"/>
          <w:sz w:val="18"/>
          <w:szCs w:val="18"/>
          <w:color w:val="auto"/>
        </w:rPr>
        <w:t>/s/ Joseph M. Zubretsky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17780</wp:posOffset>
            </wp:positionV>
            <wp:extent cx="710628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06285" cy="8255"/>
                    </a:xfrm>
                    <a:prstGeom prst="rect">
                      <a:avLst/>
                    </a:prstGeom>
                    <a:noFill/>
                  </pic:spPr>
                </pic:pic>
              </a:graphicData>
            </a:graphic>
          </wp:anchor>
        </w:drawing>
      </w:r>
    </w:p>
    <w:p>
      <w:pPr>
        <w:spacing w:after="0" w:line="16" w:lineRule="exact"/>
        <w:rPr>
          <w:sz w:val="20"/>
          <w:szCs w:val="20"/>
          <w:color w:val="auto"/>
        </w:rPr>
      </w:pPr>
    </w:p>
    <w:p>
      <w:pPr>
        <w:ind w:left="6240"/>
        <w:spacing w:after="0"/>
        <w:rPr>
          <w:sz w:val="20"/>
          <w:szCs w:val="20"/>
          <w:color w:val="auto"/>
        </w:rPr>
      </w:pPr>
      <w:r>
        <w:rPr>
          <w:rFonts w:ascii="Arial" w:cs="Arial" w:eastAsia="Arial" w:hAnsi="Arial"/>
          <w:sz w:val="18"/>
          <w:szCs w:val="18"/>
          <w:b w:val="1"/>
          <w:bCs w:val="1"/>
          <w:color w:val="auto"/>
        </w:rPr>
        <w:t>Joseph M. Zubretsky</w:t>
      </w:r>
    </w:p>
    <w:p>
      <w:pPr>
        <w:spacing w:after="0" w:line="40" w:lineRule="exact"/>
        <w:rPr>
          <w:sz w:val="20"/>
          <w:szCs w:val="20"/>
          <w:color w:val="auto"/>
        </w:rPr>
      </w:pPr>
    </w:p>
    <w:p>
      <w:pPr>
        <w:ind w:left="6240"/>
        <w:spacing w:after="0"/>
        <w:rPr>
          <w:sz w:val="20"/>
          <w:szCs w:val="20"/>
          <w:color w:val="auto"/>
        </w:rPr>
      </w:pPr>
      <w:r>
        <w:rPr>
          <w:rFonts w:ascii="Arial" w:cs="Arial" w:eastAsia="Arial" w:hAnsi="Arial"/>
          <w:sz w:val="18"/>
          <w:szCs w:val="18"/>
          <w:b w:val="1"/>
          <w:bCs w:val="1"/>
          <w:color w:val="auto"/>
        </w:rPr>
        <w:t>Chief Executive Officer, President and Director</w:t>
      </w:r>
    </w:p>
    <w:p>
      <w:pPr>
        <w:spacing w:after="0" w:line="23"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240"/>
          </w:cols>
          <w:pgMar w:left="320" w:top="890" w:right="339" w:bottom="1440" w:gutter="0" w:footer="0" w:header="0"/>
        </w:sectPr>
      </w:pPr>
    </w:p>
    <w:bookmarkStart w:id="39" w:name="page40"/>
    <w:bookmarkEnd w:id="39"/>
    <w:p>
      <w:pPr>
        <w:ind w:left="10140"/>
        <w:spacing w:after="0"/>
        <w:rPr>
          <w:sz w:val="20"/>
          <w:szCs w:val="20"/>
          <w:color w:val="auto"/>
        </w:rPr>
      </w:pPr>
      <w:r>
        <w:rPr>
          <w:rFonts w:ascii="Arial" w:cs="Arial" w:eastAsia="Arial" w:hAnsi="Arial"/>
          <w:sz w:val="17"/>
          <w:szCs w:val="17"/>
          <w:b w:val="1"/>
          <w:bCs w:val="1"/>
          <w:color w:val="auto"/>
        </w:rPr>
        <w:t>EXHIBIT 32.2</w:t>
      </w: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3" w:lineRule="exact"/>
        <w:rPr>
          <w:sz w:val="20"/>
          <w:szCs w:val="20"/>
          <w:color w:val="auto"/>
        </w:rPr>
      </w:pPr>
    </w:p>
    <w:p>
      <w:pPr>
        <w:ind w:right="80" w:firstLine="445"/>
        <w:spacing w:after="0" w:line="268" w:lineRule="auto"/>
        <w:rPr>
          <w:sz w:val="20"/>
          <w:szCs w:val="20"/>
          <w:color w:val="auto"/>
        </w:rPr>
      </w:pPr>
      <w:r>
        <w:rPr>
          <w:rFonts w:ascii="Arial" w:cs="Arial" w:eastAsia="Arial" w:hAnsi="Arial"/>
          <w:sz w:val="18"/>
          <w:szCs w:val="18"/>
          <w:color w:val="auto"/>
        </w:rPr>
        <w:t>In connection with the Quarterly Report of Molina Healthcare, Inc. (the “Company”) on Form 10-Q for the period ended March 31, 2024 (the “Report”), I, Mark L. Keim, Chief Financial Officer of the Company, certify, pursuant to 18 U.S.C. Section 1350, as adopted pursuant to Section 906 of the Sarbanes-Oxley Act of 2002, that:</w:t>
      </w:r>
    </w:p>
    <w:p>
      <w:pPr>
        <w:spacing w:after="0" w:line="63" w:lineRule="exact"/>
        <w:rPr>
          <w:sz w:val="20"/>
          <w:szCs w:val="20"/>
          <w:color w:val="auto"/>
        </w:rPr>
      </w:pPr>
    </w:p>
    <w:p>
      <w:pPr>
        <w:ind w:left="1160" w:hanging="261"/>
        <w:spacing w:after="0"/>
        <w:tabs>
          <w:tab w:leader="none" w:pos="11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w:t>
      </w:r>
    </w:p>
    <w:p>
      <w:pPr>
        <w:spacing w:after="0" w:line="27"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amended; and</w:t>
      </w:r>
    </w:p>
    <w:p>
      <w:pPr>
        <w:spacing w:after="0" w:line="99" w:lineRule="exact"/>
        <w:rPr>
          <w:rFonts w:ascii="Arial" w:cs="Arial" w:eastAsia="Arial" w:hAnsi="Arial"/>
          <w:sz w:val="18"/>
          <w:szCs w:val="18"/>
          <w:color w:val="auto"/>
        </w:rPr>
      </w:pPr>
    </w:p>
    <w:p>
      <w:pPr>
        <w:ind w:firstLine="899"/>
        <w:spacing w:after="0" w:line="287" w:lineRule="auto"/>
        <w:tabs>
          <w:tab w:leader="none" w:pos="1161"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40"/>
        <w:spacing w:after="0"/>
        <w:tabs>
          <w:tab w:leader="none" w:pos="6200" w:val="left"/>
        </w:tabs>
        <w:rPr>
          <w:sz w:val="20"/>
          <w:szCs w:val="20"/>
          <w:color w:val="auto"/>
        </w:rPr>
      </w:pPr>
      <w:r>
        <w:rPr>
          <w:rFonts w:ascii="Arial" w:cs="Arial" w:eastAsia="Arial" w:hAnsi="Arial"/>
          <w:sz w:val="18"/>
          <w:szCs w:val="18"/>
          <w:color w:val="auto"/>
        </w:rPr>
        <w:t>Dated: April 25, 2024</w:t>
      </w:r>
      <w:r>
        <w:rPr>
          <w:sz w:val="20"/>
          <w:szCs w:val="20"/>
          <w:color w:val="auto"/>
        </w:rPr>
        <w:tab/>
      </w:r>
      <w:r>
        <w:rPr>
          <w:rFonts w:ascii="Arial" w:cs="Arial" w:eastAsia="Arial" w:hAnsi="Arial"/>
          <w:sz w:val="17"/>
          <w:szCs w:val="17"/>
          <w:color w:val="auto"/>
        </w:rPr>
        <w:t>/s/ Mark L. Keim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17780</wp:posOffset>
            </wp:positionV>
            <wp:extent cx="710628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06285" cy="8255"/>
                    </a:xfrm>
                    <a:prstGeom prst="rect">
                      <a:avLst/>
                    </a:prstGeom>
                    <a:noFill/>
                  </pic:spPr>
                </pic:pic>
              </a:graphicData>
            </a:graphic>
          </wp:anchor>
        </w:drawing>
      </w:r>
    </w:p>
    <w:p>
      <w:pPr>
        <w:spacing w:after="0" w:line="16" w:lineRule="exact"/>
        <w:rPr>
          <w:sz w:val="20"/>
          <w:szCs w:val="20"/>
          <w:color w:val="auto"/>
        </w:rPr>
      </w:pPr>
    </w:p>
    <w:p>
      <w:pPr>
        <w:ind w:left="6220"/>
        <w:spacing w:after="0"/>
        <w:rPr>
          <w:sz w:val="20"/>
          <w:szCs w:val="20"/>
          <w:color w:val="auto"/>
        </w:rPr>
      </w:pPr>
      <w:r>
        <w:rPr>
          <w:rFonts w:ascii="Arial" w:cs="Arial" w:eastAsia="Arial" w:hAnsi="Arial"/>
          <w:sz w:val="18"/>
          <w:szCs w:val="18"/>
          <w:b w:val="1"/>
          <w:bCs w:val="1"/>
          <w:color w:val="auto"/>
        </w:rPr>
        <w:t>Mark L. Keim</w:t>
      </w:r>
    </w:p>
    <w:p>
      <w:pPr>
        <w:spacing w:after="0" w:line="40" w:lineRule="exact"/>
        <w:rPr>
          <w:sz w:val="20"/>
          <w:szCs w:val="20"/>
          <w:color w:val="auto"/>
        </w:rPr>
      </w:pPr>
    </w:p>
    <w:p>
      <w:pPr>
        <w:ind w:left="6220"/>
        <w:spacing w:after="0"/>
        <w:rPr>
          <w:sz w:val="20"/>
          <w:szCs w:val="20"/>
          <w:color w:val="auto"/>
        </w:rPr>
      </w:pPr>
      <w:r>
        <w:rPr>
          <w:rFonts w:ascii="Arial" w:cs="Arial" w:eastAsia="Arial" w:hAnsi="Arial"/>
          <w:sz w:val="18"/>
          <w:szCs w:val="18"/>
          <w:b w:val="1"/>
          <w:bCs w:val="1"/>
          <w:color w:val="auto"/>
        </w:rPr>
        <w:t>Chief Financial Officer and Treasurer</w:t>
      </w:r>
    </w:p>
    <w:p>
      <w:pPr>
        <w:spacing w:after="0" w:line="23" w:lineRule="exact"/>
        <w:rPr>
          <w:sz w:val="20"/>
          <w:szCs w:val="20"/>
          <w:color w:val="auto"/>
        </w:rPr>
      </w:pPr>
    </w:p>
    <w:p>
      <w:pPr>
        <w:ind w:left="6220"/>
        <w:spacing w:after="0"/>
        <w:rPr>
          <w:sz w:val="20"/>
          <w:szCs w:val="20"/>
          <w:color w:val="auto"/>
        </w:rPr>
      </w:pPr>
      <w:r>
        <w:rPr>
          <w:rFonts w:ascii="Arial" w:cs="Arial" w:eastAsia="Arial" w:hAnsi="Arial"/>
          <w:sz w:val="18"/>
          <w:szCs w:val="18"/>
          <w:color w:val="auto"/>
        </w:rPr>
        <w:t>(Principal Financial Officer)</w:t>
      </w:r>
    </w:p>
    <w:sectPr>
      <w:pgSz w:w="11900" w:h="16838" w:orient="portrait"/>
      <w:cols w:equalWidth="0" w:num="1">
        <w:col w:w="11240"/>
      </w:cols>
      <w:pgMar w:left="320" w:top="89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abstractNum>
  <w:abstractNum w:abstractNumId="1">
    <w:nsid w:val="4DB127F8"/>
    <w:multiLevelType w:val="hybridMultilevel"/>
    <w:lvl w:ilvl="0">
      <w:lvlJc w:val="left"/>
      <w:lvlText w:val="☐"/>
      <w:numFmt w:val="bullet"/>
      <w:start w:val="1"/>
    </w:lvl>
  </w:abstractNum>
  <w:abstractNum w:abstractNumId="2">
    <w:nsid w:val="216231B"/>
    <w:multiLevelType w:val="hybridMultilevel"/>
    <w:lvl w:ilvl="0">
      <w:lvlJc w:val="left"/>
      <w:lvlText w:val="%1."/>
      <w:numFmt w:val="decimal"/>
      <w:start w:val="1"/>
    </w:lvl>
  </w:abstractNum>
  <w:abstractNum w:abstractNumId="3">
    <w:nsid w:val="1F16E9E8"/>
    <w:multiLevelType w:val="hybridMultilevel"/>
    <w:lvl w:ilvl="0">
      <w:lvlJc w:val="left"/>
      <w:lvlText w:val="%1."/>
      <w:numFmt w:val="decimal"/>
      <w:start w:val="2"/>
    </w:lvl>
  </w:abstractNum>
  <w:abstractNum w:abstractNumId="4">
    <w:nsid w:val="1190CDE7"/>
    <w:multiLevelType w:val="hybridMultilevel"/>
    <w:lvl w:ilvl="0">
      <w:lvlJc w:val="left"/>
      <w:lvlText w:val="(%1)"/>
      <w:numFmt w:val="decimal"/>
      <w:start w:val="1"/>
    </w:lvl>
  </w:abstractNum>
  <w:abstractNum w:abstractNumId="5">
    <w:nsid w:val="66EF438D"/>
    <w:multiLevelType w:val="hybridMultilevel"/>
    <w:lvl w:ilvl="0">
      <w:lvlJc w:val="left"/>
      <w:lvlText w:val="(%1)"/>
      <w:numFmt w:val="decimal"/>
      <w:start w:val="1"/>
    </w:lvl>
  </w:abstractNum>
  <w:abstractNum w:abstractNumId="6">
    <w:nsid w:val="140E0F76"/>
    <w:multiLevelType w:val="hybridMultilevel"/>
    <w:lvl w:ilvl="0">
      <w:lvlJc w:val="left"/>
      <w:lvlText w:val="%1."/>
      <w:numFmt w:val="decimal"/>
      <w:start w:val="10"/>
    </w:lvl>
  </w:abstractNum>
  <w:abstractNum w:abstractNumId="7">
    <w:nsid w:val="3352255A"/>
    <w:multiLevelType w:val="hybridMultilevel"/>
    <w:lvl w:ilvl="0">
      <w:lvlJc w:val="left"/>
      <w:lvlText w:val="•"/>
      <w:numFmt w:val="bullet"/>
      <w:start w:val="1"/>
    </w:lvl>
  </w:abstractNum>
  <w:abstractNum w:abstractNumId="8">
    <w:nsid w:val="109CF92E"/>
    <w:multiLevelType w:val="hybridMultilevel"/>
    <w:lvl w:ilvl="0">
      <w:lvlJc w:val="left"/>
      <w:lvlText w:val="•"/>
      <w:numFmt w:val="bullet"/>
      <w:start w:val="1"/>
    </w:lvl>
  </w:abstractNum>
  <w:abstractNum w:abstractNumId="9">
    <w:nsid w:val="DED7263"/>
    <w:multiLevelType w:val="hybridMultilevel"/>
    <w:lvl w:ilvl="0">
      <w:lvlJc w:val="left"/>
      <w:lvlText w:val="•"/>
      <w:numFmt w:val="bullet"/>
      <w:start w:val="1"/>
    </w:lvl>
  </w:abstractNum>
  <w:abstractNum w:abstractNumId="10">
    <w:nsid w:val="7FDCC233"/>
    <w:multiLevelType w:val="hybridMultilevel"/>
    <w:lvl w:ilvl="0">
      <w:lvlJc w:val="left"/>
      <w:lvlText w:val="(%1)"/>
      <w:numFmt w:val="decimal"/>
      <w:start w:val="1"/>
    </w:lvl>
  </w:abstractNum>
  <w:abstractNum w:abstractNumId="11">
    <w:nsid w:val="1BEFD79F"/>
    <w:multiLevelType w:val="hybridMultilevel"/>
    <w:lvl w:ilvl="0">
      <w:lvlJc w:val="left"/>
      <w:lvlText w:val="•"/>
      <w:numFmt w:val="bullet"/>
      <w:start w:val="1"/>
    </w:lvl>
  </w:abstractNum>
  <w:abstractNum w:abstractNumId="12">
    <w:nsid w:val="41A7C4C9"/>
    <w:multiLevelType w:val="hybridMultilevel"/>
    <w:lvl w:ilvl="0">
      <w:lvlJc w:val="left"/>
      <w:lvlText w:val="(%1)"/>
      <w:numFmt w:val="decimal"/>
      <w:start w:val="1"/>
    </w:lvl>
  </w:abstractNum>
  <w:abstractNum w:abstractNumId="13">
    <w:nsid w:val="6B68079A"/>
    <w:multiLevelType w:val="hybridMultilevel"/>
    <w:lvl w:ilvl="0">
      <w:lvlJc w:val="left"/>
      <w:lvlText w:val="(%1)"/>
      <w:numFmt w:val="lowerLetter"/>
      <w:start w:val="1"/>
    </w:lvl>
  </w:abstractNum>
  <w:abstractNum w:abstractNumId="14">
    <w:nsid w:val="4E6AFB66"/>
    <w:multiLevelType w:val="hybridMultilevel"/>
    <w:lvl w:ilvl="0">
      <w:lvlJc w:val="left"/>
      <w:lvlText w:val="%1."/>
      <w:numFmt w:val="decimal"/>
      <w:start w:val="1"/>
    </w:lvl>
    <w:lvl w:ilvl="1">
      <w:lvlJc w:val="left"/>
      <w:lvlText w:val="(%2)"/>
      <w:numFmt w:val="lowerLetter"/>
      <w:start w:val="1"/>
    </w:lvl>
  </w:abstractNum>
  <w:abstractNum w:abstractNumId="15">
    <w:nsid w:val="25E45D32"/>
    <w:multiLevelType w:val="hybridMultilevel"/>
    <w:lvl w:ilvl="0">
      <w:lvlJc w:val="left"/>
      <w:lvlText w:val="%1."/>
      <w:numFmt w:val="decimal"/>
      <w:start w:val="1"/>
    </w:lvl>
    <w:lvl w:ilvl="1">
      <w:lvlJc w:val="left"/>
      <w:lvlText w:val="(%2)"/>
      <w:numFmt w:val="lowerLetter"/>
      <w:start w:val="1"/>
    </w:lvl>
  </w:abstractNum>
  <w:abstractNum w:abstractNumId="16">
    <w:nsid w:val="519B500D"/>
    <w:multiLevelType w:val="hybridMultilevel"/>
    <w:lvl w:ilvl="0">
      <w:lvlJc w:val="left"/>
      <w:lvlText w:val="(%1)"/>
      <w:numFmt w:val="decimal"/>
      <w:start w:val="1"/>
    </w:lvl>
  </w:abstractNum>
  <w:abstractNum w:abstractNumId="17">
    <w:nsid w:val="431BD7B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2024-04-25T08:45:33Z</dcterms:created>
  <dcterms:modified xsi:type="dcterms:W3CDTF">2024-04-25T08:45:33Z</dcterms:modified>
</cp:coreProperties>
</file>