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2022</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132080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8" w:lineRule="exact"/>
        <w:rPr>
          <w:sz w:val="24"/>
          <w:szCs w:val="24"/>
          <w:color w:val="auto"/>
        </w:rPr>
      </w:pPr>
    </w:p>
    <w:tbl>
      <w:tblPr>
        <w:tblLayout w:type="fixed"/>
        <w:tblInd w:w="950" w:type="dxa"/>
        <w:tblCellMar>
          <w:top w:w="0" w:type="dxa"/>
          <w:left w:w="0" w:type="dxa"/>
          <w:bottom w:w="0" w:type="dxa"/>
          <w:right w:w="0" w:type="dxa"/>
        </w:tblCellMar>
      </w:tblPr>
      <w:tr>
        <w:trPr>
          <w:trHeight w:val="25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6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31" w:lineRule="exact"/>
        <w:rPr>
          <w:sz w:val="24"/>
          <w:szCs w:val="24"/>
          <w:color w:val="auto"/>
        </w:rPr>
      </w:pPr>
    </w:p>
    <w:p>
      <w:pPr>
        <w:ind w:right="12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22, 2022, was approximately 58,100,000.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828282"/>
        </w:rPr>
        <w:t>FOR THE QUARTERLY PERIOD ENDED JUNE 30,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0"/>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9"/>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9"/>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20</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7"/>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7"/>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4"/>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8"/>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8"/>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9"/>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6360" w:type="dxa"/>
            <w:vAlign w:val="bottom"/>
            <w:gridSpan w:val="9"/>
          </w:tcPr>
          <w:p>
            <w:pPr>
              <w:spacing w:after="0"/>
              <w:rPr>
                <w:sz w:val="20"/>
                <w:szCs w:val="20"/>
                <w:color w:val="auto"/>
              </w:rPr>
            </w:pPr>
            <w:r>
              <w:rPr>
                <w:rFonts w:ascii="Arial" w:cs="Arial" w:eastAsia="Arial" w:hAnsi="Arial"/>
                <w:sz w:val="16"/>
                <w:szCs w:val="16"/>
                <w:color w:val="auto"/>
              </w:rPr>
              <w:t>Other Information</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5800" w:type="dxa"/>
            <w:vAlign w:val="bottom"/>
            <w:gridSpan w:val="8"/>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9"/>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188"/>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80" w:type="dxa"/>
            <w:vAlign w:val="bottom"/>
            <w:gridSpan w:val="7"/>
          </w:tcPr>
          <w:p>
            <w:pPr>
              <w:ind w:left="100"/>
              <w:spacing w:after="0"/>
              <w:rPr>
                <w:sz w:val="20"/>
                <w:szCs w:val="20"/>
                <w:color w:val="auto"/>
              </w:rPr>
            </w:pPr>
            <w:r>
              <w:rPr>
                <w:rFonts w:ascii="Arial" w:cs="Arial" w:eastAsia="Arial" w:hAnsi="Arial"/>
                <w:sz w:val="14"/>
                <w:szCs w:val="14"/>
                <w:b w:val="1"/>
                <w:bCs w:val="1"/>
                <w:color w:val="auto"/>
              </w:rPr>
              <w:t>(Dollars in millions, except per-share amounts)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7,799</w:t>
            </w:r>
          </w:p>
        </w:tc>
        <w:tc>
          <w:tcPr>
            <w:tcW w:w="1120" w:type="dxa"/>
            <w:vAlign w:val="bottom"/>
            <w:gridSpan w:val="2"/>
          </w:tcPr>
          <w:p>
            <w:pPr>
              <w:jc w:val="right"/>
              <w:ind w:right="8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6,583</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15,330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12,889</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13,322</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6,872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11,293</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7,693</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12,714</w:t>
            </w: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1120" w:type="dxa"/>
            <w:vAlign w:val="bottom"/>
            <w:gridSpan w:val="2"/>
          </w:tcPr>
          <w:p>
            <w:pPr>
              <w:jc w:val="right"/>
              <w:ind w:right="8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188"/>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gain</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402</w:t>
            </w: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4,438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2,177</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10,332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10,064</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12,572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12,209</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58 million shares at June 30,</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2022 and December 31, 2021</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60" w:type="dxa"/>
            <w:vAlign w:val="bottom"/>
            <w:gridSpan w:val="5"/>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2"/>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60" w:type="dxa"/>
            <w:vAlign w:val="bottom"/>
            <w:gridSpan w:val="5"/>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2"/>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8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6"/>
          </w:tcPr>
          <w:p>
            <w:pPr>
              <w:ind w:left="8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600" w:type="dxa"/>
            <w:vAlign w:val="bottom"/>
            <w:tcBorders>
              <w:bottom w:val="single" w:sz="8" w:color="auto"/>
            </w:tcBorders>
            <w:gridSpan w:val="4"/>
          </w:tcPr>
          <w:p>
            <w:pPr>
              <w:jc w:val="center"/>
              <w:ind w:left="50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188"/>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3"/>
          </w:tcPr>
          <w:p>
            <w:pPr>
              <w:jc w:val="center"/>
              <w:ind w:right="302"/>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3"/>
          </w:tcPr>
          <w:p>
            <w:pPr>
              <w:jc w:val="center"/>
              <w:ind w:right="322"/>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10"/>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828282"/>
        </w:rPr>
        <w:t>JUNE 30, 2022</w:t>
      </w:r>
    </w:p>
    <w:p>
      <w:pPr>
        <w:spacing w:after="0" w:line="360"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828282"/>
        </w:rPr>
      </w:pPr>
      <w:r>
        <w:rPr>
          <w:rFonts w:ascii="Arial" w:cs="Arial" w:eastAsia="Arial" w:hAnsi="Arial"/>
          <w:sz w:val="18"/>
          <w:szCs w:val="18"/>
          <w:color w:val="828282"/>
        </w:rPr>
        <w:t>Organization and Basis of Presentation</w:t>
      </w:r>
    </w:p>
    <w:p>
      <w:pPr>
        <w:spacing w:after="0" w:line="119" w:lineRule="exact"/>
        <w:rPr>
          <w:rFonts w:ascii="Arial" w:cs="Arial" w:eastAsia="Arial" w:hAnsi="Arial"/>
          <w:sz w:val="18"/>
          <w:szCs w:val="18"/>
          <w:color w:val="828282"/>
        </w:rPr>
      </w:pPr>
    </w:p>
    <w:p>
      <w:pPr>
        <w:spacing w:after="0"/>
        <w:rPr>
          <w:rFonts w:ascii="Arial" w:cs="Arial" w:eastAsia="Arial" w:hAnsi="Arial"/>
          <w:sz w:val="18"/>
          <w:szCs w:val="18"/>
          <w:color w:val="828282"/>
        </w:rPr>
      </w:pPr>
      <w:r>
        <w:rPr>
          <w:rFonts w:ascii="Arial" w:cs="Arial" w:eastAsia="Arial" w:hAnsi="Arial"/>
          <w:sz w:val="18"/>
          <w:szCs w:val="18"/>
          <w:b w:val="1"/>
          <w:bCs w:val="1"/>
          <w:i w:val="1"/>
          <w:iCs w:val="1"/>
          <w:color w:val="auto"/>
        </w:rPr>
        <w:t>Organization and Operations</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June 30, 2022, we served approximately 5.1 million members eligible for government-sponsored healthcare programs, located across 19 states.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Wisconsin Acquisition — 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(“MCW”). As of May 2022, MCW served over 44,000 managed long-term services and supports and core Medicaid members throughout Wisconsin, delivering approximately $ 1 billion in premium revenue for the 12 months ended March 31, 2022.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2022.</w:t>
      </w:r>
    </w:p>
    <w:p>
      <w:pPr>
        <w:spacing w:after="0" w:line="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 See Note 4, “Business Combinations,” for further information.</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The purchase price for the transaction is approximately $ 106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in the fourth quarter of 2022.</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April 2022, we submitted our RFP response. We expect the award to be announced in early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 an effective date of January 2024.</w:t>
      </w:r>
    </w:p>
    <w:p>
      <w:pPr>
        <w:spacing w:after="0" w:line="45"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i w:val="1"/>
          <w:iCs w:val="1"/>
          <w:color w:val="auto"/>
        </w:rPr>
        <w:t xml:space="preserve">Texas Procurement—Medicaid. </w:t>
      </w:r>
      <w:r>
        <w:rPr>
          <w:rFonts w:ascii="Arial" w:cs="Arial" w:eastAsia="Arial" w:hAnsi="Arial"/>
          <w:sz w:val="17"/>
          <w:szCs w:val="17"/>
          <w:color w:val="auto"/>
        </w:rPr>
        <w:t>In March 2022, the Texas Health and Human Services Commission posted the ABD program (known in</w:t>
      </w:r>
      <w:r>
        <w:rPr>
          <w:rFonts w:ascii="Arial" w:cs="Arial" w:eastAsia="Arial" w:hAnsi="Arial"/>
          <w:sz w:val="17"/>
          <w:szCs w:val="17"/>
          <w:i w:val="1"/>
          <w:iCs w:val="1"/>
          <w:color w:val="auto"/>
        </w:rPr>
        <w:t xml:space="preserve"> </w:t>
      </w:r>
      <w:r>
        <w:rPr>
          <w:rFonts w:ascii="Arial" w:cs="Arial" w:eastAsia="Arial" w:hAnsi="Arial"/>
          <w:sz w:val="17"/>
          <w:szCs w:val="17"/>
          <w:color w:val="auto"/>
        </w:rPr>
        <w:t>Texas as STAR+PLUS) RFP, with awards estimated to be announced in the first quarter of 2023, and start of operations in February 2024.</w:t>
      </w:r>
    </w:p>
    <w:p>
      <w:pPr>
        <w:spacing w:after="0" w:line="2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Our new contract in Clark and Washoe Counties commenced on January 1, 2022, and offers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to TANF, CHIP and Medicaid Expansion beneficiaries. The four year contract with a possible two-year extension was ratified in September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have been included. All significant intercompany balances and transactions have been eliminated. The consolidated results of</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six months ended June 30, 2022 are not necessarily indicative of the results for the entire year ending December 31, 2022.</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2021. Accordingly, certain disclosures that would substantially duplicate the disclosures contained in our December 31, 2021, audited consolidated financial statements have been omitted. These unaudited consolidated interim financial statements should be read in conjunction with our audited consolidated financial statements for the fiscal year ended December 31,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00" w:lineRule="exact"/>
        <w:rPr>
          <w:sz w:val="20"/>
          <w:szCs w:val="20"/>
          <w:color w:val="auto"/>
        </w:rPr>
      </w:pPr>
    </w:p>
    <w:p>
      <w:pPr>
        <w:spacing w:after="0" w:line="21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828282"/>
        </w:rPr>
      </w:pPr>
      <w:r>
        <w:rPr>
          <w:rFonts w:ascii="Arial" w:cs="Arial" w:eastAsia="Arial" w:hAnsi="Arial"/>
          <w:sz w:val="18"/>
          <w:szCs w:val="18"/>
          <w:color w:val="828282"/>
        </w:rPr>
        <w:t>Significant Accounting Policies</w:t>
      </w:r>
    </w:p>
    <w:p>
      <w:pPr>
        <w:spacing w:after="0" w:line="119" w:lineRule="exact"/>
        <w:rPr>
          <w:rFonts w:ascii="Arial" w:cs="Arial" w:eastAsia="Arial" w:hAnsi="Arial"/>
          <w:sz w:val="18"/>
          <w:szCs w:val="18"/>
          <w:color w:val="828282"/>
        </w:rPr>
      </w:pPr>
    </w:p>
    <w:p>
      <w:pPr>
        <w:spacing w:after="0"/>
        <w:rPr>
          <w:rFonts w:ascii="Arial" w:cs="Arial" w:eastAsia="Arial" w:hAnsi="Arial"/>
          <w:sz w:val="18"/>
          <w:szCs w:val="18"/>
          <w:color w:val="828282"/>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4,378</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tbl>
      <w:tblPr>
        <w:tblLayout w:type="fixed"/>
        <w:tblInd w:w="0" w:type="dxa"/>
        <w:tblCellMar>
          <w:top w:w="0" w:type="dxa"/>
          <w:left w:w="0" w:type="dxa"/>
          <w:bottom w:w="0" w:type="dxa"/>
          <w:right w:w="0" w:type="dxa"/>
        </w:tblCellMar>
      </w:tblPr>
      <w:tr>
        <w:trPr>
          <w:trHeight w:val="155"/>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tcPr>
          <w:p>
            <w:pPr>
              <w:jc w:val="right"/>
              <w:ind w:right="182"/>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36"/>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1,566</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276</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335</w:t>
            </w: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2,177</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Certain components of premium revenue are subject to accounting estimates and are described in further detail below, and in our 2021 Annual Report on Form 10-K, Note 2, “Significant Accounting Policies,” under “Contractual Provisions That May Adjust or Limit Revenue or Profit,” and “Quality Incentives.”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due government agencies, categorized by program: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35"/>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1,016</w:t>
            </w: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w:t>
            </w: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902</w:t>
            </w: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w:t>
            </w:r>
          </w:p>
        </w:tc>
      </w:tr>
      <w:tr>
        <w:trPr>
          <w:trHeight w:val="210"/>
        </w:trPr>
        <w:tc>
          <w:tcPr>
            <w:tcW w:w="8100" w:type="dxa"/>
            <w:vAlign w:val="bottom"/>
          </w:tcPr>
          <w:p>
            <w:pPr>
              <w:ind w:left="360"/>
              <w:spacing w:after="0"/>
              <w:rPr>
                <w:sz w:val="20"/>
                <w:szCs w:val="20"/>
                <w:color w:val="auto"/>
              </w:rPr>
            </w:pPr>
            <w:r>
              <w:rPr>
                <w:rFonts w:ascii="Arial" w:cs="Arial" w:eastAsia="Arial" w:hAnsi="Arial"/>
                <w:sz w:val="16"/>
                <w:szCs w:val="16"/>
                <w:color w:val="auto"/>
              </w:rPr>
              <w:t>Total amounts due government agencies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2,472</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i w:val="1"/>
          <w:iCs w:val="1"/>
          <w:color w:val="auto"/>
        </w:rPr>
        <w:t xml:space="preserve">Minimum MLR and Retroactive Premium Adjustments. </w:t>
      </w:r>
      <w:r>
        <w:rPr>
          <w:rFonts w:ascii="Arial" w:cs="Arial" w:eastAsia="Arial" w:hAnsi="Arial"/>
          <w:sz w:val="18"/>
          <w:szCs w:val="18"/>
          <w:color w:val="auto"/>
        </w:rPr>
        <w:t>State Medicaid programs periodically adjust premium rates on a retroactive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we adjust our premium revenue in the period in which we determine that the adjustment is probable and reasonably estimable, based on our best estimate of the ultimate premium we expect to realize for the period being adjusted.</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Since the second quarter of 2020, we have recognized risk corridors that we believe to be probable, and where the ultimate premium amount is reasonably estimable. For the three and six months ended June 30, 2022, we recognized approximately $94 million and $122 million, respectively, related to such risk corridors, primarily in the Medicaid segment, compared to $ 56 million and $166 million, respectively, recognized in the three and six months ended June 30, 2021. The decrease is due to the elimination of several of the COVID-19 risk corridors.</w:t>
      </w:r>
    </w:p>
    <w:p>
      <w:pPr>
        <w:spacing w:after="0" w:line="7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2022, Marketplace risk adjustment payables amounted to $ 1,037 million and related receivables amounted to $61 million, for a net payable of $976 million. As of December 31, 2021, Marketplace risk adjustment payables amounted to $902 million and related receivables amounted to $7 million, for a net payable of $895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in which our health plan subsidiaries operate.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4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r>
      <w:tr>
        <w:trPr>
          <w:trHeight w:val="237"/>
        </w:trPr>
        <w:tc>
          <w:tcPr>
            <w:tcW w:w="4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5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17"/>
        </w:trPr>
        <w:tc>
          <w:tcPr>
            <w:tcW w:w="45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54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0"/>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828282"/>
        </w:rPr>
        <w:t>4. Business Combinations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Cigna. </w:t>
      </w:r>
      <w:r>
        <w:rPr>
          <w:rFonts w:ascii="Arial" w:cs="Arial" w:eastAsia="Arial" w:hAnsi="Arial"/>
          <w:sz w:val="18"/>
          <w:szCs w:val="18"/>
          <w:color w:val="auto"/>
        </w:rPr>
        <w:t>On January 1, 2022, we closed on our acquisition of Cigna Corporation’s Texas Medicaid and Medicare-Medicaid Plan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certain operating assets, for purchase consideration of approximately $60 million. We acquired membership and a provider network with a preliminary fair value of approximately $36 million. We allocated the remaining $24 million of purchase consideration to goodwill, primarily in the Medicaid segment, which relates to future economic benefits arising from expected synergies from the use of our existing infrastructure to support the added membership, and from the assembled workforce. The goodwill is deductible for income tax purposes.</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Affinity. </w:t>
      </w:r>
      <w:r>
        <w:rPr>
          <w:rFonts w:ascii="Arial" w:cs="Arial" w:eastAsia="Arial" w:hAnsi="Arial"/>
          <w:sz w:val="18"/>
          <w:szCs w:val="18"/>
          <w:color w:val="auto"/>
        </w:rPr>
        <w:t>On October 25, 2021, we closed on our acquisition of substantially all of the assets of Affinity Health Plan, Inc., a Medicaid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New York, for initial purchase consideration of approximately $176 million. In the six months ended June 30, 2022, we recorded various measurement period adjustments, including an increase of $7 million to “Medical claims and benefits payable,” and an increase of $17 million to “Receivables” net of “Amounts due government agencies.” In the aggregate, we recorded a net increase of $11 million to goodwill for these measurement period adjustments and various purchase price adjustments.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828282"/>
        </w:rPr>
        <w:t>5.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2021 Annual Report on Form 10-K, Note 5, “Fair Value Measurements.”</w:t>
      </w:r>
    </w:p>
    <w:p>
      <w:pPr>
        <w:spacing w:after="0" w:line="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six months ended June 30, 2022 and 2021, we recognized a loss of $4 million and $3 million, respectively, for the increase in the fair value of the contingent consideration liabilities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2022,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47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00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Molina Healthcare, Inc. June 30, 2022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2021,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47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Level 3 financial instruments at June 30, 2022 are comprised solely of contingent consideration liabilities of $8 million, in connection with our 2020 acquisition of certain assets of Passport Health Plan, Inc., a Medicaid health plan in Kentucky. Such liabilities are recorded at fair value on a recurring basis. In the six months ended June 30, 2022, the estimated fair value of contingent purchase consideration increased by approximately $4 million, relating to an operating income guarantee.</w:t>
      </w:r>
    </w:p>
    <w:p>
      <w:pPr>
        <w:spacing w:after="0" w:line="6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six months ended June 30, 2022, we paid the seller $43 million, of which $23 million was for the remaining half of the consideration due for minimum member enrollment targets and $ 20 million was for the first payment of the consideration due for the operating income guarantee. For the amounts paid in the six months ended June 30, 2022, $20 million has been presented in “Financing activities” in the accompanying consolidated statements of cash flows, with the balance reflected in “Operating activities.” The remaining balance of the liabilities is reported in “Accounts payable, accrued liabilities and other” in the accompanying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2022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828282"/>
        </w:rPr>
        <w:t>6.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1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060" w:type="dxa"/>
            <w:vAlign w:val="bottom"/>
            <w:gridSpan w:val="7"/>
          </w:tcPr>
          <w:p>
            <w:pPr>
              <w:spacing w:after="0"/>
              <w:rPr>
                <w:sz w:val="20"/>
                <w:szCs w:val="20"/>
                <w:color w:val="auto"/>
              </w:rPr>
            </w:pPr>
            <w:r>
              <w:rPr>
                <w:rFonts w:ascii="Arial" w:cs="Arial" w:eastAsia="Arial" w:hAnsi="Arial"/>
                <w:sz w:val="18"/>
                <w:szCs w:val="18"/>
                <w:color w:val="auto"/>
              </w:rPr>
              <w:t>The contractual maturities of our current investments as of June 30, 2022 are summarized below:</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center"/>
              <w:ind w:right="3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were insignificant for the six months ended June 30, 2022, and 2021.</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determined that unrealized losses at June 30, 2022, and December 31, 2021,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63"/>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83"/>
              <w:spacing w:after="0" w:line="145"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2"/>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7"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5"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$219 million at June 30, 2022, of which $191 million will mature in one year or less, and $28 million will mature in one through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828282"/>
        </w:rPr>
        <w:t>7. Medical Claims and Benefits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36"/>
        </w:trPr>
        <w:tc>
          <w:tcPr>
            <w:tcW w:w="8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2,719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2,486</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0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219</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576</w:t>
            </w: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3,775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$229 million and $226 million as of June 30, 2022, and December 31, 2021, respectively.</w:t>
      </w:r>
    </w:p>
    <w:p>
      <w:pPr>
        <w:spacing w:after="0" w:line="4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13,435</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10,622</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13,033</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2022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11,293</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9,023</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10,972</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estimates of medical claims and benefits payable recorded at December 31, 2021, and 2020 developed favorably by approximately $311 million and $193 million as of June 30, 2022, and 2021, respectively.</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favorable prior year development recognized in the six months ended June 30, 2022 was primarily due to lower than expected utilization of medical services by our members and improved operating performance. Consequently, the ultimate costs recognized in 2022, as claims payments were processed, were lower than our estimates in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828282"/>
        </w:rPr>
        <w:t>8. Debt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all of which are non-current as of the dates reported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36"/>
        </w:trPr>
        <w:tc>
          <w:tcPr>
            <w:tcW w:w="8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0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2,175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Credit Agreement contains customary non-financial and financial covenants. As of June 30, 2022, we were in compliance with all financial and non-financial covenants under the Credit Agreement. As of June 30, 2022, no amounts were outstanding under the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senior notes are described below. Each of these notes are senior unsecured obligations of Molina and rank equally in right of payment with all existing and future senior debt, and senior to all existing and future subordinated debt of Molina. In addition, each of the indentures governing the senior notes contain customary non-financial</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covenants and change of control provisions. As of June 30, 2022, we were in compliance with all non-financial covenants in the indentures governing the senior notes.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which are due November 15, 2030, unless earlier redeemed. Interest, at a rate of 3.875% per annum, is payable semiannually in arrears on May 15 and November 15.</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had $ 750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828282"/>
        </w:rPr>
        <w:t>9. Stockholders' Equity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new program, 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658,000 shares for $200 million in the second quarter of 2022 (average cost of $304.13 per share).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828282"/>
        </w:rPr>
        <w:t>10.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37"/>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6,524</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5,209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10,229</w:t>
            </w: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1,627</w:t>
            </w: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1,431</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r>
      <w:tr>
        <w:trPr>
          <w:trHeight w:val="210"/>
        </w:trPr>
        <w:tc>
          <w:tcPr>
            <w:tcW w:w="4780" w:type="dxa"/>
            <w:vAlign w:val="bottom"/>
          </w:tcPr>
          <w:p>
            <w:pPr>
              <w:ind w:left="48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13,322</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80" w:type="dxa"/>
            <w:vAlign w:val="bottom"/>
          </w:tcPr>
          <w:p>
            <w:pPr>
              <w:spacing w:after="0"/>
              <w:rPr>
                <w:sz w:val="17"/>
                <w:szCs w:val="17"/>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r>
      <w:tr>
        <w:trPr>
          <w:trHeight w:val="237"/>
        </w:trPr>
        <w:tc>
          <w:tcPr>
            <w:tcW w:w="4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24"/>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1,155</w:t>
            </w: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478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17"/>
        </w:trPr>
        <w:tc>
          <w:tcPr>
            <w:tcW w:w="47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6"/>
        </w:trPr>
        <w:tc>
          <w:tcPr>
            <w:tcW w:w="4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r>
      <w:tr>
        <w:trPr>
          <w:trHeight w:val="210"/>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15"/>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35"/>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other revenue.</w:t>
      </w:r>
    </w:p>
    <w:p>
      <w:pPr>
        <w:spacing w:after="0" w:line="21" w:lineRule="exact"/>
        <w:rPr>
          <w:rFonts w:ascii="Arial" w:cs="Arial" w:eastAsia="Arial" w:hAnsi="Arial"/>
          <w:sz w:val="16"/>
          <w:szCs w:val="16"/>
          <w:color w:val="auto"/>
        </w:rPr>
      </w:pPr>
    </w:p>
    <w:p>
      <w:pPr>
        <w:ind w:left="340" w:right="380" w:hanging="332"/>
        <w:spacing w:after="0" w:line="265"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other operating expenses.</w:t>
      </w:r>
    </w:p>
    <w:p>
      <w:pPr>
        <w:spacing w:after="0" w:line="7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828282"/>
        </w:rPr>
      </w:pPr>
      <w:r>
        <w:rPr>
          <w:rFonts w:ascii="Arial" w:cs="Arial" w:eastAsia="Arial" w:hAnsi="Arial"/>
          <w:sz w:val="18"/>
          <w:szCs w:val="18"/>
          <w:color w:val="828282"/>
        </w:rPr>
        <w:t>Commitments and Contingencies</w:t>
      </w:r>
    </w:p>
    <w:p>
      <w:pPr>
        <w:spacing w:after="0" w:line="119" w:lineRule="exact"/>
        <w:rPr>
          <w:rFonts w:ascii="Arial" w:cs="Arial" w:eastAsia="Arial" w:hAnsi="Arial"/>
          <w:sz w:val="18"/>
          <w:szCs w:val="18"/>
          <w:color w:val="828282"/>
        </w:rPr>
      </w:pPr>
    </w:p>
    <w:p>
      <w:pPr>
        <w:spacing w:after="0"/>
        <w:rPr>
          <w:rFonts w:ascii="Arial" w:cs="Arial" w:eastAsia="Arial" w:hAnsi="Arial"/>
          <w:sz w:val="18"/>
          <w:szCs w:val="18"/>
          <w:color w:val="828282"/>
        </w:rPr>
      </w:pPr>
      <w:r>
        <w:rPr>
          <w:rFonts w:ascii="Arial" w:cs="Arial" w:eastAsia="Arial" w:hAnsi="Arial"/>
          <w:sz w:val="18"/>
          <w:szCs w:val="18"/>
          <w:b w:val="1"/>
          <w:bCs w:val="1"/>
          <w:i w:val="1"/>
          <w:iCs w:val="1"/>
          <w:color w:val="auto"/>
        </w:rPr>
        <w:t>COVID-19 Pandemic</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on our business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the repayment of previously billed and collected revenues and reputational damage.</w:t>
      </w:r>
    </w:p>
    <w:p>
      <w:pPr>
        <w:spacing w:after="0" w:line="6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Kentucky Finance and Administration Cabinet, the Kentucky Cabinet for Health and Family Services, and all of the five winning bidder health plans, including our Kentucky health plan. The appellate briefing has concluded and no assurances can be given regarding the ultimate outcome. Under the Court’s June 16, 2021 final Order, our Kentucky health plan will continue to operate for the foreseeable future under its current Medicaid contract and provide care to Kentucky Medicaid members.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against the Puerto Rico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Administration (“ASES”), asserting, among other claims, breach of contract. On September 13, 2021, ASES filed a counterclaim and a third-party complaint against MHPR and the Company. The parties are currently awaiting the Court’s appointment of a Special Commissioner. This matter is in its early stages and remains subject to significant additional proceedings, and no prediction can be made as to the outcome.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828282"/>
        </w:rPr>
        <w:t>FORWARD-LOOKING STATEMENTS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2021 Annual Report on Form 10-K, including without limitation the following:</w:t>
      </w:r>
    </w:p>
    <w:p>
      <w:pPr>
        <w:spacing w:after="0" w:line="76" w:lineRule="exact"/>
        <w:rPr>
          <w:sz w:val="20"/>
          <w:szCs w:val="20"/>
          <w:color w:val="auto"/>
        </w:rPr>
      </w:pPr>
    </w:p>
    <w:p>
      <w:pPr>
        <w:jc w:val="both"/>
        <w:ind w:left="340" w:right="180" w:hanging="332"/>
        <w:spacing w:after="0" w:line="256" w:lineRule="auto"/>
        <w:tabs>
          <w:tab w:leader="none" w:pos="335" w:val="left"/>
        </w:tabs>
        <w:numPr>
          <w:ilvl w:val="0"/>
          <w:numId w:val="8"/>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 including without limitation the duration of the Public Health Emergency Declaration (“PHE”) and associated suspension in redeterminations, and the potential impact on our workforce or contractors of federal or state vaccine mandates;</w:t>
      </w:r>
    </w:p>
    <w:p>
      <w:pPr>
        <w:ind w:left="340" w:right="18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Passport, Affinity, and the Medicaid assets of Cigna in Texas, and the announced acquisitions of AgeWell New York and My Choice Wisconsin;</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66"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40" w:hanging="332"/>
        <w:spacing w:after="0" w:line="259"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line="234" w:lineRule="auto"/>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42"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spacing w:after="0" w:line="1" w:lineRule="exact"/>
        <w:rPr>
          <w:rFonts w:ascii="Arial" w:cs="Arial" w:eastAsia="Arial" w:hAnsi="Arial"/>
          <w:sz w:val="18"/>
          <w:szCs w:val="18"/>
          <w:i w:val="1"/>
          <w:iCs w:val="1"/>
          <w:color w:val="auto"/>
        </w:rPr>
      </w:pPr>
    </w:p>
    <w:p>
      <w:pPr>
        <w:ind w:left="340" w:right="160" w:hanging="332"/>
        <w:spacing w:after="0" w:line="239" w:lineRule="auto"/>
        <w:tabs>
          <w:tab w:leader="none" w:pos="33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the return of our capital, and the outcome of the claims filed against our Puerto Rico health plan and us by the Puerto Rico Health Insurance Administration, or ASES;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resolution, favorable or unfavorable,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line="234" w:lineRule="auto"/>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ind w:left="340" w:hanging="332"/>
        <w:spacing w:after="0" w:line="242"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Readers should refer to the section entitled “Risk Factors” in our 2021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Molina Healthcare, Inc., a FORTUNE 500 company (currently ranked 125), provides managed healthcare services under the Medicaid and Medicare programs, and through the state insurance marketplaces (the “Marketplace”). We served approximately 5.1 million members as of June 30, 2022, located across 19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828282"/>
        </w:rPr>
        <w:t>SECOND QUARTER 2022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$248 million, or $4.25 per diluted share, for the second quarter of 2022, which reflected the following:</w:t>
      </w:r>
    </w:p>
    <w:p>
      <w:pPr>
        <w:spacing w:after="0" w:line="117" w:lineRule="exact"/>
        <w:rPr>
          <w:sz w:val="20"/>
          <w:szCs w:val="20"/>
          <w:color w:val="auto"/>
        </w:rPr>
      </w:pPr>
    </w:p>
    <w:p>
      <w:pPr>
        <w:ind w:left="660" w:right="28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Membership increase of 422,000, or 9%, compared with June 30, 2021, and a 33,000 sequential increase compared to March 31, 2022;</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revenue of $7.8 billion increased 18% compared with the second quarter of 2021, reflecting the impact of acquisitions, increased organic membership in Medicaid and Medicare, and state directed payments in our Texas Medicaid plan, partially offset by the expected attrition in Marketplace membership;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medical care ratio (“MCR”) was 88.1%, compared with 88.4% for the second quarter of 2021;</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6.8%, which compared with 7.1% in the second quarter of 2021, reflecting the benefits of scale produced by our increase in revenue and disciplined cost management;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After-tax margin of 3.1%, which was in line with our expectations.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note the following factors impacting the 2022 second quarter financial results:</w:t>
      </w:r>
    </w:p>
    <w:p>
      <w:pPr>
        <w:spacing w:after="0" w:line="117" w:lineRule="exact"/>
        <w:rPr>
          <w:sz w:val="20"/>
          <w:szCs w:val="20"/>
          <w:color w:val="auto"/>
        </w:rPr>
      </w:pPr>
    </w:p>
    <w:p>
      <w:pPr>
        <w:ind w:left="660" w:right="12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effect of COVID decreased net income by approximately $0.68 per diluted share and increased the MCR by 60 basis points in the second quarter of 2022. The net effect of COVID decreased net income by approximately $1.00 per diluted share and increased the MCR by 110 basis points in the second quarter of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2021 Marketplace risk adjustment payable decreased net income by approximately $0.44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net investment income that was mainly driven by recent Federal Reserve interest rate increases.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6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50"/>
        </w:trPr>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7,799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15,330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12,889</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6,872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13,435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11,293</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1,596</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88.4 %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87.6 %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87.6 %</w:t>
            </w:r>
          </w:p>
        </w:tc>
      </w:tr>
      <w:tr>
        <w:trPr>
          <w:trHeight w:val="216"/>
        </w:trPr>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19</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r>
      <w:tr>
        <w:trPr>
          <w:trHeight w:val="216"/>
        </w:trPr>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957</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7.2 %</w:t>
            </w:r>
          </w:p>
        </w:tc>
      </w:tr>
      <w:tr>
        <w:trPr>
          <w:trHeight w:val="216"/>
        </w:trPr>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372</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608</w:t>
            </w: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w:t>
            </w: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4.7</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85"/>
        </w:trPr>
        <w:tc>
          <w:tcPr>
            <w:tcW w:w="45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828282"/>
        </w:rPr>
        <w:t>NET INCOME AND OPERATING INCOME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income in the second quarter of 2022 amounted to $248 million, or $4.25 per diluted share, compared with $185 million, or $3.16 per diluted share, in the second quarter of 2021. The 34% increase in net income is consistent with the improvement in operating income, which increased to $361 million in the second quarter of 2022, compared with $273 million in the second quarter of 2021.</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income in the six months ended June 30, 2022 amounted to $506 million, or $8.63 per diluted share, compared with $413 million, or $7.05 per diluted share, in the six months ended June 30, 2021. The 23% increase in net income is consistent with the improvement in operating income of $733 million in the six months ended June 30, 2022, compared with $608 million in the six months ended June 30, 2021.</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improvement in operating income for both periods was mainly due to membership growth and higher premium revenues, and a decrease in MCR for the second quarter of 2022 compared to the prior year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2022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income per share in the second quarter and six months ended June 30, 2022 was favorably impacted by the reduction in common shares outstanding as a result of our share repurchases during the second quarter of 2022. See further discussion in “Liquidity and Financial Condition,”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828282"/>
        </w:rPr>
        <w:t>PREMIUM REVENUE</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Premium revenue increased $1.2 billion, or 18%, in the second quarter of 2022, when compared with the second quarter of 2021, and increased $2.4 billion, or 19%, in the six months ended June 30, 2022, when compared with the six months ended June 30, 2021. The higher premium revenue reflects the impact of acquisitions, increased organic membership in the Medicaid and Medicare segments, and state directed payments in our Texas Medicaid health plan, partially offset by a decline in the Marketplace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828282"/>
        </w:rPr>
        <w:t>MEDICAL CARE RATIO</w:t>
      </w:r>
    </w:p>
    <w:p>
      <w:pPr>
        <w:spacing w:after="0" w:line="11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The consolidated MCR in the second quarter of 2022 was 88.1%, compared with 88.4% in the second quarter of 2021. The net effect of COVID impacted all of our segments and increased the consolidated MCR by approximately 60 basis points in the second quarter of 2022, and approximately 110 basis points in the second quarter of 2021. The year-over-year comparative impact mainly reflects higher COVID-related utilization curtailment, partially offset by higher COVID inpatient costs. The combined impact of state directed payments in our Texas Medicaid health plan and an increase in the 2021 Marketplace risk adjustment payable increased the consolidated MCR by 90 basis points.</w:t>
      </w:r>
    </w:p>
    <w:p>
      <w:pPr>
        <w:spacing w:after="0" w:line="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consolidated MCR in the six months ended June 30, 2022 was 87.6%, and is consistent with the 87.6% MCR for the six months ended June 30, 2021. Similar to the quarter-to-date consolidated MCR, net effect of COVID impacted each period; however, the results were varied by segment. See further explanation in “Segment Financial Performance,” below.</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prior year reserve development in the second quarter and six months ended June 30, 2022 was favorable, and its impact on earnings was partially absorbed by the COVID-related risk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828282"/>
        </w:rPr>
        <w:t>PREMIUM TAX REVENUE AND EXPENSES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2.7% for both the second quarter of 2022 and 2021, and 2.7% and 2.8% for the six months ended June 30, 2022 and 2021, respectively. The current year ratio decrease was mainly due to changes in business mix.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828282"/>
        </w:rPr>
        <w:t>INVESTMENT INCOME</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Investment income increased to $ 22 million in the second quarter of 2022, compared with $ 10 million in the second quarter of 2021, and increased to $33 million in the six months ended June 30, 2022, compared with $19 million in the six months ended June 30, 2021.The improvement in both periods was driven by recent Federal Reserve interest rate increases and higher invested assets. Additionally, investment yields were lower in the first half of 2021 due to a temporary allocation in shorter-term invested assets due to the COVID-19 pandemic, which was rescinded in the second quarter of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828282"/>
        </w:rPr>
        <w:t>OTHER REVENUE</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revenue decreased to $18 million in the second quarter of 2022, compared with $22 million in the second quarter of 2021, and decreased to $38 million in the six months ended June 30, 2022, compared with $42 million in the six months ended June 30, 2021. Other revenue mainly includes service revenue associated with long-term services and supports consultative services we provide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828282"/>
        </w:rPr>
        <w:t>G&amp;A EXPENSES</w:t>
      </w:r>
    </w:p>
    <w:p>
      <w:pPr>
        <w:spacing w:after="0" w:line="1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G&amp;A expense ratio decreased to 6.8% in the second quarter of 2022, compared with 7.1% in the second quarter of 2021. The G&amp;A expense ratio was 7.1% in the six months ended June 30, 2022, compared with 7.2% with the six months ended June 30, 2021, mainly reflecting the benefits of scale produced by our increase in revenue and disciplined cost management. We expect our full year 2022 G&amp;A ratio to be consistent with our long term targets.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828282"/>
        </w:rPr>
        <w:t>DEPRECIATION AND AMORTIZATION</w:t>
      </w:r>
    </w:p>
    <w:p>
      <w:pPr>
        <w:spacing w:after="0" w:line="11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Depreciation and amortization increased to $44 million in the second quarter of 2022, compared with $31 million in the second quarter of 2021, and increased to $84 million in the six months ended June 30, 2022, compared with $64 million in the six months ended June 30,</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2021. The increases in both periods were due primarily to amortization associated with acquisitions completed in the fourth quarter of 2021 and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828282"/>
        </w:rPr>
        <w:t>OTHER OPERATING EXPENSES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operating expenses increased to $11 million in the second quarter of 2022, compared with $8 million in the second quarter of 2021, and decreased to $27 million in the six months ended June 30, 2022, compared with $28 million in the six months ended June 30, 2021. Other operating expenses mainly includes service costs associated with long-term services and supports consultative services we provide in Wisconsin, as noted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828282"/>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to $27 million in the second quarter of 2022, compared with $30 million in the second quarter of 2021, and to</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$55 million in the six months ended June 30, 2022, compared with $60 million in the six months ended June 30, 2021. The decrease resulted from our early redemption of $700 million aggregate principal amount of our 5.375% senior notes due 2022 in the fourth quarter of 2021, partially offset by interest related to the private offering of the 3.875% Notes due 2032 in the same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828282"/>
        </w:rPr>
        <w:t>INCOME TAXES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amounted to $86 million in the second quarter of 2022, or 25.8% of pretax income, compared with income tax expense of $58 million, or 24.2% of pretax income in the second quarter of 2021. Income tax expense amounted to $172 million in the six months ended June 30, 2022, or 25.4% of pretax income, compared with income tax expense of $135 million, or 24.7% of pretax income in the six months ended June 30, 2021. The difference in the effective tax rate is primarily due to the impact of certain discrete tax benefits recognized in the second quarter and the six months ended June 30,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828282"/>
        </w:rPr>
        <w:t>COVID-19 PANDEMIC</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the COVID-19 pandemic continues to evolve, its ongoing impact to our business, results of operations, financial condition, and cash flows is uncertain and difficult to predict. Specific trends and uncertainties related to our Medicaid, Medicare, and Marketplace segments follow.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Effective April 17, 2022, the Biden Administration extended the COVID-19 related PHE, which, among other things, continued the suspension in state Medicaid eligibility redeterminations for 90 days until July 15, 2022. Effective July 15, 2022, the Biden Administration extended the PHE for another 90 days and it will remain in effect until October 13, 2022, unless extended.</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Excluding acquisitions and our exit from Puerto Rico, we added over 750,000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mid-October 2022.</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Beginning in 2020, various states enacted temporary risk corridors in response to the reduced demand for medical services stemming from COVID-19, which have resulted in a reduction of our medical margin. 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three and six months ended June 30, 2022, we recognized approximately $94 million and $122 million, respectively, for the impact of these risk corridors, compared to $ 56 million and $166 million, respectively, recognized in the three and six months ended June 30, 2021. The decrease in 2022 is due to the elimination of several of the COVID-19 risk corridors.</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It is possible that certain states could change the structure of existing risk corridors, implement new risk corridors in the future or discontinue existing risk corridors. Due to these uncertainties, the ultimate outcomes could differ</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materially from our estimates as a result of changes in facts or further developments, which could have an adverse effect on our consolidated financial position, results of operations, or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 experienced in the six months ended June 30, 2022 is likely the result of service deferrals, and so these services will likely be provided to members over the remainder of the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on our business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828282"/>
        </w:rPr>
        <w:t>OTHER RECENT DEVELOPMENTS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Wisconsin Acquisition — 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(“MCW”). As of May 2022, MCW served over 44,000 managed long-term services and supports and core Medicaid members throughout Wisconsin, delivering approximately $ 1 billion in premium revenue for the 12 months ended March 31, 2022.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2022.</w:t>
      </w:r>
    </w:p>
    <w:p>
      <w:pPr>
        <w:spacing w:after="0" w:line="7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The purchase price for the transaction is approximately $ 106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in the fourth quarter of 2022.</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April 2022, we submitted our RFP response. We expect the award to be announced in early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 an effective date of January 2024.</w:t>
      </w:r>
    </w:p>
    <w:p>
      <w:pPr>
        <w:spacing w:after="0" w:line="45"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i w:val="1"/>
          <w:iCs w:val="1"/>
          <w:color w:val="auto"/>
        </w:rPr>
        <w:t xml:space="preserve">Texas Procurement—Medicaid. </w:t>
      </w:r>
      <w:r>
        <w:rPr>
          <w:rFonts w:ascii="Arial" w:cs="Arial" w:eastAsia="Arial" w:hAnsi="Arial"/>
          <w:sz w:val="17"/>
          <w:szCs w:val="17"/>
          <w:color w:val="auto"/>
        </w:rPr>
        <w:t>In March 2022, the Texas Health and Human Services Commission posted the ABD program (known in</w:t>
      </w:r>
      <w:r>
        <w:rPr>
          <w:rFonts w:ascii="Arial" w:cs="Arial" w:eastAsia="Arial" w:hAnsi="Arial"/>
          <w:sz w:val="17"/>
          <w:szCs w:val="17"/>
          <w:i w:val="1"/>
          <w:iCs w:val="1"/>
          <w:color w:val="auto"/>
        </w:rPr>
        <w:t xml:space="preserve"> </w:t>
      </w:r>
      <w:r>
        <w:rPr>
          <w:rFonts w:ascii="Arial" w:cs="Arial" w:eastAsia="Arial" w:hAnsi="Arial"/>
          <w:sz w:val="17"/>
          <w:szCs w:val="17"/>
          <w:color w:val="auto"/>
        </w:rPr>
        <w:t>Texas as STAR+PLUS) RFP, with awards estimated to be announced in the first quarter of 2023, and start of operations in February 2024.</w:t>
      </w:r>
    </w:p>
    <w:p>
      <w:pPr>
        <w:spacing w:after="0" w:line="2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Our new contract in Clark and Washoe Counties commenced on January 1, 2022, and offers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to TANF, CHIP and Medicaid Expansion beneficiaries. The four year contract with a possible two-year extension was ratified in September 2021.</w:t>
      </w:r>
    </w:p>
    <w:p>
      <w:pPr>
        <w:spacing w:after="0" w:line="6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i w:val="1"/>
          <w:iCs w:val="1"/>
          <w:color w:val="auto"/>
        </w:rPr>
        <w:t xml:space="preserve">Marketplace Enrollment. </w:t>
      </w:r>
      <w:r>
        <w:rPr>
          <w:rFonts w:ascii="Arial" w:cs="Arial" w:eastAsia="Arial" w:hAnsi="Arial"/>
          <w:sz w:val="18"/>
          <w:szCs w:val="18"/>
          <w:color w:val="auto"/>
        </w:rPr>
        <w:t>We now expect to end 2022 with approximately 315,000 members, reflecting normal attrition over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and limited special enrollment period growth based on revised eligibility rules and our product design and distribution strategy. This represents an increase compared to our previous estimate of 270,000 members by the end of 2022, resulting from stronger final enrollment and grace period membership.</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Pharmacy. </w:t>
      </w:r>
      <w:r>
        <w:rPr>
          <w:rFonts w:ascii="Arial" w:cs="Arial" w:eastAsia="Arial" w:hAnsi="Arial"/>
          <w:sz w:val="18"/>
          <w:szCs w:val="18"/>
          <w:color w:val="auto"/>
        </w:rPr>
        <w:t>We have entered into an early renewal of our long-standing pharmacy benefit management (“PBM”) agreement with CVS</w:t>
      </w:r>
      <w:r>
        <w:rPr>
          <w:rFonts w:ascii="Arial" w:cs="Arial" w:eastAsia="Arial" w:hAnsi="Arial"/>
          <w:sz w:val="18"/>
          <w:szCs w:val="18"/>
          <w:i w:val="1"/>
          <w:iCs w:val="1"/>
          <w:color w:val="auto"/>
        </w:rPr>
        <w:t xml:space="preserve"> </w:t>
      </w:r>
      <w:r>
        <w:rPr>
          <w:rFonts w:ascii="Arial" w:cs="Arial" w:eastAsia="Arial" w:hAnsi="Arial"/>
          <w:sz w:val="18"/>
          <w:szCs w:val="18"/>
          <w:color w:val="auto"/>
        </w:rPr>
        <w:t>Caremark (“Caremark”). Under the renewal, Caremark will continue to be the exclusive PBM provider to us and our health plan subsidiaries through December 31, 2026. The renewal includes improvements to network rates and administrative costs as well as improved terms around performance standards. Caremark’s services to Molina include, among other things, pharmacy network management, mail order, specialty pharmacy, pharmacy claims processing, and pharmaceutical rebate management.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We intend to move permanently to a remote work environment, a model we have been working under successfully for nearly</w:t>
      </w:r>
      <w:r>
        <w:rPr>
          <w:rFonts w:ascii="Arial" w:cs="Arial" w:eastAsia="Arial" w:hAnsi="Arial"/>
          <w:sz w:val="18"/>
          <w:szCs w:val="18"/>
          <w:i w:val="1"/>
          <w:iCs w:val="1"/>
          <w:color w:val="auto"/>
        </w:rPr>
        <w:t xml:space="preserve"> </w:t>
      </w:r>
      <w:r>
        <w:rPr>
          <w:rFonts w:ascii="Arial" w:cs="Arial" w:eastAsia="Arial" w:hAnsi="Arial"/>
          <w:sz w:val="18"/>
          <w:szCs w:val="18"/>
          <w:color w:val="auto"/>
        </w:rPr>
        <w:t>two years. As a result, we expect to formalize a reduction of our real estate footprint by the end of the year, which will yield substantial and sustainable G&amp;A expense savings.</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2021 Annual Report on Form 10-K, “Item 1. Business—Our Business,” and “—Legislative and Political Environment.”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June 30, 2022, we served approximately 5.1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828282"/>
        </w:rPr>
        <w:t>SEGMENT MEMBERSHIP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r>
      <w:tr>
        <w:trPr>
          <w:trHeight w:val="204"/>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4,610,000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4,329,000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3,928,000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151,000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142,000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130,000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357,000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638,000</w:t>
            </w:r>
          </w:p>
        </w:tc>
      </w:tr>
      <w:tr>
        <w:trPr>
          <w:trHeight w:val="210"/>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5,118,000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5,199,000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4,696,000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88.0 %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551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89.0 %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101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88.1 %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764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88.4 %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line="157"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88.1 %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1,155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88.3 %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178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15,330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1,596</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Medicaid premium revenue increased $1.3 billion, or 25% in the second quarter of 2022, when compared with the second quarter of 2021. Medicaid premium revenue increased $2.4 billion, or 24% in the six months ended June 30, 2022, when compared with the six months ended June 30, 2021. The increases in both periods were mainly due to organic membership growth, including Nevada, the impact from the Affinity and Cigna acquisitions that closed in the fourth quarter of 2021 and in January 2022, respectively, and state directed payments in our Texas health plan. Excluding the acquisitions, the membership growth was across several states and was mainly driven by the extension of the PHE period and the associated suspension of membership redeterminations due to COVID-19.</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described above in “Trends and Uncertainties,” we recognized approximately $94 million and $122 million in the second quarter and six months ended June 30, 2022, respectively, for the impact of risk corridors enacted in several states since the second quarter of 2020, in response to the lower utilization of medical services resulting from COVID-19. We recognized approximately $56 million and $166 million, respectively, for the impact of such risk corridors in the second quarter and six months ended June 30, 2021. The decrease was due to the elimination of most of the COVID-19 risk corridors.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medical margin in our Medicaid program increased $204 million, or 37%, in the second quarter of 2022 when compared with the second quarter of 2021, and increased $310 million, or 27%, in the six months ended June 30, 2022 when compared with the six months ended June 30, 2021. The increase in margin in both periods was driven by the increased membership growth and premium revenues discussed above and the MCR decrease discussed below.</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Medicaid MCR decreased to 88.0% in the second quarter of 2022, from 89.0% in the second quarter of 2021, and decreased to 88.1% in the six months ended June 30, 2022, from 88.3% in the six months ended June 30, 2021. The decrease for both periods is mainly attributable to improved operations, including medical cost management, lower utilization and the year-over-year change in the net effect of COVID, partially offset by the impact of state directed payments in our Texas health plan. The year-over-year change in the net effect of COVID for the second quarter of 2022 reflects an increase in COVID-related utilization curtailment, partially offset by an increase in COVID-related inpatient costs. The 2022 Medicaid MCR is consistent with our long-term target despite the net effect of COVID and other impacts.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Medicare premium revenue increased $143 million, or 18%, in the second quarter of 2022 compared to the second quarter of 2021, and increased $287 million, or 18%, in the six months ended June 30, 2022 compared to the six months ended June 30, 2021. The increase was primarily due to the impact of product expansion and organic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2022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membership growth in existing states, partially offset by lower premium revenue PMPM from the change in business mix.</w:t>
      </w:r>
    </w:p>
    <w:p>
      <w:pPr>
        <w:spacing w:after="0" w:line="11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medical margin for Medicare increased $23 million in the second quarter of 2022, and increased $74 million in the six months ended June 30, 2022, when compared to the same periods in 2021. The year-over-year changes in margin are mainly due to the increase in premium revenues and the improvement in the MCR discussed below.</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Medicare MCR decreased to 86.9% in the second quarter of 2022, from 87.6% in the second quarter of 2021, or 70 basis points. The Medicare MCR decreased to 86.7% in the six months ended June 30, 2022, compared to 89.0% in the six months ended June 30, 2021, or 230 basis points. The improvement in both periods was primarily driven by improved operating performance, including higher risk scores that more closely reflect the acuity of our membership, and strong medical cost management, partially offset by the change in business mix. The 2022 Medicare MCR is lower than our long-term target.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Marketplace premium revenue decreased $194 million in the second quarter of 2022 compared to the second quarter of 2021, and decreased $253 million in the six months ended June 30, 2022 compared to the six months ended June 30, 2021. The decrease was mainly due to expected attrition of membership, partially offset by an increase in premium revenue PMPM. Our Marketplace membership as of June 30, 2022, amounted to 357,000 members, representing a decrease of 281,000 members compared to June 30, 2021. The increase in premium revenue PMPM is consistent with the product and pricing strategy, reflecting an increase of members in the silver metal tier and a decrease of members in the bronze metal tier, partially offset by an increase in the 2021 risk adjustment payable that was finalized in June 2022.</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Marketplace medical margin decreased $64 million in the second quarter of 2022 when compared with the second quarter of 2021, and decreased $85 million in the six months ended June 30, 2022 when compared with the six months ended June 30, 2021. The decrease in both periods is primarily due to the net decrease in membership and premiums, and the increase in the MCR described below.</w:t>
      </w:r>
    </w:p>
    <w:p>
      <w:pPr>
        <w:spacing w:after="0" w:line="6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Marketplace MCR increased to 91.2% in the second quarter of 2022, compared to 84.8% in the second quarter of 2021, or 640 basis points, and increased to 84.5% in the six months ended June 30, 2022, compared to 81.2% in the six months ended June 30, 2021, or 330 basis points. The increase for both periods resulted mainly from the increase in the 2021 risk adjustment payable discussed above. Results in 2022 also reflect changes in membership mix that includes higher acuity members, partially offset by the year-over-year change in the net effect of COVID. We are incurring less MCR seasonality relative to the prior year, due to the lower deductibles in the silver metal tier product.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second quarters of and six months ended June 30, 2022 and 2021,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half of 2022, we did not experience noticeable delays to, or changes in, the timing or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7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regulated health plan subsidiaries is generally paid in the form of dividends to our parent company to be used for general corporate purposes. In the second quarter and six months ended June 30, 2022, the parent company received $165 million and $280 million, respectively, in dividends and return of capital from the regulated health plan subsidiaries. See further discussion of dividends below in “Future Sources and Uses of Liquidity—Future Sources.”</w:t>
      </w:r>
    </w:p>
    <w:p>
      <w:pPr>
        <w:spacing w:after="0" w:line="6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In the second quarter and six months ended June 30, 2022, the parent company contributed capital of $10 million and $29 million, respectively, to the regulated health plan subsidiaries.</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Cash, cash equivalents and investments at the parent company amounted to $210 million and $348 million as of June 30, 2022, and December 31, 2021, respectively. The decrease as of June 30, 2022, was primarily due to our share repurchase program and the timing of corporate payments and capital contributions to regulated health plan subsidiaries, partially offset by dividends received from regulated health plan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 Our investment policy has directives in conjunction with state guidelines to minimize risks and exposures in volatile markets. Additionally, our portfolio managers assist us in navigating volatility in the capital markets.</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42"/>
        </w:trPr>
        <w:tc>
          <w:tcPr>
            <w:tcW w:w="6680" w:type="dxa"/>
            <w:vAlign w:val="bottom"/>
          </w:tcPr>
          <w:p>
            <w:pPr>
              <w:ind w:left="140"/>
              <w:spacing w:after="0" w:line="142" w:lineRule="exact"/>
              <w:rPr>
                <w:sz w:val="20"/>
                <w:szCs w:val="20"/>
                <w:color w:val="auto"/>
              </w:rPr>
            </w:pPr>
            <w:r>
              <w:rPr>
                <w:rFonts w:ascii="Arial" w:cs="Arial" w:eastAsia="Arial" w:hAnsi="Arial"/>
                <w:sz w:val="16"/>
                <w:szCs w:val="16"/>
                <w:color w:val="auto"/>
              </w:rPr>
              <w:t>Net (decrease) increase in cash, cash equivalents, and restricted cash and cash</w:t>
            </w:r>
          </w:p>
        </w:tc>
        <w:tc>
          <w:tcPr>
            <w:tcW w:w="940" w:type="dxa"/>
            <w:vAlign w:val="bottom"/>
            <w:vMerge w:val="restart"/>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94"/>
        </w:trPr>
        <w:tc>
          <w:tcPr>
            <w:tcW w:w="668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provided by operations for the six months ended June 30, 2022 was $731 million, compared with $1,061 million in the six months ended June 30, 2021. The $ 330 million decrease in cash flow was due to the net impact of timing differences in government receivables and payables and partially offset by an increase in net earnings.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cash used in investing activities was $591 million in the six months ended June 30, 2022, compared with $408 million used in investing activities in the six months ended June 30, 2021, a decrease in cash flow of $183 million. This decrease in cash flow was primarily due to the net activity of proceeds and purchases of investments in the six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used in financing activities was $ 268 million in the six months ended June 30, 2022, compared with $200 million used in the six months ended June 30, 2021, a decrease in cash flow of $68 million. In the six months ended June 30, 2022, financing cash outflows included common stock purchases of $200 million and $53 million for common stock withheld to settle employee tax obligations. In the six months ended June 30, 2021, financing cash outflows included common stock purchases of $ 128 million and $52 million for common stock withheld to settle employee tax obligations. Additionally, we paid $20 million in each of the six months ended June 30, 2022 and 2021 to settle contingent consideration liabilities relating to our Kentucky Passport acquisition that closed in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828282"/>
        </w:rPr>
        <w:t>FINANCIAL CONDITION</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On a consolidated basis, at June 30, 2022, our working capital was $3.1 billion, compared with $ 3.0 billion at December 31, 2021. At June 30, 2022, our cash and investments amounted to $8.1 billion, compared with $7.9 billion at December 31, 2021.</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$2.2 billion at June 30, 2022, compared with $2.1 billion at December 31, 2021. The aggregate capital and surplus of our regulated, wholly owned subsidiaries was in excess of these minimum capital requirements as of both dates.</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regulated, wholly owned subsidiaries without prior approval by regulatory authorities as of June 30, 2022, was approximately $170 million in the aggregate. These subsidiaries may pay dividends over this amount, but only after approval is granted by the regulatory authorities.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our cash and investments balances as of June 30, 2022,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future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June 30, 2022, we were in compliance with all financial and non-financial covenants under the Credit Agreement and senior notes.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added over 750,000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mid-October 2022.</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further restrict the ability of our regulated health plan subsidiaries to pay dividends to the parent company, which would reduce the liquidity of the parent company.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June 30, 2022,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2021, our board of directors authorized the purchase of up to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July 27, 2022, $300 million remained available to purchase our common stock under this program through December 31, 2022.</w:t>
      </w:r>
    </w:p>
    <w:p>
      <w:pPr>
        <w:spacing w:after="0" w:line="7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July 13, 2022, we announced a definitive agreement to acquire substantially all the assets of My Choice Wisconsin</w:t>
      </w:r>
      <w:r>
        <w:rPr>
          <w:rFonts w:ascii="Arial" w:cs="Arial" w:eastAsia="Arial" w:hAnsi="Arial"/>
          <w:sz w:val="18"/>
          <w:szCs w:val="18"/>
          <w:i w:val="1"/>
          <w:iCs w:val="1"/>
          <w:color w:val="auto"/>
        </w:rPr>
        <w:t xml:space="preserve"> </w:t>
      </w:r>
      <w:r>
        <w:rPr>
          <w:rFonts w:ascii="Arial" w:cs="Arial" w:eastAsia="Arial" w:hAnsi="Arial"/>
          <w:sz w:val="18"/>
          <w:szCs w:val="18"/>
          <w:color w:val="auto"/>
        </w:rPr>
        <w:t>(“MCW”). As of May 2022, MCW served over 44,000 managed long-term services and supports and core Medicaid members throughout Wisconsin, delivering approximately $1 billion in premium revenue for the 12 months ended March 31, 2022.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2022.</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October 7, 2021, we announced a definitive agreement to acquire the Medicaid Managed Long Term Care business of AgeWell New York. The purchase price for the transaction is approximately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in the fourth quarter of 2022.</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above in “Trends and Uncertainties,” we have been subject to Medicaid risk corridors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pandemic. 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Since the second quarter of 2020, we have recognized risk corridors that we believe to be probable, and where the ultimate premium amount is reasonably estimable. For the three and six months ended June 30, 2022, we recognized approximately $94 million and $122 million, respectively, related to such risk corridors, primarily in the Medicaid segment.</w:t>
      </w:r>
    </w:p>
    <w:p>
      <w:pPr>
        <w:spacing w:after="0" w:line="7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We have the ability, and have committed to provide, additional capital to each of our health plans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ensure compliance with statutory capital and surplus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2021, was disclosed in our 2021 Annual Report on Form 10-K.</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six months ended June 30, 2022.</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5" w:lineRule="exact"/>
        <w:rPr>
          <w:sz w:val="20"/>
          <w:szCs w:val="20"/>
          <w:color w:val="auto"/>
        </w:rPr>
      </w:pPr>
    </w:p>
    <w:p>
      <w:pPr>
        <w:ind w:left="660" w:right="180" w:hanging="328"/>
        <w:spacing w:after="0" w:line="259"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7,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2022 there were no significant changes to our disclosure reported in “Critical Accounting Estimates” in our 2021 Annual Report on Form 10-K.</w:t>
      </w:r>
    </w:p>
    <w:p>
      <w:pPr>
        <w:spacing w:after="0" w:line="71" w:lineRule="exact"/>
        <w:rPr>
          <w:rFonts w:ascii="Arial" w:cs="Arial" w:eastAsia="Arial" w:hAnsi="Arial"/>
          <w:sz w:val="18"/>
          <w:szCs w:val="18"/>
          <w:i w:val="1"/>
          <w:iCs w:val="1"/>
          <w:color w:val="auto"/>
        </w:rPr>
      </w:pPr>
    </w:p>
    <w:p>
      <w:pPr>
        <w:jc w:val="both"/>
        <w:ind w:left="660" w:right="380" w:hanging="328"/>
        <w:spacing w:after="0" w:line="31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21" w:lineRule="exact"/>
        <w:rPr>
          <w:rFonts w:ascii="Arial" w:cs="Arial" w:eastAsia="Arial" w:hAnsi="Arial"/>
          <w:sz w:val="17"/>
          <w:szCs w:val="17"/>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six months ended June 30, 2022, there were no significant changes to our disclosure reported in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in our 2021 Annual Report on Form 10-K.</w:t>
      </w:r>
    </w:p>
    <w:p>
      <w:pPr>
        <w:spacing w:after="0" w:line="44" w:lineRule="exact"/>
        <w:rPr>
          <w:rFonts w:ascii="Arial" w:cs="Arial" w:eastAsia="Arial" w:hAnsi="Arial"/>
          <w:sz w:val="18"/>
          <w:szCs w:val="18"/>
          <w:i w:val="1"/>
          <w:iCs w:val="1"/>
          <w:color w:val="auto"/>
        </w:rPr>
      </w:pPr>
    </w:p>
    <w:p>
      <w:pPr>
        <w:ind w:left="660" w:right="600" w:hanging="328"/>
        <w:spacing w:after="0" w:line="28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six months ended June 30, 2022, there were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our disclosure reported in “Critical Accounting Estimates” in our 2021 Annual Report on Form 10-K.</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2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2022, the fair value of our fixed income investments would decrease by approximately $87 million. Declines in interest rates over time will reduce our investment income.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reports that we file or submit under the Securities Exchange Act is recorded, processed, summarized, and reported within the time periods specified in the SEC’s rules and forms.</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that materially affected, or are reasonably likely to materially affect, our internal controls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2021 Annual Report on Form 10-K. The risk factors described in our 2021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828282"/>
        </w:rPr>
        <w:t>ISSUER PURCHASES OF EQUITY SECURITIES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Purchases of common stock made by us, or on our behalf, during the second quarter of 2022,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339.41</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446,000,000</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314,000</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350,000,000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339.41</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2" w:lineRule="exact"/>
        <w:rPr>
          <w:sz w:val="20"/>
          <w:szCs w:val="20"/>
          <w:color w:val="auto"/>
        </w:rPr>
      </w:pPr>
    </w:p>
    <w:p>
      <w:pPr>
        <w:ind w:left="340" w:right="40" w:hanging="332"/>
        <w:spacing w:after="0" w:line="256"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2022, we withheld approximately 3,000 shares of common stock, to settle employee income tax obligations, for releases of awards granted under the Molina Healthcare, Inc. 2019 Equity Incentive Plan.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the accompanying Notes to Financial Statements, Note 9, “Stockholders' Equity.”</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20" w:type="dxa"/>
            <w:vAlign w:val="bottom"/>
          </w:tcPr>
          <w:p>
            <w:pPr>
              <w:spacing w:after="0"/>
              <w:rPr>
                <w:sz w:val="16"/>
                <w:szCs w:val="16"/>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Title</w:t>
            </w:r>
          </w:p>
        </w:tc>
        <w:tc>
          <w:tcPr>
            <w:tcW w:w="4420" w:type="dxa"/>
            <w:vAlign w:val="bottom"/>
          </w:tcPr>
          <w:p>
            <w:pPr>
              <w:ind w:left="20"/>
              <w:spacing w:after="0"/>
              <w:rPr>
                <w:sz w:val="20"/>
                <w:szCs w:val="20"/>
                <w:color w:val="auto"/>
              </w:rPr>
            </w:pPr>
            <w:r>
              <w:rPr>
                <w:rFonts w:ascii="Arial" w:cs="Arial" w:eastAsia="Arial" w:hAnsi="Arial"/>
                <w:sz w:val="14"/>
                <w:szCs w:val="14"/>
                <w:color w:val="auto"/>
              </w:rPr>
              <w:t>Method of Filing</w:t>
            </w:r>
          </w:p>
        </w:tc>
      </w:tr>
      <w:tr>
        <w:trPr>
          <w:trHeight w:val="173"/>
        </w:trPr>
        <w:tc>
          <w:tcPr>
            <w:tcW w:w="104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7"/>
          </w:tcPr>
          <w:p>
            <w:pPr>
              <w:spacing w:after="0" w:line="173" w:lineRule="exact"/>
              <w:rPr>
                <w:sz w:val="20"/>
                <w:szCs w:val="20"/>
                <w:color w:val="auto"/>
              </w:rPr>
            </w:pPr>
            <w:r>
              <w:rPr>
                <w:rFonts w:ascii="Arial" w:cs="Arial" w:eastAsia="Arial" w:hAnsi="Arial"/>
                <w:sz w:val="16"/>
                <w:szCs w:val="16"/>
                <w:color w:val="0F7C7F"/>
              </w:rPr>
              <w:t>Section 302 Certification of Chief Executive Officer</w:t>
            </w:r>
          </w:p>
        </w:tc>
        <w:tc>
          <w:tcPr>
            <w:tcW w:w="120" w:type="dxa"/>
            <w:vAlign w:val="bottom"/>
          </w:tcPr>
          <w:p>
            <w:pPr>
              <w:spacing w:after="0"/>
              <w:rPr>
                <w:sz w:val="15"/>
                <w:szCs w:val="15"/>
                <w:color w:val="auto"/>
              </w:rPr>
            </w:pPr>
          </w:p>
        </w:tc>
        <w:tc>
          <w:tcPr>
            <w:tcW w:w="442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2040" w:type="dxa"/>
            <w:vAlign w:val="bottom"/>
            <w:gridSpan w:val="6"/>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6"/>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660" w:type="dxa"/>
            <w:vAlign w:val="bottom"/>
            <w:gridSpan w:val="8"/>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line="183" w:lineRule="exact"/>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8"/>
                <w:szCs w:val="18"/>
                <w:color w:val="auto"/>
              </w:rPr>
            </w:pPr>
          </w:p>
        </w:tc>
      </w:tr>
      <w:tr>
        <w:trPr>
          <w:trHeight w:val="215"/>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4"/>
        </w:trPr>
        <w:tc>
          <w:tcPr>
            <w:tcW w:w="10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line="164" w:lineRule="exact"/>
              <w:rPr>
                <w:sz w:val="20"/>
                <w:szCs w:val="20"/>
                <w:color w:val="auto"/>
              </w:rPr>
            </w:pPr>
            <w:r>
              <w:rPr>
                <w:rFonts w:ascii="Arial" w:cs="Arial" w:eastAsia="Arial" w:hAnsi="Arial"/>
                <w:sz w:val="16"/>
                <w:szCs w:val="16"/>
                <w:color w:val="auto"/>
              </w:rPr>
              <w:t>Filed herewith.</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28, 2022</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28, 2022</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2022 Form 10-Q | 36</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2022, of Molina Healthcare, Inc.;</w:t>
      </w:r>
    </w:p>
    <w:p>
      <w:pPr>
        <w:spacing w:after="0" w:line="117" w:lineRule="exact"/>
        <w:rPr>
          <w:rFonts w:ascii="Arial" w:cs="Arial" w:eastAsia="Arial" w:hAnsi="Arial"/>
          <w:sz w:val="18"/>
          <w:szCs w:val="18"/>
          <w:color w:val="auto"/>
        </w:rPr>
      </w:pPr>
    </w:p>
    <w:p>
      <w:pPr>
        <w:ind w:right="6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2" w:lineRule="exact"/>
        <w:rPr>
          <w:rFonts w:ascii="Arial" w:cs="Arial" w:eastAsia="Arial" w:hAnsi="Arial"/>
          <w:sz w:val="18"/>
          <w:szCs w:val="18"/>
          <w:color w:val="auto"/>
        </w:rPr>
      </w:pPr>
    </w:p>
    <w:p>
      <w:pPr>
        <w:ind w:right="160" w:firstLine="453"/>
        <w:spacing w:after="0" w:line="318" w:lineRule="auto"/>
        <w:tabs>
          <w:tab w:leader="none" w:pos="6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1" w:lineRule="exact"/>
        <w:rPr>
          <w:rFonts w:ascii="Arial" w:cs="Arial" w:eastAsia="Arial" w:hAnsi="Arial"/>
          <w:sz w:val="17"/>
          <w:szCs w:val="17"/>
          <w:color w:val="auto"/>
        </w:rPr>
      </w:pPr>
    </w:p>
    <w:p>
      <w:pPr>
        <w:ind w:right="4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00" w:firstLine="899"/>
        <w:spacing w:after="0" w:line="268"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right="26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2022, of Molina Healthcare, Inc.;</w:t>
      </w:r>
    </w:p>
    <w:p>
      <w:pPr>
        <w:spacing w:after="0" w:line="117" w:lineRule="exact"/>
        <w:rPr>
          <w:rFonts w:ascii="Arial" w:cs="Arial" w:eastAsia="Arial" w:hAnsi="Arial"/>
          <w:sz w:val="18"/>
          <w:szCs w:val="18"/>
          <w:color w:val="auto"/>
        </w:rPr>
      </w:pPr>
    </w:p>
    <w:p>
      <w:pPr>
        <w:ind w:right="6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2" w:lineRule="exact"/>
        <w:rPr>
          <w:rFonts w:ascii="Arial" w:cs="Arial" w:eastAsia="Arial" w:hAnsi="Arial"/>
          <w:sz w:val="18"/>
          <w:szCs w:val="18"/>
          <w:color w:val="auto"/>
        </w:rPr>
      </w:pPr>
    </w:p>
    <w:p>
      <w:pPr>
        <w:ind w:right="160" w:firstLine="453"/>
        <w:spacing w:after="0" w:line="318"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1" w:lineRule="exact"/>
        <w:rPr>
          <w:rFonts w:ascii="Arial" w:cs="Arial" w:eastAsia="Arial" w:hAnsi="Arial"/>
          <w:sz w:val="17"/>
          <w:szCs w:val="17"/>
          <w:color w:val="auto"/>
        </w:rPr>
      </w:pPr>
    </w:p>
    <w:p>
      <w:pPr>
        <w:ind w:right="4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00" w:firstLine="899"/>
        <w:spacing w:after="0" w:line="268"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right="26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90" w:right="339" w:bottom="1440" w:gutter="0" w:footer="0" w:header="0"/>
        </w:sectPr>
      </w:pPr>
    </w:p>
    <w:bookmarkStart w:id="38" w:name="page39"/>
    <w:bookmarkEnd w:id="38"/>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2022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90" w:right="339" w:bottom="1440" w:gutter="0" w:footer="0" w:header="0"/>
        </w:sectPr>
      </w:pPr>
    </w:p>
    <w:bookmarkStart w:id="39" w:name="page40"/>
    <w:bookmarkEnd w:id="39"/>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0" w:firstLine="445"/>
        <w:spacing w:after="0" w:line="268"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2022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2022-07-28T09:37:03Z</dcterms:created>
  <dcterms:modified xsi:type="dcterms:W3CDTF">2022-07-28T09:37:03Z</dcterms:modified>
</cp:coreProperties>
</file>