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68580</wp:posOffset>
            </wp:positionV>
            <wp:extent cx="4354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80" w:hanging="654"/>
        <w:spacing w:after="0" w:line="183" w:lineRule="auto"/>
        <w:tabs>
          <w:tab w:leader="none" w:pos="68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2023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48895</wp:posOffset>
            </wp:positionV>
            <wp:extent cx="442341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95" w:lineRule="exact"/>
        <w:rPr>
          <w:sz w:val="24"/>
          <w:szCs w:val="24"/>
          <w:color w:val="auto"/>
        </w:rPr>
      </w:pPr>
    </w:p>
    <w:tbl>
      <w:tblPr>
        <w:tblLayout w:type="fixed"/>
        <w:tblInd w:w="1900" w:type="dxa"/>
        <w:tblCellMar>
          <w:top w:w="0" w:type="dxa"/>
          <w:left w:w="0" w:type="dxa"/>
          <w:bottom w:w="0" w:type="dxa"/>
          <w:right w:w="0" w:type="dxa"/>
        </w:tblCellMar>
      </w:tblPr>
      <w:tr>
        <w:trPr>
          <w:trHeight w:val="227"/>
        </w:trPr>
        <w:tc>
          <w:tcPr>
            <w:tcW w:w="4120" w:type="dxa"/>
            <w:vAlign w:val="bottom"/>
          </w:tcPr>
          <w:p>
            <w:pPr>
              <w:jc w:val="center"/>
              <w:ind w:right="1344"/>
              <w:spacing w:after="0"/>
              <w:rPr>
                <w:sz w:val="20"/>
                <w:szCs w:val="20"/>
                <w:color w:val="auto"/>
              </w:rPr>
            </w:pPr>
            <w:r>
              <w:rPr>
                <w:rFonts w:ascii="Arial" w:cs="Arial" w:eastAsia="Arial" w:hAnsi="Arial"/>
                <w:sz w:val="16"/>
                <w:szCs w:val="16"/>
                <w:b w:val="1"/>
                <w:bCs w:val="1"/>
                <w:color w:val="auto"/>
                <w:w w:val="99"/>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56"/>
        </w:trPr>
        <w:tc>
          <w:tcPr>
            <w:tcW w:w="4120" w:type="dxa"/>
            <w:vAlign w:val="bottom"/>
          </w:tcPr>
          <w:p>
            <w:pPr>
              <w:jc w:val="center"/>
              <w:ind w:right="1344"/>
              <w:spacing w:after="0" w:line="156" w:lineRule="exact"/>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line="156" w:lineRule="exact"/>
              <w:rPr>
                <w:sz w:val="20"/>
                <w:szCs w:val="20"/>
                <w:color w:val="auto"/>
              </w:rPr>
            </w:pPr>
            <w:r>
              <w:rPr>
                <w:rFonts w:ascii="Arial" w:cs="Arial" w:eastAsia="Arial" w:hAnsi="Arial"/>
                <w:sz w:val="14"/>
                <w:szCs w:val="14"/>
                <w:b w:val="1"/>
                <w:bCs w:val="1"/>
                <w:color w:val="auto"/>
              </w:rPr>
              <w:t>(I.R.S. Employer</w:t>
            </w:r>
          </w:p>
        </w:tc>
      </w:tr>
      <w:tr>
        <w:trPr>
          <w:trHeight w:val="200"/>
        </w:trPr>
        <w:tc>
          <w:tcPr>
            <w:tcW w:w="412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54"/>
        </w:trPr>
        <w:tc>
          <w:tcPr>
            <w:tcW w:w="412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2"/>
                <w:szCs w:val="22"/>
                <w:color w:val="auto"/>
              </w:rPr>
            </w:pPr>
          </w:p>
        </w:tc>
      </w:tr>
      <w:tr>
        <w:trPr>
          <w:trHeight w:val="221"/>
        </w:trPr>
        <w:tc>
          <w:tcPr>
            <w:tcW w:w="4120" w:type="dxa"/>
            <w:vAlign w:val="bottom"/>
          </w:tcPr>
          <w:p>
            <w:pPr>
              <w:jc w:val="center"/>
              <w:ind w:right="1364"/>
              <w:spacing w:after="0"/>
              <w:rPr>
                <w:sz w:val="20"/>
                <w:szCs w:val="20"/>
                <w:color w:val="auto"/>
              </w:rPr>
            </w:pPr>
            <w:r>
              <w:rPr>
                <w:rFonts w:ascii="Arial" w:cs="Arial" w:eastAsia="Arial" w:hAnsi="Arial"/>
                <w:sz w:val="16"/>
                <w:szCs w:val="16"/>
                <w:b w:val="1"/>
                <w:bCs w:val="1"/>
                <w:color w:val="auto"/>
              </w:rPr>
              <w:t>Long Beach, California</w:t>
            </w:r>
          </w:p>
        </w:tc>
        <w:tc>
          <w:tcPr>
            <w:tcW w:w="2640" w:type="dxa"/>
            <w:vAlign w:val="bottom"/>
          </w:tcPr>
          <w:p>
            <w:pPr>
              <w:jc w:val="right"/>
              <w:ind w:right="324"/>
              <w:spacing w:after="0"/>
              <w:rPr>
                <w:sz w:val="20"/>
                <w:szCs w:val="20"/>
                <w:color w:val="auto"/>
              </w:rPr>
            </w:pPr>
            <w:r>
              <w:rPr>
                <w:rFonts w:ascii="Arial" w:cs="Arial" w:eastAsia="Arial" w:hAnsi="Arial"/>
                <w:sz w:val="16"/>
                <w:szCs w:val="16"/>
                <w:b w:val="1"/>
                <w:bCs w:val="1"/>
                <w:color w:val="auto"/>
              </w:rPr>
              <w:t>90802</w:t>
            </w:r>
          </w:p>
        </w:tc>
      </w:tr>
      <w:tr>
        <w:trPr>
          <w:trHeight w:val="200"/>
        </w:trPr>
        <w:tc>
          <w:tcPr>
            <w:tcW w:w="4120" w:type="dxa"/>
            <w:vAlign w:val="bottom"/>
          </w:tcPr>
          <w:p>
            <w:pPr>
              <w:jc w:val="center"/>
              <w:ind w:right="136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24"/>
              <w:spacing w:after="0"/>
              <w:rPr>
                <w:sz w:val="20"/>
                <w:szCs w:val="20"/>
                <w:color w:val="auto"/>
              </w:rPr>
            </w:pPr>
            <w:r>
              <w:rPr>
                <w:rFonts w:ascii="Arial" w:cs="Arial" w:eastAsia="Arial" w:hAnsi="Arial"/>
                <w:sz w:val="14"/>
                <w:szCs w:val="14"/>
                <w:b w:val="1"/>
                <w:bCs w:val="1"/>
                <w:color w:val="auto"/>
              </w:rPr>
              <w:t>(Zip Code)</w:t>
            </w:r>
          </w:p>
        </w:tc>
      </w:tr>
    </w:tbl>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134620</wp:posOffset>
            </wp:positionV>
            <wp:extent cx="4423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95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1"/>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MOH</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52" w:lineRule="exact"/>
        <w:rPr>
          <w:sz w:val="24"/>
          <w:szCs w:val="24"/>
          <w:color w:val="auto"/>
        </w:rPr>
      </w:pPr>
    </w:p>
    <w:p>
      <w:pPr>
        <w:jc w:val="both"/>
        <w:ind w:right="4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jc w:val="both"/>
        <w:ind w:right="460"/>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43" w:lineRule="exact"/>
        <w:rPr>
          <w:sz w:val="24"/>
          <w:szCs w:val="24"/>
          <w:color w:val="auto"/>
        </w:rPr>
      </w:pPr>
    </w:p>
    <w:p>
      <w:pPr>
        <w:ind w:right="12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21, 2023, was approximately 58,300,000.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 THE QUARTERLY PERIOD ENDED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gridSpan w:val="11"/>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4"/>
              </w:rPr>
              <w:t>Page</w:t>
            </w:r>
          </w:p>
        </w:tc>
      </w:tr>
      <w:tr>
        <w:trPr>
          <w:trHeight w:val="297"/>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gridSpan w:val="3"/>
          </w:tcPr>
          <w:p>
            <w:pPr>
              <w:ind w:left="1780"/>
              <w:spacing w:after="0"/>
              <w:rPr>
                <w:sz w:val="20"/>
                <w:szCs w:val="20"/>
                <w:color w:val="auto"/>
              </w:rPr>
            </w:pPr>
            <w:r>
              <w:rPr>
                <w:rFonts w:ascii="Arial" w:cs="Arial" w:eastAsia="Arial" w:hAnsi="Arial"/>
                <w:sz w:val="16"/>
                <w:szCs w:val="16"/>
                <w:b w:val="1"/>
                <w:bCs w:val="1"/>
                <w:color w:val="auto"/>
              </w:rPr>
              <w:t>PART I</w:t>
            </w:r>
          </w:p>
        </w:tc>
        <w:tc>
          <w:tcPr>
            <w:tcW w:w="3840" w:type="dxa"/>
            <w:vAlign w:val="bottom"/>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20" w:type="dxa"/>
            <w:vAlign w:val="bottom"/>
          </w:tcPr>
          <w:p>
            <w:pPr>
              <w:ind w:left="20"/>
              <w:spacing w:after="0"/>
              <w:rPr>
                <w:sz w:val="20"/>
                <w:szCs w:val="20"/>
                <w:color w:val="auto"/>
              </w:rPr>
            </w:pPr>
            <w:r>
              <w:rPr>
                <w:rFonts w:ascii="Arial" w:cs="Arial" w:eastAsia="Arial" w:hAnsi="Arial"/>
                <w:sz w:val="16"/>
                <w:szCs w:val="16"/>
                <w:color w:val="auto"/>
              </w:rPr>
              <w:t>1.</w:t>
            </w:r>
          </w:p>
        </w:tc>
        <w:tc>
          <w:tcPr>
            <w:tcW w:w="1520" w:type="dxa"/>
            <w:vAlign w:val="bottom"/>
            <w:gridSpan w:val="6"/>
          </w:tcPr>
          <w:p>
            <w:pPr>
              <w:spacing w:after="0"/>
              <w:rPr>
                <w:sz w:val="20"/>
                <w:szCs w:val="20"/>
                <w:color w:val="auto"/>
              </w:rPr>
            </w:pPr>
            <w:r>
              <w:rPr>
                <w:rFonts w:ascii="Arial" w:cs="Arial" w:eastAsia="Arial" w:hAnsi="Arial"/>
                <w:sz w:val="16"/>
                <w:szCs w:val="16"/>
                <w:color w:val="0F7C7F"/>
              </w:rPr>
              <w:t>Financial Statements</w:t>
            </w:r>
          </w:p>
        </w:tc>
        <w:tc>
          <w:tcPr>
            <w:tcW w:w="4840" w:type="dxa"/>
            <w:vAlign w:val="bottom"/>
            <w:gridSpan w:val="4"/>
          </w:tcPr>
          <w:p>
            <w:pPr>
              <w:spacing w:after="0"/>
              <w:rPr>
                <w:sz w:val="19"/>
                <w:szCs w:val="19"/>
                <w:color w:val="auto"/>
              </w:rPr>
            </w:pPr>
          </w:p>
        </w:tc>
        <w:tc>
          <w:tcPr>
            <w:tcW w:w="4220" w:type="dxa"/>
            <w:vAlign w:val="bottom"/>
            <w:gridSpan w:val="4"/>
          </w:tcPr>
          <w:p>
            <w:pPr>
              <w:jc w:val="right"/>
              <w:spacing w:after="0"/>
              <w:rPr>
                <w:sz w:val="20"/>
                <w:szCs w:val="20"/>
                <w:color w:val="auto"/>
              </w:rPr>
            </w:pPr>
            <w:r>
              <w:rPr>
                <w:rFonts w:ascii="Arial" w:cs="Arial" w:eastAsia="Arial" w:hAnsi="Arial"/>
                <w:sz w:val="16"/>
                <w:szCs w:val="16"/>
                <w:color w:val="0F7C7F"/>
              </w:rPr>
              <w:t>3</w:t>
            </w:r>
          </w:p>
        </w:tc>
        <w:tc>
          <w:tcPr>
            <w:tcW w:w="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tcBorders>
              <w:bottom w:val="single" w:sz="8" w:color="0F7C7F"/>
            </w:tcBorders>
            <w:gridSpan w:val="10"/>
          </w:tcPr>
          <w:p>
            <w:pPr>
              <w:spacing w:after="0"/>
              <w:rPr>
                <w:sz w:val="20"/>
                <w:szCs w:val="20"/>
                <w:color w:val="auto"/>
              </w:rPr>
            </w:pPr>
            <w:r>
              <w:rPr>
                <w:rFonts w:ascii="Arial" w:cs="Arial" w:eastAsia="Arial" w:hAnsi="Arial"/>
                <w:sz w:val="16"/>
                <w:szCs w:val="16"/>
                <w:color w:val="0F7C7F"/>
              </w:rPr>
              <w:t>Management’s Discussion and Analysis of Financial Condition and Results of Operations</w:t>
            </w:r>
          </w:p>
        </w:tc>
        <w:tc>
          <w:tcPr>
            <w:tcW w:w="4040" w:type="dxa"/>
            <w:vAlign w:val="bottom"/>
            <w:gridSpan w:val="2"/>
          </w:tcPr>
          <w:p>
            <w:pPr>
              <w:spacing w:after="0"/>
              <w:rPr>
                <w:sz w:val="21"/>
                <w:szCs w:val="21"/>
                <w:color w:val="auto"/>
              </w:rPr>
            </w:pPr>
          </w:p>
        </w:tc>
        <w:tc>
          <w:tcPr>
            <w:tcW w:w="180" w:type="dxa"/>
            <w:vAlign w:val="bottom"/>
            <w:tcBorders>
              <w:bottom w:val="single" w:sz="8" w:color="0F7C7F"/>
            </w:tcBorders>
            <w:gridSpan w:val="2"/>
          </w:tcPr>
          <w:p>
            <w:pPr>
              <w:jc w:val="right"/>
              <w:spacing w:after="0"/>
              <w:rPr>
                <w:sz w:val="20"/>
                <w:szCs w:val="20"/>
                <w:color w:val="auto"/>
              </w:rPr>
            </w:pPr>
            <w:r>
              <w:rPr>
                <w:rFonts w:ascii="Arial" w:cs="Arial" w:eastAsia="Arial" w:hAnsi="Arial"/>
                <w:sz w:val="16"/>
                <w:szCs w:val="16"/>
                <w:color w:val="0F7C7F"/>
                <w:w w:val="89"/>
              </w:rPr>
              <w:t>20</w:t>
            </w:r>
          </w:p>
        </w:tc>
        <w:tc>
          <w:tcPr>
            <w:tcW w:w="40" w:type="dxa"/>
            <w:vAlign w:val="bottom"/>
          </w:tcPr>
          <w:p>
            <w:pPr>
              <w:spacing w:after="0"/>
              <w:rPr>
                <w:sz w:val="21"/>
                <w:szCs w:val="21"/>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tcBorders>
              <w:bottom w:val="single" w:sz="8" w:color="0F7C7F"/>
            </w:tcBorders>
            <w:gridSpan w:val="8"/>
          </w:tcPr>
          <w:p>
            <w:pPr>
              <w:spacing w:after="0"/>
              <w:rPr>
                <w:sz w:val="20"/>
                <w:szCs w:val="20"/>
                <w:color w:val="auto"/>
              </w:rPr>
            </w:pPr>
            <w:r>
              <w:rPr>
                <w:rFonts w:ascii="Arial" w:cs="Arial" w:eastAsia="Arial" w:hAnsi="Arial"/>
                <w:sz w:val="16"/>
                <w:szCs w:val="16"/>
                <w:color w:val="0F7C7F"/>
              </w:rPr>
              <w:t>Quantitative and Qualitative Disclosures About Market Risk</w:t>
            </w:r>
          </w:p>
        </w:tc>
        <w:tc>
          <w:tcPr>
            <w:tcW w:w="2120" w:type="dxa"/>
            <w:vAlign w:val="bottom"/>
            <w:gridSpan w:val="2"/>
          </w:tcPr>
          <w:p>
            <w:pPr>
              <w:spacing w:after="0"/>
              <w:rPr>
                <w:sz w:val="21"/>
                <w:szCs w:val="21"/>
                <w:color w:val="auto"/>
              </w:rPr>
            </w:pPr>
          </w:p>
        </w:tc>
        <w:tc>
          <w:tcPr>
            <w:tcW w:w="4040" w:type="dxa"/>
            <w:vAlign w:val="bottom"/>
            <w:gridSpan w:val="2"/>
          </w:tcPr>
          <w:p>
            <w:pPr>
              <w:spacing w:after="0"/>
              <w:rPr>
                <w:sz w:val="21"/>
                <w:szCs w:val="21"/>
                <w:color w:val="auto"/>
              </w:rPr>
            </w:pPr>
          </w:p>
        </w:tc>
        <w:tc>
          <w:tcPr>
            <w:tcW w:w="180" w:type="dxa"/>
            <w:vAlign w:val="bottom"/>
            <w:tcBorders>
              <w:bottom w:val="single" w:sz="8" w:color="0F7C7F"/>
            </w:tcBorders>
            <w:gridSpan w:val="2"/>
          </w:tcPr>
          <w:p>
            <w:pPr>
              <w:jc w:val="right"/>
              <w:spacing w:after="0"/>
              <w:rPr>
                <w:sz w:val="20"/>
                <w:szCs w:val="20"/>
                <w:color w:val="auto"/>
              </w:rPr>
            </w:pPr>
            <w:r>
              <w:rPr>
                <w:rFonts w:ascii="Arial" w:cs="Arial" w:eastAsia="Arial" w:hAnsi="Arial"/>
                <w:sz w:val="16"/>
                <w:szCs w:val="16"/>
                <w:color w:val="0F7C7F"/>
                <w:w w:val="89"/>
              </w:rPr>
              <w:t>32</w:t>
            </w:r>
          </w:p>
        </w:tc>
        <w:tc>
          <w:tcPr>
            <w:tcW w:w="40" w:type="dxa"/>
            <w:vAlign w:val="bottom"/>
          </w:tcPr>
          <w:p>
            <w:pPr>
              <w:spacing w:after="0"/>
              <w:rPr>
                <w:sz w:val="21"/>
                <w:szCs w:val="21"/>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0F7C7F"/>
              </w:rPr>
              <w:t>Controls and Procedures</w:t>
            </w:r>
          </w:p>
        </w:tc>
        <w:tc>
          <w:tcPr>
            <w:tcW w:w="4220" w:type="dxa"/>
            <w:vAlign w:val="bottom"/>
            <w:gridSpan w:val="4"/>
          </w:tcPr>
          <w:p>
            <w:pPr>
              <w:jc w:val="right"/>
              <w:spacing w:after="0"/>
              <w:rPr>
                <w:sz w:val="20"/>
                <w:szCs w:val="20"/>
                <w:color w:val="auto"/>
              </w:rPr>
            </w:pPr>
            <w:r>
              <w:rPr>
                <w:rFonts w:ascii="Arial" w:cs="Arial" w:eastAsia="Arial" w:hAnsi="Arial"/>
                <w:sz w:val="16"/>
                <w:szCs w:val="16"/>
                <w:color w:val="0F7C7F"/>
              </w:rPr>
              <w:t>32</w:t>
            </w:r>
          </w:p>
        </w:tc>
        <w:tc>
          <w:tcPr>
            <w:tcW w:w="40" w:type="dxa"/>
            <w:vAlign w:val="bottom"/>
          </w:tcPr>
          <w:p>
            <w:pPr>
              <w:spacing w:after="0"/>
              <w:rPr>
                <w:sz w:val="21"/>
                <w:szCs w:val="21"/>
                <w:color w:val="auto"/>
              </w:rPr>
            </w:pPr>
          </w:p>
        </w:tc>
      </w:tr>
      <w:tr>
        <w:trPr>
          <w:trHeight w:val="297"/>
        </w:trPr>
        <w:tc>
          <w:tcPr>
            <w:tcW w:w="62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120" w:type="dxa"/>
            <w:vAlign w:val="bottom"/>
            <w:tcBorders>
              <w:top w:val="single" w:sz="8" w:color="0F7C7F"/>
            </w:tcBorders>
          </w:tcPr>
          <w:p>
            <w:pPr>
              <w:spacing w:after="0"/>
              <w:rPr>
                <w:sz w:val="24"/>
                <w:szCs w:val="24"/>
                <w:color w:val="auto"/>
              </w:rPr>
            </w:pPr>
          </w:p>
        </w:tc>
        <w:tc>
          <w:tcPr>
            <w:tcW w:w="36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8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60" w:type="dxa"/>
            <w:vAlign w:val="bottom"/>
            <w:gridSpan w:val="3"/>
          </w:tcPr>
          <w:p>
            <w:pPr>
              <w:ind w:left="1760"/>
              <w:spacing w:after="0"/>
              <w:rPr>
                <w:sz w:val="20"/>
                <w:szCs w:val="20"/>
                <w:color w:val="auto"/>
              </w:rPr>
            </w:pPr>
            <w:r>
              <w:rPr>
                <w:rFonts w:ascii="Arial" w:cs="Arial" w:eastAsia="Arial" w:hAnsi="Arial"/>
                <w:sz w:val="16"/>
                <w:szCs w:val="16"/>
                <w:b w:val="1"/>
                <w:bCs w:val="1"/>
                <w:color w:val="auto"/>
              </w:rPr>
              <w:t>PART II</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62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0F7C7F"/>
            </w:tcBorders>
            <w:gridSpan w:val="5"/>
          </w:tcPr>
          <w:p>
            <w:pPr>
              <w:spacing w:after="0"/>
              <w:rPr>
                <w:sz w:val="20"/>
                <w:szCs w:val="20"/>
                <w:color w:val="auto"/>
              </w:rPr>
            </w:pPr>
            <w:r>
              <w:rPr>
                <w:rFonts w:ascii="Arial" w:cs="Arial" w:eastAsia="Arial" w:hAnsi="Arial"/>
                <w:sz w:val="16"/>
                <w:szCs w:val="16"/>
                <w:color w:val="0F7C7F"/>
                <w:w w:val="99"/>
              </w:rPr>
              <w:t>Legal Proceedings</w:t>
            </w:r>
          </w:p>
        </w:tc>
        <w:tc>
          <w:tcPr>
            <w:tcW w:w="5020" w:type="dxa"/>
            <w:vAlign w:val="bottom"/>
            <w:gridSpan w:val="5"/>
          </w:tcPr>
          <w:p>
            <w:pPr>
              <w:spacing w:after="0"/>
              <w:rPr>
                <w:sz w:val="19"/>
                <w:szCs w:val="19"/>
                <w:color w:val="auto"/>
              </w:rPr>
            </w:pPr>
          </w:p>
        </w:tc>
        <w:tc>
          <w:tcPr>
            <w:tcW w:w="4040" w:type="dxa"/>
            <w:vAlign w:val="bottom"/>
            <w:gridSpan w:val="2"/>
          </w:tcPr>
          <w:p>
            <w:pPr>
              <w:spacing w:after="0"/>
              <w:rPr>
                <w:sz w:val="19"/>
                <w:szCs w:val="19"/>
                <w:color w:val="auto"/>
              </w:rPr>
            </w:pPr>
          </w:p>
        </w:tc>
        <w:tc>
          <w:tcPr>
            <w:tcW w:w="180" w:type="dxa"/>
            <w:vAlign w:val="bottom"/>
            <w:tcBorders>
              <w:bottom w:val="single" w:sz="8" w:color="0F7C7F"/>
            </w:tcBorders>
            <w:gridSpan w:val="2"/>
          </w:tcPr>
          <w:p>
            <w:pPr>
              <w:jc w:val="right"/>
              <w:spacing w:after="0"/>
              <w:rPr>
                <w:sz w:val="20"/>
                <w:szCs w:val="20"/>
                <w:color w:val="auto"/>
              </w:rPr>
            </w:pPr>
            <w:r>
              <w:rPr>
                <w:rFonts w:ascii="Arial" w:cs="Arial" w:eastAsia="Arial" w:hAnsi="Arial"/>
                <w:sz w:val="16"/>
                <w:szCs w:val="16"/>
                <w:color w:val="0F7C7F"/>
                <w:w w:val="89"/>
              </w:rPr>
              <w:t>32</w:t>
            </w:r>
          </w:p>
        </w:tc>
        <w:tc>
          <w:tcPr>
            <w:tcW w:w="40" w:type="dxa"/>
            <w:vAlign w:val="bottom"/>
          </w:tcPr>
          <w:p>
            <w:pPr>
              <w:spacing w:after="0"/>
              <w:rPr>
                <w:sz w:val="19"/>
                <w:szCs w:val="19"/>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tcBorders>
              <w:bottom w:val="single" w:sz="8" w:color="0F7C7F"/>
            </w:tcBorders>
            <w:gridSpan w:val="3"/>
          </w:tcPr>
          <w:p>
            <w:pPr>
              <w:spacing w:after="0"/>
              <w:rPr>
                <w:sz w:val="20"/>
                <w:szCs w:val="20"/>
                <w:color w:val="auto"/>
              </w:rPr>
            </w:pPr>
            <w:r>
              <w:rPr>
                <w:rFonts w:ascii="Arial" w:cs="Arial" w:eastAsia="Arial" w:hAnsi="Arial"/>
                <w:sz w:val="16"/>
                <w:szCs w:val="16"/>
                <w:color w:val="0F7C7F"/>
                <w:w w:val="98"/>
              </w:rPr>
              <w:t>Risk Factors</w:t>
            </w:r>
          </w:p>
        </w:tc>
        <w:tc>
          <w:tcPr>
            <w:tcW w:w="5460" w:type="dxa"/>
            <w:vAlign w:val="bottom"/>
            <w:gridSpan w:val="7"/>
          </w:tcPr>
          <w:p>
            <w:pPr>
              <w:spacing w:after="0"/>
              <w:rPr>
                <w:sz w:val="21"/>
                <w:szCs w:val="21"/>
                <w:color w:val="auto"/>
              </w:rPr>
            </w:pPr>
          </w:p>
        </w:tc>
        <w:tc>
          <w:tcPr>
            <w:tcW w:w="4040" w:type="dxa"/>
            <w:vAlign w:val="bottom"/>
            <w:gridSpan w:val="2"/>
          </w:tcPr>
          <w:p>
            <w:pPr>
              <w:spacing w:after="0"/>
              <w:rPr>
                <w:sz w:val="21"/>
                <w:szCs w:val="21"/>
                <w:color w:val="auto"/>
              </w:rPr>
            </w:pPr>
          </w:p>
        </w:tc>
        <w:tc>
          <w:tcPr>
            <w:tcW w:w="180" w:type="dxa"/>
            <w:vAlign w:val="bottom"/>
            <w:tcBorders>
              <w:bottom w:val="single" w:sz="8" w:color="0F7C7F"/>
            </w:tcBorders>
            <w:gridSpan w:val="2"/>
          </w:tcPr>
          <w:p>
            <w:pPr>
              <w:jc w:val="right"/>
              <w:spacing w:after="0"/>
              <w:rPr>
                <w:sz w:val="20"/>
                <w:szCs w:val="20"/>
                <w:color w:val="auto"/>
              </w:rPr>
            </w:pPr>
            <w:r>
              <w:rPr>
                <w:rFonts w:ascii="Arial" w:cs="Arial" w:eastAsia="Arial" w:hAnsi="Arial"/>
                <w:sz w:val="16"/>
                <w:szCs w:val="16"/>
                <w:color w:val="0F7C7F"/>
                <w:w w:val="89"/>
              </w:rPr>
              <w:t>32</w:t>
            </w:r>
          </w:p>
        </w:tc>
        <w:tc>
          <w:tcPr>
            <w:tcW w:w="40" w:type="dxa"/>
            <w:vAlign w:val="bottom"/>
          </w:tcPr>
          <w:p>
            <w:pPr>
              <w:spacing w:after="0"/>
              <w:rPr>
                <w:sz w:val="21"/>
                <w:szCs w:val="21"/>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10"/>
          </w:tcPr>
          <w:p>
            <w:pPr>
              <w:spacing w:after="0"/>
              <w:rPr>
                <w:sz w:val="20"/>
                <w:szCs w:val="20"/>
                <w:color w:val="auto"/>
              </w:rPr>
            </w:pPr>
            <w:r>
              <w:rPr>
                <w:rFonts w:ascii="Arial" w:cs="Arial" w:eastAsia="Arial" w:hAnsi="Arial"/>
                <w:sz w:val="16"/>
                <w:szCs w:val="16"/>
                <w:color w:val="0F7C7F"/>
              </w:rPr>
              <w:t>Unregistered Sales of Equity Securities and Use of Proceeds</w:t>
            </w:r>
          </w:p>
        </w:tc>
        <w:tc>
          <w:tcPr>
            <w:tcW w:w="4220" w:type="dxa"/>
            <w:vAlign w:val="bottom"/>
            <w:gridSpan w:val="4"/>
          </w:tcPr>
          <w:p>
            <w:pPr>
              <w:jc w:val="right"/>
              <w:spacing w:after="0"/>
              <w:rPr>
                <w:sz w:val="20"/>
                <w:szCs w:val="20"/>
                <w:color w:val="auto"/>
              </w:rPr>
            </w:pPr>
            <w:r>
              <w:rPr>
                <w:rFonts w:ascii="Arial" w:cs="Arial" w:eastAsia="Arial" w:hAnsi="Arial"/>
                <w:sz w:val="16"/>
                <w:szCs w:val="16"/>
                <w:color w:val="0F7C7F"/>
              </w:rPr>
              <w:t>33</w:t>
            </w:r>
          </w:p>
        </w:tc>
        <w:tc>
          <w:tcPr>
            <w:tcW w:w="4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36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4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2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9"/>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6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2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10"/>
          </w:tcPr>
          <w:p>
            <w:pPr>
              <w:spacing w:after="0"/>
              <w:rPr>
                <w:sz w:val="20"/>
                <w:szCs w:val="20"/>
                <w:color w:val="auto"/>
              </w:rPr>
            </w:pPr>
            <w:r>
              <w:rPr>
                <w:rFonts w:ascii="Arial" w:cs="Arial" w:eastAsia="Arial" w:hAnsi="Arial"/>
                <w:sz w:val="16"/>
                <w:szCs w:val="16"/>
                <w:color w:val="auto"/>
              </w:rPr>
              <w:t>Mine Safety Disclosures</w:t>
            </w:r>
          </w:p>
        </w:tc>
        <w:tc>
          <w:tcPr>
            <w:tcW w:w="426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20" w:type="dxa"/>
            <w:vAlign w:val="bottom"/>
          </w:tcPr>
          <w:p>
            <w:pPr>
              <w:ind w:left="20"/>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0F7C7F"/>
            </w:tcBorders>
            <w:gridSpan w:val="4"/>
          </w:tcPr>
          <w:p>
            <w:pPr>
              <w:spacing w:after="0"/>
              <w:rPr>
                <w:sz w:val="20"/>
                <w:szCs w:val="20"/>
                <w:color w:val="auto"/>
              </w:rPr>
            </w:pPr>
            <w:r>
              <w:rPr>
                <w:rFonts w:ascii="Arial" w:cs="Arial" w:eastAsia="Arial" w:hAnsi="Arial"/>
                <w:sz w:val="16"/>
                <w:szCs w:val="16"/>
                <w:color w:val="0F7C7F"/>
                <w:w w:val="99"/>
              </w:rPr>
              <w:t>Other Information</w:t>
            </w:r>
          </w:p>
        </w:tc>
        <w:tc>
          <w:tcPr>
            <w:tcW w:w="5100" w:type="dxa"/>
            <w:vAlign w:val="bottom"/>
            <w:gridSpan w:val="6"/>
          </w:tcPr>
          <w:p>
            <w:pPr>
              <w:spacing w:after="0"/>
              <w:rPr>
                <w:sz w:val="20"/>
                <w:szCs w:val="20"/>
                <w:color w:val="auto"/>
              </w:rPr>
            </w:pPr>
          </w:p>
        </w:tc>
        <w:tc>
          <w:tcPr>
            <w:tcW w:w="4040" w:type="dxa"/>
            <w:vAlign w:val="bottom"/>
            <w:gridSpan w:val="2"/>
          </w:tcPr>
          <w:p>
            <w:pPr>
              <w:spacing w:after="0"/>
              <w:rPr>
                <w:sz w:val="20"/>
                <w:szCs w:val="20"/>
                <w:color w:val="auto"/>
              </w:rPr>
            </w:pPr>
          </w:p>
        </w:tc>
        <w:tc>
          <w:tcPr>
            <w:tcW w:w="180" w:type="dxa"/>
            <w:vAlign w:val="bottom"/>
            <w:tcBorders>
              <w:bottom w:val="single" w:sz="8" w:color="0F7C7F"/>
            </w:tcBorders>
            <w:gridSpan w:val="2"/>
          </w:tcPr>
          <w:p>
            <w:pPr>
              <w:jc w:val="right"/>
              <w:spacing w:after="0"/>
              <w:rPr>
                <w:sz w:val="20"/>
                <w:szCs w:val="20"/>
                <w:color w:val="auto"/>
              </w:rPr>
            </w:pPr>
            <w:r>
              <w:rPr>
                <w:rFonts w:ascii="Arial" w:cs="Arial" w:eastAsia="Arial" w:hAnsi="Arial"/>
                <w:sz w:val="16"/>
                <w:szCs w:val="16"/>
                <w:color w:val="0F7C7F"/>
                <w:w w:val="89"/>
              </w:rPr>
              <w:t>33</w:t>
            </w:r>
          </w:p>
        </w:tc>
        <w:tc>
          <w:tcPr>
            <w:tcW w:w="40" w:type="dxa"/>
            <w:vAlign w:val="bottom"/>
          </w:tcPr>
          <w:p>
            <w:pPr>
              <w:spacing w:after="0"/>
              <w:rPr>
                <w:sz w:val="20"/>
                <w:szCs w:val="20"/>
                <w:color w:val="auto"/>
              </w:rPr>
            </w:pPr>
          </w:p>
        </w:tc>
      </w:tr>
      <w:tr>
        <w:trPr>
          <w:trHeight w:val="250"/>
        </w:trPr>
        <w:tc>
          <w:tcPr>
            <w:tcW w:w="620" w:type="dxa"/>
            <w:vAlign w:val="bottom"/>
          </w:tcPr>
          <w:p>
            <w:pPr>
              <w:ind w:left="20"/>
              <w:spacing w:after="0"/>
              <w:rPr>
                <w:sz w:val="20"/>
                <w:szCs w:val="20"/>
                <w:color w:val="auto"/>
              </w:rPr>
            </w:pPr>
            <w:r>
              <w:rPr>
                <w:rFonts w:ascii="Arial" w:cs="Arial" w:eastAsia="Arial" w:hAnsi="Arial"/>
                <w:sz w:val="16"/>
                <w:szCs w:val="16"/>
                <w:color w:val="auto"/>
              </w:rPr>
              <w:t>6.</w:t>
            </w:r>
          </w:p>
        </w:tc>
        <w:tc>
          <w:tcPr>
            <w:tcW w:w="6360" w:type="dxa"/>
            <w:vAlign w:val="bottom"/>
            <w:gridSpan w:val="10"/>
          </w:tcPr>
          <w:p>
            <w:pPr>
              <w:spacing w:after="0"/>
              <w:rPr>
                <w:sz w:val="20"/>
                <w:szCs w:val="20"/>
                <w:color w:val="auto"/>
              </w:rPr>
            </w:pPr>
            <w:r>
              <w:rPr>
                <w:rFonts w:ascii="Arial" w:cs="Arial" w:eastAsia="Arial" w:hAnsi="Arial"/>
                <w:sz w:val="16"/>
                <w:szCs w:val="16"/>
                <w:color w:val="0F7C7F"/>
              </w:rPr>
              <w:t>Exhibits</w:t>
            </w:r>
          </w:p>
        </w:tc>
        <w:tc>
          <w:tcPr>
            <w:tcW w:w="4220" w:type="dxa"/>
            <w:vAlign w:val="bottom"/>
            <w:gridSpan w:val="4"/>
          </w:tcPr>
          <w:p>
            <w:pPr>
              <w:jc w:val="right"/>
              <w:spacing w:after="0"/>
              <w:rPr>
                <w:sz w:val="20"/>
                <w:szCs w:val="20"/>
                <w:color w:val="auto"/>
              </w:rPr>
            </w:pPr>
            <w:r>
              <w:rPr>
                <w:rFonts w:ascii="Arial" w:cs="Arial" w:eastAsia="Arial" w:hAnsi="Arial"/>
                <w:sz w:val="16"/>
                <w:szCs w:val="16"/>
                <w:color w:val="0F7C7F"/>
              </w:rPr>
              <w:t>34</w:t>
            </w:r>
          </w:p>
        </w:tc>
        <w:tc>
          <w:tcPr>
            <w:tcW w:w="40" w:type="dxa"/>
            <w:vAlign w:val="bottom"/>
          </w:tcPr>
          <w:p>
            <w:pPr>
              <w:spacing w:after="0"/>
              <w:rPr>
                <w:sz w:val="21"/>
                <w:szCs w:val="2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6360" w:type="dxa"/>
            <w:vAlign w:val="bottom"/>
            <w:gridSpan w:val="10"/>
          </w:tcPr>
          <w:p>
            <w:pPr>
              <w:spacing w:after="0"/>
              <w:rPr>
                <w:sz w:val="20"/>
                <w:szCs w:val="20"/>
                <w:color w:val="auto"/>
              </w:rPr>
            </w:pPr>
            <w:r>
              <w:rPr>
                <w:rFonts w:ascii="Arial" w:cs="Arial" w:eastAsia="Arial" w:hAnsi="Arial"/>
                <w:sz w:val="16"/>
                <w:szCs w:val="16"/>
                <w:color w:val="0F7C7F"/>
              </w:rPr>
              <w:t>Signatures</w:t>
            </w:r>
          </w:p>
        </w:tc>
        <w:tc>
          <w:tcPr>
            <w:tcW w:w="4220" w:type="dxa"/>
            <w:vAlign w:val="bottom"/>
            <w:gridSpan w:val="4"/>
          </w:tcPr>
          <w:p>
            <w:pPr>
              <w:jc w:val="right"/>
              <w:spacing w:after="0"/>
              <w:rPr>
                <w:sz w:val="20"/>
                <w:szCs w:val="20"/>
                <w:color w:val="auto"/>
              </w:rPr>
            </w:pPr>
            <w:r>
              <w:rPr>
                <w:rFonts w:ascii="Arial" w:cs="Arial" w:eastAsia="Arial" w:hAnsi="Arial"/>
                <w:sz w:val="16"/>
                <w:szCs w:val="16"/>
                <w:color w:val="0F7C7F"/>
              </w:rPr>
              <w:t>35</w:t>
            </w:r>
          </w:p>
        </w:tc>
        <w:tc>
          <w:tcPr>
            <w:tcW w:w="40" w:type="dxa"/>
            <w:vAlign w:val="bottom"/>
          </w:tcPr>
          <w:p>
            <w:pPr>
              <w:spacing w:after="0"/>
              <w:rPr>
                <w:sz w:val="21"/>
                <w:szCs w:val="21"/>
                <w:color w:val="auto"/>
              </w:rPr>
            </w:pPr>
          </w:p>
        </w:tc>
      </w:tr>
      <w:tr>
        <w:trPr>
          <w:trHeight w:val="1567"/>
        </w:trPr>
        <w:tc>
          <w:tcPr>
            <w:tcW w:w="62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20" w:type="dxa"/>
            <w:vAlign w:val="bottom"/>
            <w:tcBorders>
              <w:top w:val="single" w:sz="8" w:color="0F7C7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184"/>
        </w:trPr>
        <w:tc>
          <w:tcPr>
            <w:tcW w:w="4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80" w:type="dxa"/>
            <w:vAlign w:val="bottom"/>
            <w:gridSpan w:val="7"/>
          </w:tcPr>
          <w:p>
            <w:pPr>
              <w:ind w:left="80"/>
              <w:spacing w:after="0"/>
              <w:rPr>
                <w:sz w:val="20"/>
                <w:szCs w:val="20"/>
                <w:color w:val="auto"/>
              </w:rPr>
            </w:pPr>
            <w:r>
              <w:rPr>
                <w:rFonts w:ascii="Arial" w:cs="Arial" w:eastAsia="Arial" w:hAnsi="Arial"/>
                <w:sz w:val="14"/>
                <w:szCs w:val="14"/>
                <w:b w:val="1"/>
                <w:bCs w:val="1"/>
                <w:color w:val="auto"/>
              </w:rPr>
              <w:t>(Dollars in millions, except per-share amounts)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4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8,042</w:t>
            </w:r>
          </w:p>
        </w:tc>
        <w:tc>
          <w:tcPr>
            <w:tcW w:w="11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7,799</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15,927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15,330</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4820" w:type="dxa"/>
            <w:vAlign w:val="bottom"/>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15,824</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7,038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13,435</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4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4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15,091</w:t>
            </w:r>
          </w:p>
        </w:tc>
      </w:tr>
      <w:tr>
        <w:trPr>
          <w:trHeight w:val="20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4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309</w:t>
            </w:r>
          </w:p>
        </w:tc>
        <w:tc>
          <w:tcPr>
            <w:tcW w:w="11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248</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5.37</w:t>
            </w:r>
          </w:p>
        </w:tc>
        <w:tc>
          <w:tcPr>
            <w:tcW w:w="112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4.29</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120" w:type="dxa"/>
            <w:vAlign w:val="bottom"/>
            <w:gridSpan w:val="2"/>
            <w:shd w:val="clear" w:color="auto" w:fill="CCEEFF"/>
          </w:tcPr>
          <w:p>
            <w:pPr>
              <w:jc w:val="right"/>
              <w:ind w:right="82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60" w:type="dxa"/>
            <w:vAlign w:val="bottom"/>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184"/>
        </w:trPr>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4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160" w:type="dxa"/>
            <w:vAlign w:val="bottom"/>
            <w:gridSpan w:val="2"/>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248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Other comprehensive (loss) gain:</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gain</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6"/>
        </w:trPr>
        <w:tc>
          <w:tcPr>
            <w:tcW w:w="4860" w:type="dxa"/>
            <w:vAlign w:val="bottom"/>
          </w:tcPr>
          <w:p>
            <w:pPr>
              <w:ind w:left="14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(15)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comprehensive (loss) gain, net of tax</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8"/>
              </w:rPr>
              <w:t>(47)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288</w:t>
            </w:r>
          </w:p>
        </w:tc>
        <w:tc>
          <w:tcPr>
            <w:tcW w:w="116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440" w:type="dxa"/>
            <w:vAlign w:val="bottom"/>
          </w:tcPr>
          <w:p>
            <w:pPr>
              <w:ind w:left="100"/>
              <w:spacing w:after="0"/>
              <w:rPr>
                <w:sz w:val="20"/>
                <w:szCs w:val="20"/>
                <w:color w:val="auto"/>
              </w:rPr>
            </w:pPr>
            <w:r>
              <w:rPr>
                <w:rFonts w:ascii="Arial" w:cs="Arial" w:eastAsia="Arial" w:hAnsi="Arial"/>
                <w:sz w:val="16"/>
                <w:szCs w:val="16"/>
                <w:color w:val="auto"/>
              </w:rPr>
              <w:t>201</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383</w:t>
            </w:r>
          </w:p>
        </w:tc>
      </w:tr>
      <w:tr>
        <w:trPr>
          <w:trHeight w:val="20"/>
        </w:trPr>
        <w:tc>
          <w:tcPr>
            <w:tcW w:w="4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Molina Healthcare, Inc. June 30, 2023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00" w:type="dxa"/>
        <w:tblCellMar>
          <w:top w:w="0" w:type="dxa"/>
          <w:left w:w="0" w:type="dxa"/>
          <w:bottom w:w="0" w:type="dxa"/>
          <w:right w:w="0" w:type="dxa"/>
        </w:tblCellMar>
      </w:tblPr>
      <w:tr>
        <w:trPr>
          <w:trHeight w:val="161"/>
        </w:trPr>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bl>
    <w:p>
      <w:pPr>
        <w:spacing w:after="0" w:line="28"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20" w:type="dxa"/>
            <w:vAlign w:val="bottom"/>
            <w:gridSpan w:val="2"/>
            <w:vMerge w:val="restart"/>
          </w:tcPr>
          <w:p>
            <w:pPr>
              <w:jc w:val="right"/>
              <w:ind w:right="2480"/>
              <w:spacing w:after="0"/>
              <w:rPr>
                <w:sz w:val="20"/>
                <w:szCs w:val="20"/>
                <w:color w:val="auto"/>
              </w:rPr>
            </w:pPr>
            <w:r>
              <w:rPr>
                <w:rFonts w:ascii="Arial" w:cs="Arial" w:eastAsia="Arial" w:hAnsi="Arial"/>
                <w:sz w:val="16"/>
                <w:szCs w:val="16"/>
                <w:b w:val="1"/>
                <w:bCs w:val="1"/>
                <w:color w:val="auto"/>
                <w:w w:val="96"/>
              </w:rPr>
              <w:t>ASSETS</w:t>
            </w:r>
          </w:p>
        </w:tc>
        <w:tc>
          <w:tcPr>
            <w:tcW w:w="1220" w:type="dxa"/>
            <w:vAlign w:val="bottom"/>
          </w:tcPr>
          <w:p>
            <w:pPr>
              <w:jc w:val="right"/>
              <w:ind w:right="24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4,910</w:t>
            </w:r>
          </w:p>
        </w:tc>
        <w:tc>
          <w:tcPr>
            <w:tcW w:w="100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3,886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7"/>
        </w:trPr>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11,441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10,084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9"/>
        </w:trPr>
        <w:tc>
          <w:tcPr>
            <w:tcW w:w="3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13,661</w:t>
            </w:r>
          </w:p>
        </w:tc>
        <w:tc>
          <w:tcPr>
            <w:tcW w:w="100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12,314</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-1833880</wp:posOffset>
            </wp:positionV>
            <wp:extent cx="71234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-1559560</wp:posOffset>
            </wp:positionV>
            <wp:extent cx="712343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-1285240</wp:posOffset>
            </wp:positionV>
            <wp:extent cx="712343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-1010920</wp:posOffset>
            </wp:positionV>
            <wp:extent cx="712343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-728345</wp:posOffset>
            </wp:positionV>
            <wp:extent cx="71234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-454025</wp:posOffset>
            </wp:positionV>
            <wp:extent cx="71234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-179705</wp:posOffset>
            </wp:positionV>
            <wp:extent cx="712343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-113030</wp:posOffset>
            </wp:positionV>
            <wp:extent cx="71234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3620" w:space="300"/>
            <w:col w:w="732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2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193"/>
        </w:trPr>
        <w:tc>
          <w:tcPr>
            <w:tcW w:w="82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20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Common stock, $0.001 par value, 150 million shares authorized; outstanding: 58 million shares at June 30,</w:t>
            </w: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2023 and December 31, 2022</w:t>
            </w:r>
          </w:p>
        </w:tc>
        <w:tc>
          <w:tcPr>
            <w:tcW w:w="5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13,661</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8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restart"/>
          </w:tcPr>
          <w:p>
            <w:pPr>
              <w:jc w:val="right"/>
              <w:ind w:right="161"/>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80" w:type="dxa"/>
            <w:vAlign w:val="bottom"/>
          </w:tcPr>
          <w:p>
            <w:pPr>
              <w:spacing w:after="0"/>
              <w:rPr>
                <w:sz w:val="4"/>
                <w:szCs w:val="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80" w:type="dxa"/>
            <w:vAlign w:val="bottom"/>
            <w:gridSpan w:val="5"/>
          </w:tcPr>
          <w:p>
            <w:pPr>
              <w:ind w:left="5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vMerge w:val="restart"/>
          </w:tcPr>
          <w:p>
            <w:pPr>
              <w:jc w:val="center"/>
              <w:ind w:right="21"/>
              <w:spacing w:after="0" w:line="13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restart"/>
          </w:tcPr>
          <w:p>
            <w:pPr>
              <w:jc w:val="right"/>
              <w:ind w:right="161"/>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780" w:type="dxa"/>
            <w:vAlign w:val="bottom"/>
          </w:tcPr>
          <w:p>
            <w:pPr>
              <w:spacing w:after="0"/>
              <w:rPr>
                <w:sz w:val="5"/>
                <w:szCs w:val="5"/>
                <w:color w:val="auto"/>
              </w:rPr>
            </w:pPr>
          </w:p>
        </w:tc>
        <w:tc>
          <w:tcPr>
            <w:tcW w:w="11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7"/>
          </w:tcPr>
          <w:p>
            <w:pPr>
              <w:ind w:left="8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360" w:type="dxa"/>
            <w:vAlign w:val="bottom"/>
            <w:gridSpan w:val="4"/>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2,707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Molina Healthcare, Inc. June 30, 2023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Pr>
          <w:p>
            <w:pPr>
              <w:spacing w:after="0"/>
              <w:rPr>
                <w:sz w:val="17"/>
                <w:szCs w:val="17"/>
                <w:color w:val="auto"/>
              </w:rPr>
            </w:pPr>
          </w:p>
        </w:tc>
        <w:tc>
          <w:tcPr>
            <w:tcW w:w="2620" w:type="dxa"/>
            <w:vAlign w:val="bottom"/>
            <w:tcBorders>
              <w:bottom w:val="single" w:sz="8" w:color="auto"/>
            </w:tcBorders>
            <w:gridSpan w:val="4"/>
          </w:tcPr>
          <w:p>
            <w:pPr>
              <w:jc w:val="center"/>
              <w:ind w:left="48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r>
      <w:tr>
        <w:trPr>
          <w:trHeight w:val="184"/>
        </w:trPr>
        <w:tc>
          <w:tcPr>
            <w:tcW w:w="8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5"/>
                <w:szCs w:val="15"/>
                <w:color w:val="auto"/>
              </w:rPr>
            </w:pPr>
          </w:p>
        </w:tc>
      </w:tr>
      <w:tr>
        <w:trPr>
          <w:trHeight w:val="201"/>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7"/>
                <w:szCs w:val="17"/>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630</w:t>
            </w:r>
          </w:p>
        </w:tc>
        <w:tc>
          <w:tcPr>
            <w:tcW w:w="108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(1,413)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7"/>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212"/>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100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080" w:type="dxa"/>
            <w:vAlign w:val="bottom"/>
            <w:gridSpan w:val="2"/>
            <w:shd w:val="clear" w:color="auto" w:fill="CCEEFF"/>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JUNE 30, 2023</w:t>
      </w:r>
    </w:p>
    <w:p>
      <w:pPr>
        <w:spacing w:after="0" w:line="360" w:lineRule="exact"/>
        <w:rPr>
          <w:sz w:val="20"/>
          <w:szCs w:val="20"/>
          <w:color w:val="auto"/>
        </w:rPr>
      </w:pPr>
    </w:p>
    <w:p>
      <w:pPr>
        <w:ind w:right="7680" w:firstLine="8"/>
        <w:spacing w:after="0" w:line="403" w:lineRule="auto"/>
        <w:tabs>
          <w:tab w:leader="none" w:pos="200" w:val="left"/>
        </w:tabs>
        <w:numPr>
          <w:ilvl w:val="0"/>
          <w:numId w:val="3"/>
        </w:numPr>
        <w:rPr>
          <w:rFonts w:ascii="Arial" w:cs="Arial" w:eastAsia="Arial" w:hAnsi="Arial"/>
          <w:sz w:val="17"/>
          <w:szCs w:val="17"/>
          <w:b w:val="1"/>
          <w:bCs w:val="1"/>
          <w:color w:val="828282"/>
        </w:rPr>
      </w:pPr>
      <w:r>
        <w:rPr>
          <w:rFonts w:ascii="Arial" w:cs="Arial" w:eastAsia="Arial" w:hAnsi="Arial"/>
          <w:sz w:val="17"/>
          <w:szCs w:val="17"/>
          <w:b w:val="1"/>
          <w:bCs w:val="1"/>
          <w:color w:val="828282"/>
        </w:rPr>
        <w:t xml:space="preserve">Organization and Basis of Presentation </w:t>
      </w:r>
      <w:r>
        <w:rPr>
          <w:rFonts w:ascii="Arial" w:cs="Arial" w:eastAsia="Arial" w:hAnsi="Arial"/>
          <w:sz w:val="17"/>
          <w:szCs w:val="17"/>
          <w:b w:val="1"/>
          <w:bCs w:val="1"/>
          <w:i w:val="1"/>
          <w:iCs w:val="1"/>
          <w:color w:val="000000"/>
        </w:rPr>
        <w:t>Organization and Operations</w:t>
      </w:r>
    </w:p>
    <w:p>
      <w:pPr>
        <w:spacing w:after="0" w:line="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As of June 30, 2023, we served approximately 5.2 million members eligible for government-sponsored healthcare programs, located across 19 states.</w:t>
      </w:r>
    </w:p>
    <w:p>
      <w:pPr>
        <w:spacing w:after="0" w:line="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8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and populations such as the aged, blind or disabled (“ABD”); and regions or service areas.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Medicare, we enter into Medicare Advantage-Part D contracts with the Centers for Medicare and Medicaid Services (“CMS”) annually, and for dual-eligible plans, we enter into contracts with CMS, in partnership with each state’s department of health and human services. Such contracts typically have terms of one to three years.</w:t>
      </w:r>
    </w:p>
    <w:p>
      <w:pPr>
        <w:spacing w:after="0" w:line="76" w:lineRule="exact"/>
        <w:rPr>
          <w:sz w:val="20"/>
          <w:szCs w:val="20"/>
          <w:color w:val="auto"/>
        </w:rPr>
      </w:pPr>
    </w:p>
    <w:p>
      <w:pPr>
        <w:ind w:right="1420"/>
        <w:spacing w:after="0" w:line="372" w:lineRule="auto"/>
        <w:rPr>
          <w:sz w:val="20"/>
          <w:szCs w:val="20"/>
          <w:color w:val="auto"/>
        </w:rPr>
      </w:pPr>
      <w:r>
        <w:rPr>
          <w:rFonts w:ascii="Arial" w:cs="Arial" w:eastAsia="Arial" w:hAnsi="Arial"/>
          <w:sz w:val="18"/>
          <w:szCs w:val="18"/>
          <w:color w:val="auto"/>
        </w:rPr>
        <w:t xml:space="preserve">In Marketplace, we enter into contracts with CMS, which end on December 31 of each year, and must be renewed annually. </w:t>
      </w:r>
      <w:r>
        <w:rPr>
          <w:rFonts w:ascii="Arial" w:cs="Arial" w:eastAsia="Arial" w:hAnsi="Arial"/>
          <w:sz w:val="18"/>
          <w:szCs w:val="18"/>
          <w:b w:val="1"/>
          <w:bCs w:val="1"/>
          <w:i w:val="1"/>
          <w:iCs w:val="1"/>
          <w:color w:val="auto"/>
        </w:rPr>
        <w:t>Recent Developments</w:t>
      </w: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Our new contract with the Iowa Department of Health and Human Services commenced on July 1,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offers health coverage to TANF, CHIP, ABD, LTSS and Medicaid Expansion beneficiaries. This new contract has a term of four years, with a potential for two two-year extensions.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was expected to begin on July 1, 2023, but in the second quarter of 2023, DOM extended the existing contracts by an additional year. We now expect the four-year contract to commence July 1, 2024, and DOM has discretion to extend the new awards for an additional two years. The award enables us to continue serving Medicaid members across the state.</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On June 30, 2023, we announced a definitive agreement to acquire 100% of the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Brand New Day and Central Health Plan of California, each of which is a 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We currently expect the transaction to close by the first quarter of 2024.</w:t>
      </w:r>
    </w:p>
    <w:p>
      <w:pPr>
        <w:spacing w:after="0" w:line="7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Indiana Procurement—Medicaid. </w:t>
      </w:r>
      <w:r>
        <w:rPr>
          <w:rFonts w:ascii="Arial" w:cs="Arial" w:eastAsia="Arial" w:hAnsi="Arial"/>
          <w:sz w:val="18"/>
          <w:szCs w:val="18"/>
          <w:color w:val="auto"/>
        </w:rPr>
        <w:t>In March 2023, we announced that the Indiana Department of Administration has recommended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negotiations begin with our Indiana health plan. Under the proposed contract with the Indiana Family and Social Services Administration (“FSSA”), we are expected to provide risk-based managed care long term services and supports as part of the Indiana Pathways for Aging LTSS program pursuant to the request for proposal issued by FSSA in February 2022. The new contract is expected to have an initial four-year term, with the potential for two, one-year renewal terms.</w:t>
      </w:r>
    </w:p>
    <w:p>
      <w:pPr>
        <w:spacing w:after="0" w:line="7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(“MCW”). The purchase price for the transaction is approximately $150 million, net of expected tax benefits and required regulatory capital, which we intend to fund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with cash on hand. The transaction is subject to receipt of applicable federal and state regulatory approvals, and the satisfaction of other customary closing conditions. We currently expect the transaction to close in the fourth quarter of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six months ended June 30, 2023 are not necessarily indicative of the results for the entire year ending December 31, 2023.</w:t>
      </w:r>
    </w:p>
    <w:p>
      <w:pPr>
        <w:spacing w:after="0" w:line="8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2022. Accordingly, certain disclosures that would substantially duplicate the disclosures contained in our December 31, 2022, audited consolidated financial statements have been omitted.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309" w:lineRule="exact"/>
        <w:rPr>
          <w:sz w:val="20"/>
          <w:szCs w:val="20"/>
          <w:color w:val="auto"/>
        </w:rPr>
      </w:pPr>
    </w:p>
    <w:p>
      <w:pPr>
        <w:ind w:right="8340" w:firstLine="8"/>
        <w:spacing w:after="0" w:line="381" w:lineRule="auto"/>
        <w:tabs>
          <w:tab w:leader="none" w:pos="200" w:val="left"/>
        </w:tabs>
        <w:numPr>
          <w:ilvl w:val="0"/>
          <w:numId w:val="4"/>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Significant Accounting Policies </w:t>
      </w:r>
      <w:r>
        <w:rPr>
          <w:rFonts w:ascii="Arial" w:cs="Arial" w:eastAsia="Arial" w:hAnsi="Arial"/>
          <w:sz w:val="18"/>
          <w:szCs w:val="18"/>
          <w:b w:val="1"/>
          <w:bCs w:val="1"/>
          <w:i w:val="1"/>
          <w:iCs w:val="1"/>
          <w:color w:val="000000"/>
        </w:rPr>
        <w:t>Cash and Cash Equivalents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59"/>
        </w:trPr>
        <w:tc>
          <w:tcPr>
            <w:tcW w:w="8260" w:type="dxa"/>
            <w:vAlign w:val="bottom"/>
            <w:shd w:val="clear" w:color="auto" w:fill="CCEEFF"/>
          </w:tcPr>
          <w:p>
            <w:pPr>
              <w:ind w:left="360"/>
              <w:spacing w:after="0" w:line="159"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5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statements of cash flows</w:t>
            </w:r>
          </w:p>
        </w:tc>
        <w:tc>
          <w:tcPr>
            <w:tcW w:w="9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35"/>
        </w:trPr>
        <w:tc>
          <w:tcPr>
            <w:tcW w:w="8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1,713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1,702</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291</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309</w:t>
            </w:r>
          </w:p>
        </w:tc>
      </w:tr>
      <w:tr>
        <w:trPr>
          <w:trHeight w:val="206"/>
        </w:trPr>
        <w:tc>
          <w:tcPr>
            <w:tcW w:w="816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2,385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2,302</w:t>
            </w:r>
          </w:p>
        </w:tc>
      </w:tr>
      <w:tr>
        <w:trPr>
          <w:trHeight w:val="24"/>
        </w:trPr>
        <w:tc>
          <w:tcPr>
            <w:tcW w:w="81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Molina Healthcare, Inc. June 30, 2023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are recognized in the month that members are entitled to receive healthcare services, and premiums collected in advance are deferred. State Medicaid programs and the federal Medicare program periodically adjust premium rates, including certain components of premium revenue that are subject to accounting estimates and are described below, and in our 2022 Annual Report on Form 10-K, Note 2, “Significant Accounting Policies,” under “Contractual Provisions That May Adjust or Limit Revenue or Profit,” and “Quality Incentives.”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Categorized by program, such amounts due government agencies included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8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37"/>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corridors, and profit sharing</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1,381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1,145</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Minimum MLR and profit sharing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76</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2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w:t>
            </w: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premium adjustments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Total amounts due government agencies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2,589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2,079</w:t>
            </w:r>
          </w:p>
        </w:tc>
      </w:tr>
      <w:tr>
        <w:trPr>
          <w:trHeight w:val="20"/>
        </w:trPr>
        <w:tc>
          <w:tcPr>
            <w:tcW w:w="8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11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as a percentage of premium revenue, or minimum medical loss ratio (“Minimum MLR”). Under certain medical cost corridor provisions, the health plans may refund premiums or receive additional premiums, depending on whether amounts spent on medical care costs fall below or exceed defined thresholds. This includes remaining risk corridors that were enacted by various states in 2020 in response to the reduced demand for medical services stemming from COVID-19.</w:t>
      </w:r>
    </w:p>
    <w:p>
      <w:pPr>
        <w:spacing w:after="0" w:line="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Other Premium Adjustments. </w:t>
      </w:r>
      <w:r>
        <w:rPr>
          <w:rFonts w:ascii="Arial" w:cs="Arial" w:eastAsia="Arial" w:hAnsi="Arial"/>
          <w:sz w:val="18"/>
          <w:szCs w:val="18"/>
          <w:color w:val="auto"/>
        </w:rPr>
        <w:t>State Medicaid programs periodically adjust premium revenues on a retroactive basis for rate changes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membership and eligibility data. In certain states, adjustments are made based on the health status of our members (as measured through a risk score). In these cases, we adjust our premium revenue in the period in which we determine that the adjustment is probable and reasonably estimable, based on our best estimate of the ultimate premium we expect to realize for the period being adjusted.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for all plan participants in a state (risk adjustment payable), and will receive a risk adjustment payment from the pool if their composite risk scores are above the average risk score for all plan participants in a state (risk adjustment receivable). Under CMS rules, the Marketplace risk adjustment pool in each state is budget neutral. We estimate our ultimate premium based on insurance policy year-to-date experience, and the data submitted and expected to be submitted to CMS, and recognize estimated premiums relating to the risk adjustment program as an adjustment to premium revenue in our consolidated statements of income. As of June 30, 2023, Marketplace risk adjustment estimated payables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Molina Healthcare, Inc. June 30, 2023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amounted to $312 million and estimated receivables amounted to $ 249 million, for a net payable of $63 million. As of December 31, 2022, Marketplace risk adjustment estimated payables amounted to $230 million and estimated receivables amounted to $135 million, for a net payable of $95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3. Net Income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54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4560" w:type="dxa"/>
            <w:vAlign w:val="bottom"/>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r>
      <w:tr>
        <w:trPr>
          <w:trHeight w:val="237"/>
        </w:trPr>
        <w:tc>
          <w:tcPr>
            <w:tcW w:w="4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rPr>
              <w:t>(In millions, except net income per share)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248</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630</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456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6"/>
        </w:trPr>
        <w:tc>
          <w:tcPr>
            <w:tcW w:w="456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45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6"/>
        </w:trPr>
        <w:tc>
          <w:tcPr>
            <w:tcW w:w="456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0"/>
        </w:trPr>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456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5.35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4.25</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10.87</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0"/>
        </w:trPr>
        <w:tc>
          <w:tcPr>
            <w:tcW w:w="4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17"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4. Fair Value Measurements</w:t>
      </w:r>
    </w:p>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2022 Annual Report on Form 10-K, Note 5, “Fair Value Measurements.”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Directly or Indirectly</w:t>
            </w:r>
          </w:p>
        </w:tc>
        <w:tc>
          <w:tcPr>
            <w:tcW w:w="120" w:type="dxa"/>
            <w:vAlign w:val="bottom"/>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61"/>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4"/>
          </w:tcPr>
          <w:p>
            <w:pPr>
              <w:ind w:left="1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2,454</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782"/>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3,886</w:t>
            </w:r>
          </w:p>
        </w:tc>
        <w:tc>
          <w:tcPr>
            <w:tcW w:w="2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1180"/>
              <w:spacing w:after="0" w:line="183" w:lineRule="exact"/>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rPr>
              <w:t>3,886</w:t>
            </w:r>
          </w:p>
        </w:tc>
        <w:tc>
          <w:tcPr>
            <w:tcW w:w="420" w:type="dxa"/>
            <w:vAlign w:val="bottom"/>
            <w:gridSpan w:val="2"/>
            <w:shd w:val="clear" w:color="auto" w:fill="CCEEFF"/>
          </w:tcPr>
          <w:p>
            <w:pPr>
              <w:jc w:val="right"/>
              <w:ind w:right="128"/>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Molina Healthcare, Inc. June 30, 2023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2022,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0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Directly or Indirectly</w:t>
            </w:r>
          </w:p>
        </w:tc>
        <w:tc>
          <w:tcPr>
            <w:tcW w:w="160" w:type="dxa"/>
            <w:vAlign w:val="bottom"/>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200"/>
        </w:trPr>
        <w:tc>
          <w:tcPr>
            <w:tcW w:w="4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rPr>
              <w:t>Observable Inputs</w:t>
            </w:r>
          </w:p>
        </w:tc>
        <w:tc>
          <w:tcPr>
            <w:tcW w:w="1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4"/>
          </w:tcPr>
          <w:p>
            <w:pPr>
              <w:ind w:left="11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4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4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6"/>
        </w:trPr>
        <w:tc>
          <w:tcPr>
            <w:tcW w:w="47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ind w:left="1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2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six months ended June 30, 2023, we paid $8 million in connection with our 2020 acquisition of certain assets of Passport Health Plan, Inc., which represented the final payment of the consideration due relating to an operating income guarantee. The amount paid in the six months ended June 30, 2023, has been presented in “Operating activities” in the accompanying consolidated statements of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3"/>
              <w:spacing w:after="0" w:line="14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right"/>
              <w:ind w:right="383"/>
              <w:spacing w:after="0" w:line="14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0"/>
        </w:trPr>
        <w:tc>
          <w:tcPr>
            <w:tcW w:w="482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2,178</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1,918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2,176</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5.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2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rPr>
              <w:t>June 30, 2023</w:t>
            </w: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80" w:type="dxa"/>
            <w:vAlign w:val="bottom"/>
            <w:gridSpan w:val="3"/>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4"/>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80" w:type="dxa"/>
            <w:vAlign w:val="bottom"/>
            <w:gridSpan w:val="3"/>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3"/>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60" w:type="dxa"/>
            <w:vAlign w:val="bottom"/>
            <w:gridSpan w:val="6"/>
          </w:tcPr>
          <w:p>
            <w:pPr>
              <w:spacing w:after="0"/>
              <w:rPr>
                <w:sz w:val="20"/>
                <w:szCs w:val="20"/>
                <w:color w:val="auto"/>
              </w:rPr>
            </w:pPr>
            <w:r>
              <w:rPr>
                <w:rFonts w:ascii="Arial" w:cs="Arial" w:eastAsia="Arial" w:hAnsi="Arial"/>
                <w:sz w:val="18"/>
                <w:szCs w:val="18"/>
                <w:color w:val="auto"/>
              </w:rPr>
              <w:t>The contractual maturities of our current investments as of June 30, 2023 are summarized below:</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center"/>
              <w:ind w:right="3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Gross realized gains and losses from sales of available-for-sale securities are calculated under the specific identification method and are included in investment income. Gross realized investment gains were insignificant for the six months ended June 30, 2023, and 2022. Gross realized investment losses amounted to $10 million in the six months ended June 30, 2023, and were reclassified into earnings from other comprehensive income on a net-of-tax basis. Gross realized investment losses were insignificant in the six months ended June 30, 2022.</w:t>
      </w:r>
    </w:p>
    <w:p>
      <w:pPr>
        <w:spacing w:after="0" w:line="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determined that unrealized losses at June 30, 2023, and December 31, 2022,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2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40" w:type="dxa"/>
            <w:vAlign w:val="bottom"/>
            <w:gridSpan w:val="8"/>
          </w:tcPr>
          <w:p>
            <w:pPr>
              <w:jc w:val="center"/>
              <w:ind w:right="122"/>
              <w:spacing w:after="0"/>
              <w:rPr>
                <w:sz w:val="20"/>
                <w:szCs w:val="20"/>
                <w:color w:val="auto"/>
              </w:rPr>
            </w:pPr>
            <w:r>
              <w:rPr>
                <w:rFonts w:ascii="Arial" w:cs="Arial" w:eastAsia="Arial" w:hAnsi="Arial"/>
                <w:sz w:val="14"/>
                <w:szCs w:val="14"/>
                <w:b w:val="1"/>
                <w:bCs w:val="1"/>
                <w:color w:val="auto"/>
              </w:rPr>
              <w:t>In a Continuous Loss Position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gridSpan w:val="6"/>
          </w:tcPr>
          <w:p>
            <w:pPr>
              <w:jc w:val="center"/>
              <w:ind w:right="14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3" w:lineRule="exact"/>
              <w:rPr>
                <w:sz w:val="20"/>
                <w:szCs w:val="20"/>
                <w:color w:val="auto"/>
              </w:rPr>
            </w:pPr>
            <w:r>
              <w:rPr>
                <w:rFonts w:ascii="Arial" w:cs="Arial" w:eastAsia="Arial" w:hAnsi="Arial"/>
                <w:sz w:val="14"/>
                <w:szCs w:val="14"/>
                <w:b w:val="1"/>
                <w:bCs w:val="1"/>
                <w:color w:val="auto"/>
              </w:rPr>
              <w:t>Estimated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23"/>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9"/>
              </w:rPr>
              <w:t>Losses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1,484</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890</w:t>
            </w: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2,031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gridSpan w:val="8"/>
          </w:tcPr>
          <w:p>
            <w:pPr>
              <w:jc w:val="center"/>
              <w:ind w:right="142"/>
              <w:spacing w:after="0"/>
              <w:rPr>
                <w:sz w:val="20"/>
                <w:szCs w:val="20"/>
                <w:color w:val="auto"/>
              </w:rPr>
            </w:pPr>
            <w:r>
              <w:rPr>
                <w:rFonts w:ascii="Arial" w:cs="Arial" w:eastAsia="Arial" w:hAnsi="Arial"/>
                <w:sz w:val="14"/>
                <w:szCs w:val="14"/>
                <w:b w:val="1"/>
                <w:bCs w:val="1"/>
                <w:color w:val="auto"/>
              </w:rPr>
              <w:t>In a Continuous Loss Position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2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rPr>
              <w:t>In a Continuous Loss Position</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Less than 12 Months</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for 12 Months or More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62"/>
              <w:spacing w:after="0" w:line="14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42"/>
              <w:spacing w:after="0" w:line="14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62"/>
        </w:trPr>
        <w:tc>
          <w:tcPr>
            <w:tcW w:w="2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$249 million at June 30, 2023, of which $112 million will mature in one year or less, $131 million will mature in one through five years, and $6 million will mature after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6. Medical Claims and Benefits Payable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0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r>
      <w:tr>
        <w:trPr>
          <w:trHeight w:val="237"/>
        </w:trPr>
        <w:tc>
          <w:tcPr>
            <w:tcW w:w="8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0"/>
                <w:szCs w:val="20"/>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2,612</w:t>
            </w:r>
          </w:p>
        </w:tc>
        <w:tc>
          <w:tcPr>
            <w:tcW w:w="62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2,597</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206</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w:t>
            </w:r>
          </w:p>
        </w:tc>
      </w:tr>
      <w:tr>
        <w:trPr>
          <w:trHeight w:val="23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3,677</w:t>
            </w:r>
          </w:p>
        </w:tc>
        <w:tc>
          <w:tcPr>
            <w:tcW w:w="62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$277 million and $228 million as of June 30, 2023, and December 31, 2022, respectively.</w:t>
      </w:r>
    </w:p>
    <w:p>
      <w:pPr>
        <w:spacing w:after="0" w:line="60"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Six Months Ended June 30, 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49"/>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14,180</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13,909</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11,166</w:t>
            </w: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13,816</w:t>
            </w:r>
          </w:p>
        </w:tc>
      </w:tr>
      <w:tr>
        <w:trPr>
          <w:trHeight w:val="20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Medicaid</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Medicare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Marketplace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w:t>
            </w: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10"/>
        </w:trPr>
        <w:tc>
          <w:tcPr>
            <w:tcW w:w="5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13,435</w:t>
            </w: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10,622</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13,033</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3,073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3,775</w:t>
            </w: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estimates of medical claims and benefits payable recorded at December 31, 2022, and 2021 developed favorably by approximately $271 million and $311 million as of June 30, 2023, and 2022, respectively.</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favorable prior year development recognized in the six months ended June 30, 2023 was primarily due to lower than expected utilization of medical services by our members and improved operating performance. Consequently, the ultimate costs recognized in 2023, as claims payments were processed, were lower than our estimates in 2022.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7.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debt obligations, all of which are non-current as of the dates reported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00" w:type="dxa"/>
            <w:vAlign w:val="bottom"/>
          </w:tcPr>
          <w:p>
            <w:pPr>
              <w:spacing w:after="0"/>
              <w:rPr>
                <w:sz w:val="16"/>
                <w:szCs w:val="16"/>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r>
      <w:tr>
        <w:trPr>
          <w:trHeight w:val="236"/>
        </w:trPr>
        <w:tc>
          <w:tcPr>
            <w:tcW w:w="8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0"/>
                <w:szCs w:val="20"/>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800</w:t>
            </w:r>
          </w:p>
        </w:tc>
        <w:tc>
          <w:tcPr>
            <w:tcW w:w="62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9"/>
        </w:trPr>
        <w:tc>
          <w:tcPr>
            <w:tcW w:w="8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r>
      <w:tr>
        <w:trPr>
          <w:trHeight w:val="213"/>
        </w:trPr>
        <w:tc>
          <w:tcPr>
            <w:tcW w:w="800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19"/>
        </w:trPr>
        <w:tc>
          <w:tcPr>
            <w:tcW w:w="8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000" w:type="dxa"/>
            <w:vAlign w:val="bottom"/>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2,178</w:t>
            </w:r>
          </w:p>
        </w:tc>
        <w:tc>
          <w:tcPr>
            <w:tcW w:w="62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2,176</w:t>
            </w:r>
          </w:p>
        </w:tc>
      </w:tr>
      <w:tr>
        <w:trPr>
          <w:trHeight w:val="20"/>
        </w:trPr>
        <w:tc>
          <w:tcPr>
            <w:tcW w:w="8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Effective April 26, 2023, we amended the Credit Agreement to transition from the use of the London Interbank Offered Rate, or LIBOR, to the Secured Overnight Financing Rate, or SOFR, as a benchmark interest rate used in the Credit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We have other relationships, including financial advisory and banking, with some parties to the Credit Agreement.</w:t>
      </w:r>
    </w:p>
    <w:p>
      <w:pPr>
        <w:spacing w:after="0" w:line="11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Credit Agreement contains customary non-financial and financial covenants. As of June 30, 2023, we were in compliance with all financial and non-financial covenants under the Credit Agreement. As of June 30, 2023, no amounts were outstanding under the Credit Facility.</w:t>
      </w:r>
    </w:p>
    <w:p>
      <w:pPr>
        <w:spacing w:after="0" w:line="200" w:lineRule="exact"/>
        <w:rPr>
          <w:sz w:val="20"/>
          <w:szCs w:val="20"/>
          <w:color w:val="auto"/>
        </w:rPr>
      </w:pPr>
    </w:p>
    <w:p>
      <w:pPr>
        <w:spacing w:after="0" w:line="3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June 30, 2023, we were in compliance with all non-financial covenants in the indentures governing the senior notes.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6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which are due November 15, 2030, unless earlier redeemed. Interest, at a rate of 3.875% per annum, is payable semiannually in arrears on May 15 and November 15.</w:t>
      </w:r>
    </w:p>
    <w:p>
      <w:pPr>
        <w:spacing w:after="0" w:line="68"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had $ 750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8. Segments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66"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48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r>
      <w:tr>
        <w:trPr>
          <w:trHeight w:val="236"/>
        </w:trPr>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6,728</w:t>
            </w:r>
          </w:p>
        </w:tc>
        <w:tc>
          <w:tcPr>
            <w:tcW w:w="110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6,524</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13,306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12,711</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1,912</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1,165</w:t>
            </w:r>
          </w:p>
        </w:tc>
      </w:tr>
      <w:tr>
        <w:trPr>
          <w:trHeight w:val="219"/>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r>
      <w:tr>
        <w:trPr>
          <w:trHeight w:val="210"/>
        </w:trPr>
        <w:tc>
          <w:tcPr>
            <w:tcW w:w="4820" w:type="dxa"/>
            <w:vAlign w:val="bottom"/>
          </w:tcPr>
          <w:p>
            <w:pPr>
              <w:ind w:left="480"/>
              <w:spacing w:after="0"/>
              <w:rPr>
                <w:sz w:val="20"/>
                <w:szCs w:val="20"/>
                <w:color w:val="auto"/>
              </w:rPr>
            </w:pPr>
            <w:r>
              <w:rPr>
                <w:rFonts w:ascii="Arial" w:cs="Arial" w:eastAsia="Arial" w:hAnsi="Arial"/>
                <w:sz w:val="16"/>
                <w:szCs w:val="16"/>
                <w:color w:val="auto"/>
              </w:rPr>
              <w:t>Total</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8,327</w:t>
            </w:r>
          </w:p>
        </w:tc>
        <w:tc>
          <w:tcPr>
            <w:tcW w:w="110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8,054</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16,476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15,824</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2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r>
      <w:tr>
        <w:trPr>
          <w:trHeight w:val="237"/>
        </w:trPr>
        <w:tc>
          <w:tcPr>
            <w:tcW w:w="4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756</w:t>
            </w:r>
          </w:p>
        </w:tc>
        <w:tc>
          <w:tcPr>
            <w:tcW w:w="11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755</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1,490</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1,465</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482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219"/>
        </w:trPr>
        <w:tc>
          <w:tcPr>
            <w:tcW w:w="48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6"/>
        </w:trPr>
        <w:tc>
          <w:tcPr>
            <w:tcW w:w="4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r>
      <w:tr>
        <w:trPr>
          <w:trHeight w:val="209"/>
        </w:trPr>
        <w:tc>
          <w:tcPr>
            <w:tcW w:w="4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3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140" w:type="dxa"/>
            <w:vAlign w:val="bottom"/>
            <w:gridSpan w:val="2"/>
            <w:shd w:val="clear" w:color="auto" w:fill="CCEEFF"/>
          </w:tcPr>
          <w:p>
            <w:pPr>
              <w:jc w:val="right"/>
              <w:ind w:right="84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certain other revenue.</w:t>
      </w:r>
    </w:p>
    <w:p>
      <w:pPr>
        <w:spacing w:after="0" w:line="22" w:lineRule="exact"/>
        <w:rPr>
          <w:rFonts w:ascii="Arial" w:cs="Arial" w:eastAsia="Arial" w:hAnsi="Arial"/>
          <w:sz w:val="16"/>
          <w:szCs w:val="16"/>
          <w:color w:val="auto"/>
        </w:rPr>
      </w:pPr>
    </w:p>
    <w:p>
      <w:pPr>
        <w:ind w:left="340" w:right="560" w:hanging="332"/>
        <w:spacing w:after="0" w:line="27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certain other operating expenses.</w:t>
      </w:r>
    </w:p>
    <w:p>
      <w:pPr>
        <w:spacing w:after="0" w:line="69" w:lineRule="exact"/>
        <w:rPr>
          <w:sz w:val="20"/>
          <w:szCs w:val="20"/>
          <w:color w:val="auto"/>
        </w:rPr>
      </w:pPr>
    </w:p>
    <w:p>
      <w:pPr>
        <w:ind w:right="8180" w:firstLine="8"/>
        <w:spacing w:after="0" w:line="381" w:lineRule="auto"/>
        <w:tabs>
          <w:tab w:leader="none" w:pos="200" w:val="left"/>
        </w:tabs>
        <w:numPr>
          <w:ilvl w:val="0"/>
          <w:numId w:val="7"/>
        </w:numPr>
        <w:rPr>
          <w:rFonts w:ascii="Arial" w:cs="Arial" w:eastAsia="Arial" w:hAnsi="Arial"/>
          <w:sz w:val="18"/>
          <w:szCs w:val="18"/>
          <w:b w:val="1"/>
          <w:bCs w:val="1"/>
          <w:color w:val="828282"/>
        </w:rPr>
      </w:pPr>
      <w:r>
        <w:rPr>
          <w:rFonts w:ascii="Arial" w:cs="Arial" w:eastAsia="Arial" w:hAnsi="Arial"/>
          <w:sz w:val="18"/>
          <w:szCs w:val="18"/>
          <w:b w:val="1"/>
          <w:bCs w:val="1"/>
          <w:color w:val="828282"/>
        </w:rPr>
        <w:t xml:space="preserve">Commitments and Contingencies </w:t>
      </w:r>
      <w:r>
        <w:rPr>
          <w:rFonts w:ascii="Arial" w:cs="Arial" w:eastAsia="Arial" w:hAnsi="Arial"/>
          <w:sz w:val="18"/>
          <w:szCs w:val="18"/>
          <w:b w:val="1"/>
          <w:bCs w:val="1"/>
          <w:i w:val="1"/>
          <w:iCs w:val="1"/>
          <w:color w:val="000000"/>
        </w:rPr>
        <w:t>Overview</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the Kentucky Finance and Administration Cabinet, the Kentucky Cabinet for Health and Family Services, and all of the five winning bidder health plans, including our Kentucky health plan. On September 9, 2022, the Kentucky Court of Appeals ruled that, with regard to the earlier Circuit Court ruling granting Anthem relief, the Circuit Court should not have invalidated the 2020 procurement and thus should not have awarded a contract to Anthem. Anthem sought discretionary review by the Kentucky Supreme Court of the ruling by the Court of Appeals. On April 19, 2023, the Kentucky Supreme Court granted Anthem’s request for discretionary review and ordered legal briefing, which we expect to be completed by early September 2023. Pending further Court order, our Kentucky health plan will continue to operate for the foreseeable future under its current Medicaid contract.</w:t>
      </w:r>
    </w:p>
    <w:p>
      <w:pPr>
        <w:spacing w:after="0" w:line="7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with the Commonwealth of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Court of First Instance, San Juan (State Court) asserting, among other claims, breach of contract against Puerto Rico Health Insurance Administration (“ASES”). On September 13, 2021, ASES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filed a counterclaim and a third-party complaint against MHPR and the Company. This matter remains subject to significant additional proceedings, and no prediction can be made as to the outcome.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160"/>
        <w:spacing w:after="0" w:line="289"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FORWARD-LOOKING STATEMENTS</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“embedded,”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2022 Annual Report on Form 10-K, including without limitation risks related to the following matters:</w:t>
      </w:r>
    </w:p>
    <w:p>
      <w:pPr>
        <w:spacing w:after="0" w:line="87" w:lineRule="exact"/>
        <w:rPr>
          <w:sz w:val="20"/>
          <w:szCs w:val="20"/>
          <w:color w:val="auto"/>
        </w:rPr>
      </w:pPr>
    </w:p>
    <w:p>
      <w:pPr>
        <w:ind w:left="340" w:right="80" w:hanging="332"/>
        <w:spacing w:after="0" w:line="255"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Medicaid redeterminations across the country following the ending of the Public Health Emergency (“PHE”) for the COVID-19 pandemic, including the accuracy of our projections regarding the number of members we expect to retain, their health acuity levels, and the scale of the transition of members out of the Medicaid program and the actuarially sound adjustment of rates with regard to the remaining population;</w:t>
      </w:r>
    </w:p>
    <w:p>
      <w:pPr>
        <w:spacing w:after="0" w:line="2" w:lineRule="exact"/>
        <w:rPr>
          <w:rFonts w:ascii="Arial" w:cs="Arial" w:eastAsia="Arial" w:hAnsi="Arial"/>
          <w:sz w:val="18"/>
          <w:szCs w:val="18"/>
          <w:i w:val="1"/>
          <w:iCs w:val="1"/>
          <w:color w:val="auto"/>
        </w:rPr>
      </w:pPr>
    </w:p>
    <w:p>
      <w:pPr>
        <w:ind w:left="340" w:right="5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budget pressures on state governments following the ending of the PHE and reduced federal matching funds, and states’ efforts to reduce rates or limit rate increases;</w:t>
      </w:r>
    </w:p>
    <w:p>
      <w:pPr>
        <w:jc w:val="both"/>
        <w:ind w:left="340" w:right="78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constantly evolving market dynamics surrounding the Affordable Care Act (</w:t>
      </w:r>
      <w:r>
        <w:rPr>
          <w:rFonts w:ascii="Arial" w:cs="Arial" w:eastAsia="Arial" w:hAnsi="Arial"/>
          <w:sz w:val="18"/>
          <w:szCs w:val="18"/>
          <w:color w:val="auto"/>
        </w:rPr>
        <w:t>“</w:t>
      </w:r>
      <w:r>
        <w:rPr>
          <w:rFonts w:ascii="Arial" w:cs="Arial" w:eastAsia="Arial" w:hAnsi="Arial"/>
          <w:sz w:val="18"/>
          <w:szCs w:val="18"/>
          <w:i w:val="1"/>
          <w:iCs w:val="1"/>
          <w:color w:val="auto"/>
        </w:rPr>
        <w:t>ACA”) Marketplaces, including issues impacting enrollment, special enrollment periods, member choice, risk adjustment estimates and results, Marketplace plan insolvencies or receiverships, and the potential for disproportionate enrollment of higher acuity members;</w:t>
      </w:r>
    </w:p>
    <w:p>
      <w:pPr>
        <w:spacing w:after="0" w:line="1" w:lineRule="exact"/>
        <w:rPr>
          <w:rFonts w:ascii="Arial" w:cs="Arial" w:eastAsia="Arial" w:hAnsi="Arial"/>
          <w:sz w:val="18"/>
          <w:szCs w:val="18"/>
          <w:color w:val="auto"/>
        </w:rPr>
      </w:pPr>
    </w:p>
    <w:p>
      <w:pPr>
        <w:ind w:left="340" w:right="7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w:t>
      </w:r>
    </w:p>
    <w:p>
      <w:pPr>
        <w:ind w:left="340" w:right="30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success of the scaling up of our operations in California, Nebraska, and Indiana in connection with our recent request for proposal (“RFP”) wins, and the satisfaction of all readiness review requirements under the new Medicaid contracts;</w:t>
      </w:r>
    </w:p>
    <w:p>
      <w:pPr>
        <w:ind w:left="340" w:right="820" w:hanging="332"/>
        <w:spacing w:after="0" w:line="250"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close, integrate, and realize benefits from acquisitions, including the acquisitions of AgeWell New York, My Choice Wisconsin, Brand New Day and Central Health Plan of California;</w:t>
      </w:r>
    </w:p>
    <w:p>
      <w:pPr>
        <w:ind w:left="340" w:right="18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predict with a reasonable degree of accuracy utilization rates;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cyber-attacks, ransomware attacks, or other privacy or data security incidents involving either ourselves or our contracted vendors that result in an inadvertent unauthorized disclosure of protected information, and the extent to which our working in a remote work environment heightens our exposure to these risks;</w:t>
      </w:r>
    </w:p>
    <w:p>
      <w:pPr>
        <w:spacing w:after="0" w:line="1" w:lineRule="exact"/>
        <w:rPr>
          <w:rFonts w:ascii="Arial" w:cs="Arial" w:eastAsia="Arial" w:hAnsi="Arial"/>
          <w:sz w:val="18"/>
          <w:szCs w:val="18"/>
          <w:color w:val="auto"/>
        </w:rPr>
      </w:pPr>
    </w:p>
    <w:p>
      <w:pPr>
        <w:ind w:left="340" w:right="120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86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impact of our transition to a permanent remote work environment, including any associated impairment charges or contract termination costs;</w:t>
      </w:r>
    </w:p>
    <w:p>
      <w:pPr>
        <w:ind w:left="340" w:right="20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40" w:right="36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our estimates of amounts owed for such minimum annual medical loss ratio (“Minimum MLR”), administrative cost and profit ceilings, premium stabilization programs, profit-sharing arrangements, and risk adjustment provisions and requirements;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18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2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and continuance of programs in California, Illinois, Michigan, Ohio, South Carolina, and Texas serving those dually eligible for both Medicaid and Medicare;</w:t>
      </w:r>
    </w:p>
    <w:p>
      <w:pPr>
        <w:ind w:left="340" w:right="200" w:hanging="332"/>
        <w:spacing w:after="0" w:line="250" w:lineRule="auto"/>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increasing integration of Medicare and Medicaid programmatic and compliance requirements, and the extension or incorporation of federal Medicare requirements developed by CMS into state-administered Medicaid programs;</w:t>
      </w: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efficient and effective operations of the vendors on whom our business relies;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color w:val="auto"/>
        </w:rPr>
      </w:pPr>
    </w:p>
    <w:p>
      <w:pPr>
        <w:ind w:left="340" w:right="5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5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success of our providers, including delegated providers, the adequacy of our provider networks, the successful maintenance of relations with our providers, and the potential loss of providers;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resolution of litigation, arbitration, or administrative proceedings;</w:t>
      </w:r>
    </w:p>
    <w:p>
      <w:pPr>
        <w:spacing w:after="0" w:line="9" w:lineRule="exact"/>
        <w:rPr>
          <w:rFonts w:ascii="Arial" w:cs="Arial" w:eastAsia="Arial" w:hAnsi="Arial"/>
          <w:sz w:val="18"/>
          <w:szCs w:val="18"/>
          <w:color w:val="auto"/>
        </w:rPr>
      </w:pPr>
    </w:p>
    <w:p>
      <w:pPr>
        <w:ind w:left="340" w:right="66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greater scale and revenues of our health plans in California, New York, Ohio, Texas, and Washington, and risks related to the concentration of our business in those states;</w:t>
      </w:r>
    </w:p>
    <w:p>
      <w:pPr>
        <w:ind w:left="340" w:right="40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senior notes;</w:t>
      </w: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changes generally affecting the managed care industry, including any new federal or state legislation that impacts the business space in which we operate;</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impact of inflation on our medical costs and the cost of refinancing our outstanding indebtedness;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increasing competition and consolidation in the Medicaid industry.</w:t>
      </w:r>
    </w:p>
    <w:p>
      <w:pPr>
        <w:spacing w:after="0" w:line="10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Readers should refer to the section entitled “Risk Factors” in our 2022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1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Molina Healthcare, Inc., a FORTUNE 500 company (currently ranked 126), provides managed healthcare services under the Medicaid and Medicare programs, and through the state insurance marketplaces (the “Marketplace”). We served approximately 5.2 million members as of June 30, 2023, located across 19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SECOND QUARTER 2023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$309 million, or $5.35 per diluted share, for the second quarter of 2023, which reflected the following:</w:t>
      </w:r>
    </w:p>
    <w:p>
      <w:pPr>
        <w:spacing w:after="0" w:line="117" w:lineRule="exact"/>
        <w:rPr>
          <w:sz w:val="20"/>
          <w:szCs w:val="20"/>
          <w:color w:val="auto"/>
        </w:rPr>
      </w:pPr>
    </w:p>
    <w:p>
      <w:pPr>
        <w:ind w:left="660" w:right="10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Membership increased 58,000, or 1%, compared with June 30, 2022, and decreased sequentially by 90,000 compared to March 31, 2023 as expected, due to redetermination impacts;</w:t>
      </w:r>
    </w:p>
    <w:p>
      <w:pPr>
        <w:ind w:left="660" w:right="3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Premium revenue of $8.0 billion increased 3% compared with the second quarter of 2022, reflecting the increased membership in Medicaid and Medicare, partially offset by the impact of expected attrition in Marketplace membership;</w:t>
      </w:r>
    </w:p>
    <w:p>
      <w:pPr>
        <w:ind w:left="660" w:right="4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medical care ratio (“MCR”) was 87.5%, compared with 88.1% for the second quarter of 2022, reflecting continued strong operating performance and medical cost management;</w:t>
      </w:r>
    </w:p>
    <w:p>
      <w:pPr>
        <w:ind w:left="660" w:right="3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7.4%, compared with 6.8% in the second quarter of 2022, reflecting new business implementation spending ahead of new contract wins starting in July 2023 and in 2024, partially offset by the benefits of disciplined cost management;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After-tax margin of 3.7%, which was in line with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and other financial information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51"/>
        </w:trPr>
        <w:tc>
          <w:tcPr>
            <w:tcW w:w="4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 millions, except per-share amounts)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8,042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7,799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15,927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15,330</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Less: medical care costs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7,038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6,872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13,909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13,435</w:t>
            </w:r>
          </w:p>
        </w:tc>
      </w:tr>
      <w:tr>
        <w:trPr>
          <w:trHeight w:val="20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1,004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1,895</w:t>
            </w: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25"/>
                <w:szCs w:val="25"/>
                <w:i w:val="1"/>
                <w:iCs w:val="1"/>
                <w:color w:val="auto"/>
                <w:vertAlign w:val="subscript"/>
              </w:rPr>
              <w:t>MCR</w:t>
            </w:r>
            <w:r>
              <w:rPr>
                <w:rFonts w:ascii="Arial" w:cs="Arial" w:eastAsia="Arial" w:hAnsi="Arial"/>
                <w:sz w:val="9"/>
                <w:szCs w:val="9"/>
                <w:i w:val="1"/>
                <w:iCs w:val="1"/>
                <w:color w:val="auto"/>
              </w:rPr>
              <w:t xml:space="preserve"> (1)</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87.5 %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88.1 %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87.3 %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87.6 %</w:t>
            </w:r>
          </w:p>
        </w:tc>
      </w:tr>
      <w:tr>
        <w:trPr>
          <w:trHeight w:val="216"/>
        </w:trPr>
        <w:tc>
          <w:tcPr>
            <w:tcW w:w="4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423</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33</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r>
      <w:tr>
        <w:trPr>
          <w:trHeight w:val="216"/>
        </w:trPr>
        <w:tc>
          <w:tcPr>
            <w:tcW w:w="4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1,122</w:t>
            </w: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7.3 %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7.1 %</w:t>
            </w:r>
          </w:p>
        </w:tc>
      </w:tr>
      <w:tr>
        <w:trPr>
          <w:trHeight w:val="216"/>
        </w:trPr>
        <w:tc>
          <w:tcPr>
            <w:tcW w:w="4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423</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0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733</w:t>
            </w:r>
          </w:p>
        </w:tc>
      </w:tr>
      <w:tr>
        <w:trPr>
          <w:trHeight w:val="20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w:t>
            </w:r>
          </w:p>
        </w:tc>
      </w:tr>
      <w:tr>
        <w:trPr>
          <w:trHeight w:val="212"/>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678</w:t>
            </w:r>
          </w:p>
        </w:tc>
      </w:tr>
      <w:tr>
        <w:trPr>
          <w:trHeight w:val="21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172</w:t>
            </w:r>
          </w:p>
        </w:tc>
      </w:tr>
      <w:tr>
        <w:trPr>
          <w:trHeight w:val="232"/>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4.25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10.87</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5.1</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r>
      <w:tr>
        <w:trPr>
          <w:trHeight w:val="281"/>
        </w:trPr>
        <w:tc>
          <w:tcPr>
            <w:tcW w:w="454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22"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12"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NET INCOME AND OPERATING INCOME</w:t>
      </w:r>
    </w:p>
    <w:p>
      <w:pPr>
        <w:spacing w:after="0" w:line="12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income in the second quarter of 2023 amounted to $309 million, or $5.35 per diluted share, compared with $248 million, or $4.25 per diluted share, in the second quarter of 2022. The 25% increase in net income is consistent with the improvement in operating income, which increased to $443 million in the second quarter of 2023, compared with $361 million in the second quarter of 2022.</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income in the six months ended June 30, 2023 amounted to $630 million, or $10.87 per diluted share, compared with $506 million, or $8.63 per diluted share, in the six months ended June 30, 2022. The 25% increase in net income is consistent with the improvement in operating income of $898 million in the six months ended June 30, 2023, compared with $733 million in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improvement in operating income for both periods was mainly due to membership growth that drove higher premium revenues, and medical margin, and increased investment income.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REVENUE</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Premium revenue increased $243 million, or 3%, in the second quarter of 2023, when compared with the second quarter of 2022, and increased $597 million, or 4%, in the six months ended June 30, 2023, when compared with the six months ended June 30, 2022. The higher premium revenue reflects increased organic membership in the Medicaid and Medicare segments and the impact from the AgeWell acquisition that closed in the fourth quarter of 2022, partially offset by a decline in the Marketplace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MEDICAL CARE RATIO</w:t>
      </w:r>
    </w:p>
    <w:p>
      <w:pPr>
        <w:spacing w:after="0" w:line="1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consolidated MCR in the second quarter of 2023 decreased to 87.5%, compared with 88.1% in the second quarter of 2022, or 60 basis points. The consolidated MCR in the six months ended June 30, 2023 decreased to 87.3%, compared with 87.6% MCR for the six months ended June 30, 2022, or 30 basis points. The improvement reflects continued strong operating performance and medical cost management. See further discussion in “Reportable Segments—Segment Financial Performance,” below.</w:t>
      </w:r>
    </w:p>
    <w:p>
      <w:pPr>
        <w:spacing w:after="0" w:line="9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Prior year reserve development has been favorable for the six months ended June 30, 2023, but its impact on earnings has been mostly absorbed by minimum MLRs and medical cost corridors.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PREMIUM TAX REVENUE AND EXPENSES</w:t>
      </w:r>
    </w:p>
    <w:p>
      <w:pPr>
        <w:spacing w:after="0" w:line="12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2.0% and 2.7% for the second quarter of 2023 and 2022, respectively, and 2.1% and 2.7% for the six months ended June 30, 2023 and 2022, respectively. The current year ratio decrease was mainly due to changes in business mix.</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INVESTMENT INCOME</w:t>
      </w:r>
    </w:p>
    <w:p>
      <w:pPr>
        <w:spacing w:after="0" w:line="12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Investment income increased to $97 million in the second quarter of 2023, compared with $22 million in the second quarter of 2022, and increased to $168 million in the six months ended June 30, 2023, compared with $33 million in the six months ended June 30, 2022.The increase in both periods was mainly driven by an increase in interest rates and, to a lesser extent, higher levels of invested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REVENUE</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revenue increased slightly to $19 million in the second quarter of 2023, compared with $18 million in the second quarter of 2022, and increased to $40 million in the six months ended June 30, 2023, compared with $38 million in the six months ended June 30, 2022. Other revenue mainly includes service revenue associated with long-term services and supports consultative services we provide in Wisconsin.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G&amp;A EXPENSES</w:t>
      </w:r>
    </w:p>
    <w:p>
      <w:pPr>
        <w:spacing w:after="0" w:line="1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G&amp;A expense ratio increased to 7.4% in the second quarter of 2023, compared with 6.8% in the second quarter of 2022. The G&amp;A expense ratio was 7.3% in the six months ended June 30, 2023, compared with 7.1% in the six months ended June 30, 2022. The increase resulted primarily from deployment costs for new business implementation associated with our recent contract wins that started in July and will start in 2024 and was partially offset by the benefits of scale and continued disciplined cost management.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DEPRECIATION AND AMORTIZATION</w:t>
      </w:r>
    </w:p>
    <w:p>
      <w:pPr>
        <w:spacing w:after="0" w:line="12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Depreciation and amortization was $42 million in the second quarter of 2023, compared with $44 million in the second quarter of 2022, and increased to $86 million in the six months ended June 30, 2023, compared with $84 million in the six months ended June 30,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OPERATING EXPENSES</w:t>
      </w:r>
    </w:p>
    <w:p>
      <w:pPr>
        <w:spacing w:after="0" w:line="1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Other operating expenses increased to $17 million in the second quarter of 2023, compared with $11 million in the second quarter of 2022, and increased to $33 million in the six months ended June 30, 2023, compared with $27 million in the six months ended June 30, 2022. Other operating expenses mainly includes service costs associated with long-term services and supports consultative services we provide in Wisconsin, as noted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INTEREST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$27 million in the second quarter of 2023 and 2022, and $55 million in the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INCOME TAXES</w:t>
      </w:r>
    </w:p>
    <w:p>
      <w:pPr>
        <w:spacing w:after="0" w:line="1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Income tax expense amounted to $107 million in the second quarter of 2023, or 25.5% of pretax income, compared with income tax expense of $86 million, or 25.8% of pretax income in the second quarter of 2022. Income tax expense amounted to $213 million in the six months ended June 30, 2023, or 25.2% of pretax income, compared with income tax expense of $172 million, or 25.4% of pretax income in the six months ended June 30, 2022. The difference in the effective tax rate is primarily due to state income taxes.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COVID-19 PANDEMIC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PHE officially ended on May 11, 2023. There are several other healthcare programs tied to the PHE which are impacted by this change in policy. These include coverage of COVID-19 testing and vaccines, changes to the Medicare fee schedule for COVID-related treatments, and free coverage of at-home COVID-19 diagnostic tests. Per federal statutory and regulatory requirements, some of these programs concluded with the end of the PHE, while some will continue for the rest of 2023 or through 2024, and some will remain in place permanently.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Excluding acquisitions and our exit from Puerto Rico, we added approximately 800,000 new Medicaid members since March 31, 2020, when we first began to report on the impacts of the pandemic. We believe this membership increase was mainly due to the suspension of redeterminations for Medicaid eligibility. The recently passed Consolidated Appropriations Act of 2023 authorizes states to resume redeterminations and terminate coverage for ineligible enrollees starting on April 1, 2023, irrespective of the status of the PHE. Consequently, during the second quarter of 2023, all but four of the states in which we operate began disenrolling members, with the remaining states initiating disenrollment on July 1, 2023. Our Medicaid membership declined 93,000 members during the second quarter of 2023, which was within our expectations. Although the medical cost profile of members who have left is slightly more favorable than the portfolio average, the impact on our Medicaid MCR during the second quarter of 2023 was negligible and within our expectations. We are still in the early stages of the Medicaid redetermination process, but based on the experience to date, we continue to expect that we will retain approximately half the membership gained since March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OTHER RECENT DEVELOPMENTS</w:t>
      </w:r>
    </w:p>
    <w:p>
      <w:pPr>
        <w:spacing w:after="0" w:line="121"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Iowa Procurement—Medicaid. </w:t>
      </w:r>
      <w:r>
        <w:rPr>
          <w:rFonts w:ascii="Arial" w:cs="Arial" w:eastAsia="Arial" w:hAnsi="Arial"/>
          <w:sz w:val="18"/>
          <w:szCs w:val="18"/>
          <w:color w:val="auto"/>
        </w:rPr>
        <w:t>Our new contract with the Iowa Department of Health and Human Services commenced on July 1,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offers health coverage to TANF, CHIP, ABD, LTSS and Medicaid Expansion beneficiaries. This new contract has a term of four years, with a potential for two two-year extensions.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Mississippi Procurement—Medicaid. </w:t>
      </w:r>
      <w:r>
        <w:rPr>
          <w:rFonts w:ascii="Arial" w:cs="Arial" w:eastAsia="Arial" w:hAnsi="Arial"/>
          <w:sz w:val="18"/>
          <w:szCs w:val="18"/>
          <w:color w:val="auto"/>
        </w:rPr>
        <w:t>In August 2022, we announced that our Mississippi health plan had been notified by the Mississippi</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Medicaid (“DOM”) of its intent to award a Medicaid Coordinated Care Contract for its Mississippi Coordinated Access Program and Mississippi Children’s Health Insurance Program pursuant to the Request for Qualifications issued by DOM in December 2021. The four-year contract was expected to begin on July 1, 2023, but in the second quarter of 2023, DOM extended the existing contracts by an additional year. We now expect the four-year contract to commence July 1, 2024, and DOM has discretion to extend the new awards for an additional two-years. The award enables us to continue serving Medicaid members across the state.</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California Acquisition—Medicare. </w:t>
      </w:r>
      <w:r>
        <w:rPr>
          <w:rFonts w:ascii="Arial" w:cs="Arial" w:eastAsia="Arial" w:hAnsi="Arial"/>
          <w:sz w:val="18"/>
          <w:szCs w:val="18"/>
          <w:color w:val="auto"/>
        </w:rPr>
        <w:t>On June 30, 2023, we announced a definitive agreement to acquire 100% of the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Brand New Day and Central Health Plan of California, each of which is a 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We currently expect the transaction to close by the first quarter of 2024.</w:t>
      </w:r>
    </w:p>
    <w:p>
      <w:pPr>
        <w:spacing w:after="0" w:line="7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i w:val="1"/>
          <w:iCs w:val="1"/>
          <w:color w:val="auto"/>
        </w:rPr>
        <w:t xml:space="preserve">Indiana Procurement—Medicaid. </w:t>
      </w:r>
      <w:r>
        <w:rPr>
          <w:rFonts w:ascii="Arial" w:cs="Arial" w:eastAsia="Arial" w:hAnsi="Arial"/>
          <w:sz w:val="18"/>
          <w:szCs w:val="18"/>
          <w:color w:val="auto"/>
        </w:rPr>
        <w:t>In March 2023, we announced that the Indiana Department of Administration has recommended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negotiations begin with our Indiana health plan. Under the proposed contract with the Indiana Family and Social Services Administration (“FSSA”), we are expected to provide risk-based managed care long term services and supports as part of the Indiana Pathways for Aging LTSS program pursuant to the request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for proposal issued by FSSA in February 2022. The new contract is expected to have an initial four-year term, with the potential for two, one-year renewal terms.</w:t>
      </w:r>
    </w:p>
    <w:p>
      <w:pPr>
        <w:spacing w:after="0" w:line="6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Wisconsin Acquisition—Medicaid and Medicare. </w:t>
      </w:r>
      <w:r>
        <w:rPr>
          <w:rFonts w:ascii="Arial" w:cs="Arial" w:eastAsia="Arial" w:hAnsi="Arial"/>
          <w:sz w:val="18"/>
          <w:szCs w:val="18"/>
          <w:color w:val="auto"/>
        </w:rPr>
        <w:t>On July 13, 2022, we announced a definitive agreement to acquire substantially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My Choice Wisconsin (“MCW”).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the fourth quarter of 2023.</w:t>
      </w:r>
    </w:p>
    <w:p>
      <w:pPr>
        <w:spacing w:after="0" w:line="8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2022 Annual Report on Form 10-K, “Item 1. Business—Our Business,” and “—Legislative and Political Environment.”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1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30, 2023, we served approximately 5.2 million members eligible for Medicaid, Medicare, and other government-sponsored healthcare programs for low-income families and individuals, including Marketplace members, most of whom receive government premium subsidies.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four reportable segments consisting of: 1) Medicaid; 2) Medicare; 3) Marketplace; and 4) Other.</w:t>
      </w:r>
    </w:p>
    <w:p>
      <w:pPr>
        <w:spacing w:after="0" w:line="117"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HOW WE ASSESS PERFORMANCE</w:t>
      </w:r>
    </w:p>
    <w:p>
      <w:pPr>
        <w:spacing w:after="0" w:line="12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8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8, “Segments.”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MEMBERSHIP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700" w:type="dxa"/>
            <w:vAlign w:val="bottom"/>
          </w:tcPr>
          <w:p>
            <w:pPr>
              <w:spacing w:after="0"/>
              <w:rPr>
                <w:sz w:val="17"/>
                <w:szCs w:val="17"/>
                <w:color w:val="auto"/>
              </w:rPr>
            </w:pPr>
          </w:p>
        </w:tc>
        <w:tc>
          <w:tcPr>
            <w:tcW w:w="14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14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7"/>
                <w:szCs w:val="17"/>
                <w:color w:val="auto"/>
              </w:rPr>
            </w:pPr>
          </w:p>
        </w:tc>
        <w:tc>
          <w:tcPr>
            <w:tcW w:w="1420" w:type="dxa"/>
            <w:vAlign w:val="bottom"/>
          </w:tcPr>
          <w:p>
            <w:pPr>
              <w:jc w:val="right"/>
              <w:ind w:right="345"/>
              <w:spacing w:after="0"/>
              <w:rPr>
                <w:sz w:val="20"/>
                <w:szCs w:val="20"/>
                <w:color w:val="auto"/>
              </w:rPr>
            </w:pPr>
            <w:r>
              <w:rPr>
                <w:rFonts w:ascii="Arial" w:cs="Arial" w:eastAsia="Arial" w:hAnsi="Arial"/>
                <w:sz w:val="14"/>
                <w:szCs w:val="14"/>
                <w:b w:val="1"/>
                <w:bCs w:val="1"/>
                <w:color w:val="auto"/>
              </w:rPr>
              <w:t>June 30,</w:t>
            </w:r>
          </w:p>
        </w:tc>
      </w:tr>
      <w:tr>
        <w:trPr>
          <w:trHeight w:val="203"/>
        </w:trPr>
        <w:tc>
          <w:tcPr>
            <w:tcW w:w="67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4,741,000</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4,754,000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4,610,000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166,000</w:t>
            </w:r>
          </w:p>
        </w:tc>
        <w:tc>
          <w:tcPr>
            <w:tcW w:w="1540" w:type="dxa"/>
            <w:vAlign w:val="bottom"/>
            <w:gridSpan w:val="2"/>
          </w:tcPr>
          <w:p>
            <w:pPr>
              <w:jc w:val="right"/>
              <w:ind w:right="5"/>
              <w:spacing w:after="0"/>
              <w:rPr>
                <w:sz w:val="20"/>
                <w:szCs w:val="20"/>
                <w:color w:val="auto"/>
              </w:rPr>
            </w:pPr>
            <w:r>
              <w:rPr>
                <w:rFonts w:ascii="Arial" w:cs="Arial" w:eastAsia="Arial" w:hAnsi="Arial"/>
                <w:sz w:val="16"/>
                <w:szCs w:val="16"/>
                <w:color w:val="auto"/>
              </w:rPr>
              <w:t>156,000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151,000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348,000</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357,000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5,176,000</w:t>
            </w:r>
          </w:p>
        </w:tc>
        <w:tc>
          <w:tcPr>
            <w:tcW w:w="1540" w:type="dxa"/>
            <w:vAlign w:val="bottom"/>
            <w:gridSpan w:val="2"/>
          </w:tcPr>
          <w:p>
            <w:pPr>
              <w:jc w:val="right"/>
              <w:ind w:right="5"/>
              <w:spacing w:after="0"/>
              <w:rPr>
                <w:sz w:val="20"/>
                <w:szCs w:val="20"/>
                <w:color w:val="auto"/>
              </w:rPr>
            </w:pPr>
            <w:r>
              <w:rPr>
                <w:rFonts w:ascii="Arial" w:cs="Arial" w:eastAsia="Arial" w:hAnsi="Arial"/>
                <w:sz w:val="16"/>
                <w:szCs w:val="16"/>
                <w:color w:val="auto"/>
              </w:rPr>
              <w:t>5,258,000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5,118,000</w:t>
            </w:r>
          </w:p>
        </w:tc>
      </w:tr>
      <w:tr>
        <w:trPr>
          <w:trHeight w:val="20"/>
        </w:trPr>
        <w:tc>
          <w:tcPr>
            <w:tcW w:w="6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SEGMENT FINANCIAL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83"/>
              <w:spacing w:after="0" w:line="155"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23"/>
              <w:spacing w:after="0" w:line="155"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3"/>
                <w:szCs w:val="13"/>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756</w:t>
            </w: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88.3 %</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88.0 %</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113</w:t>
            </w:r>
          </w:p>
        </w:tc>
        <w:tc>
          <w:tcPr>
            <w:tcW w:w="1240" w:type="dxa"/>
            <w:vAlign w:val="bottom"/>
            <w:gridSpan w:val="3"/>
          </w:tcPr>
          <w:p>
            <w:pPr>
              <w:ind w:left="720"/>
              <w:spacing w:after="0"/>
              <w:rPr>
                <w:sz w:val="20"/>
                <w:szCs w:val="20"/>
                <w:color w:val="auto"/>
              </w:rPr>
            </w:pPr>
            <w:r>
              <w:rPr>
                <w:rFonts w:ascii="Arial" w:cs="Arial" w:eastAsia="Arial" w:hAnsi="Arial"/>
                <w:sz w:val="16"/>
                <w:szCs w:val="16"/>
                <w:color w:val="auto"/>
              </w:rPr>
              <w:t>89.2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124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w:t>
            </w: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73.7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8,042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1,004</w:t>
            </w:r>
          </w:p>
        </w:tc>
        <w:tc>
          <w:tcPr>
            <w:tcW w:w="1240" w:type="dxa"/>
            <w:vAlign w:val="bottom"/>
            <w:gridSpan w:val="3"/>
          </w:tcPr>
          <w:p>
            <w:pPr>
              <w:ind w:left="720"/>
              <w:spacing w:after="0"/>
              <w:rPr>
                <w:sz w:val="20"/>
                <w:szCs w:val="20"/>
                <w:color w:val="auto"/>
              </w:rPr>
            </w:pPr>
            <w:r>
              <w:rPr>
                <w:rFonts w:ascii="Arial" w:cs="Arial" w:eastAsia="Arial" w:hAnsi="Arial"/>
                <w:sz w:val="16"/>
                <w:szCs w:val="16"/>
                <w:color w:val="auto"/>
              </w:rPr>
              <w:t>87.5 %</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7,799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927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88.1 %</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83"/>
              <w:spacing w:after="0" w:line="143"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23"/>
              <w:spacing w:after="0" w:line="143" w:lineRule="exact"/>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2"/>
                <w:szCs w:val="12"/>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2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88.4 %</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1,465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88.1 %</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w:t>
            </w:r>
          </w:p>
        </w:tc>
        <w:tc>
          <w:tcPr>
            <w:tcW w:w="1240" w:type="dxa"/>
            <w:vAlign w:val="bottom"/>
            <w:gridSpan w:val="3"/>
          </w:tcPr>
          <w:p>
            <w:pPr>
              <w:ind w:left="720"/>
              <w:spacing w:after="0"/>
              <w:rPr>
                <w:sz w:val="20"/>
                <w:szCs w:val="20"/>
                <w:color w:val="auto"/>
              </w:rPr>
            </w:pPr>
            <w:r>
              <w:rPr>
                <w:rFonts w:ascii="Arial" w:cs="Arial" w:eastAsia="Arial" w:hAnsi="Arial"/>
                <w:sz w:val="16"/>
                <w:szCs w:val="16"/>
                <w:color w:val="auto"/>
              </w:rPr>
              <w:t>88.6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252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71.2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178</w:t>
            </w: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15,927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gridSpan w:val="3"/>
          </w:tcPr>
          <w:p>
            <w:pPr>
              <w:ind w:left="720"/>
              <w:spacing w:after="0"/>
              <w:rPr>
                <w:sz w:val="20"/>
                <w:szCs w:val="20"/>
                <w:color w:val="auto"/>
              </w:rPr>
            </w:pPr>
            <w:r>
              <w:rPr>
                <w:rFonts w:ascii="Arial" w:cs="Arial" w:eastAsia="Arial" w:hAnsi="Arial"/>
                <w:sz w:val="16"/>
                <w:szCs w:val="16"/>
                <w:color w:val="auto"/>
              </w:rPr>
              <w:t>87.3 %</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15,330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1,895</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Medicaid premium revenue increased $184 million, or 3% in the second quarter of 2023, when compared with the second quarter of 2022. Medicaid premium revenue increased $553 million, or 5% in the six months ended June 30, 2023, when compared with the six months ended June 30, 2022. The increases were mainly due to organic membership growth and the impact from the AgeWell acquisition that closed in the fourth quarter of 2022. Excluding the AgeWell acquisition, membership growth was across several states and was mainly driven by the extension of the PHE period and the associated suspension of membership redeterminations due to COVID-19.</w:t>
      </w:r>
    </w:p>
    <w:p>
      <w:pPr>
        <w:spacing w:after="0" w:line="8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medical margin in our Medicaid program in the second quarter of 2023 was essentially flat when compared with the second quarter of 2022, and increased $25 million, or 2%, in the six months ended June 30, 2023 when compared with the six months ended June 30, 2022. The year-over-year changes for both periods were driven by increased premium revenues and margin associated with the membership growth discussed above, partially offset by an increase in MCR.</w:t>
      </w:r>
    </w:p>
    <w:p>
      <w:pPr>
        <w:spacing w:after="0" w:line="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Medicaid MCR increased 30 basis points to 88.3% in the second quarter of 2023, from 88.0% in the second quarter of 2022, and increased 30 basis points to 88.4% in the six months ended June 30, 2023, from 88.1% in the six months ended June 30, 2022. The increase was mainly attributable to changes in business and membership mix, partially offset by improved operating performance and medical cost management. The Medicaid MCR for the six months ended June 30, 2023 is consistent with our long-term target range.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Medicare premium revenue increased $87 million, or 9%, in the second quarter of 2023 compared to the second quarter of 2022, and increased $190 million, or 10%, in the six months ended June 30, 2023 compared to the six months ended June 30, 2022. The increase was primarily due to the impact of MAPD and D-SNP membership expansion, including organic membership growth in existing states.</w:t>
      </w:r>
    </w:p>
    <w:p>
      <w:pPr>
        <w:spacing w:after="0" w:line="7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medical margin for Medicare decreased $11 million in the second quarter of 2023, and decreased $13 million in the six months ended June 30, 2023, when compared to the same periods in 2022. The decrease in both periods was mainly due to the increase in MCR discussed below, partially offset by the increase in premium revenues.</w:t>
      </w:r>
    </w:p>
    <w:p>
      <w:pPr>
        <w:spacing w:after="0" w:line="6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Medicare MCR increased to 89.2% in the second quarter of 2023, from 86.9% in the second quarter of 2022, or 230 basis points. The Medicare MCR increased to 88.6% in the six months ended June 30, 2023, compared to 86.7% in the six months ended June 30, 2022, or 190 basis points. The increases were primarily driven by increased utilization in professional and outpatient services and the impact of lower risk-adjusted premiums associated with new MAPD and D-SNP members, partially offset by higher risk scores on renewing members that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more closely reflect the acuity of our membership, and strong medical cost management. The Medicare MCR for the six months ended June 30, 2023 is within our long-term target range.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Marketplace premium revenue decreased $28 million in the second quarter of 2023 compared to the second quarter of 2022, and decreased $146 million in the six months ended June 30, 2023 compared to the six months ended June 30, 2022. The decrease in both periods was mainly due to an expected reduction in membership, partially offset by an increase in premium revenue PMPM. Our Marketplace membership as of June 30, 2023, amounted to 269,000 members, representing a decrease of 88,000 members compared to June 30, 2022, which is in line with our product and pricing strategy to achieve our target margins in this segment. The increase in premium revenue PMPM was due to higher silver metal tier product mix consistent with the product and pricing strategy.</w:t>
      </w:r>
    </w:p>
    <w:p>
      <w:pPr>
        <w:spacing w:after="0" w:line="84"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The Marketplace medical margin increased $87 million in the second quarter of 2023 when compared with the second quarter of 2022, and increased $111 million in the six months ended June 30, 2023 when compared with the six months ended June 30, 2022. The improvement in the second quarter of 2023 was due mainly to the decrease in MCR discussed below, partially offset by the decrease in membership and premiums.</w:t>
      </w:r>
    </w:p>
    <w:p>
      <w:pPr>
        <w:spacing w:after="0" w:line="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Marketplace MCR decreased to 73.7% in the second quarter of 2023, compared to 91.2% in the second quarter of 2022, or 1,750 basis points, and decreased to 71.2% in the six months ended June 30, 2023, compared to 84.5% in the six months ended June 30, 2022, or 1,330 basis points. The decreases resulted mainly from our product and pricing strategy to achieve our target margins and a favorable change in the 2022 risk adjustment payable recognized in the second quarter of 2023, compared to an unfavorable change in the 2021 risk adjustment payable recognized in the second quarter of 2022. These impacts were partially offset by changes in membership mix discussed above. Silver metal tier products incur less MCR seasonality than bronze metal tier products due to lower deductibles. Our second quarter 2023 Marketplace MCR was below full year expectations, but consistent with seasonality patterns.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for the three and six months ended June 30, 2023 and 2022.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FINANCIAL CONDITION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LIQUIDITY</w:t>
      </w:r>
    </w:p>
    <w:p>
      <w:pPr>
        <w:spacing w:after="0" w:line="12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second quarter and six months ended June 30, 2023, the parent company received $148 million and $248 million, respectively, in dividends and return of capital from the regulated health plan subsidiaries. See further discussion of dividends below in “Future Sources and Uses of Liquidity—Future Sources.”</w:t>
      </w:r>
    </w:p>
    <w:p>
      <w:pPr>
        <w:spacing w:after="0" w:line="8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The parent company may also contribute capital to the regulated health plan subsidiaries to satisfy minimum statutory net worth requirements, including funding for newer health plans. In the second quarter and six months ended June 30, 2023, the parent company contributed capital in the aggregate amount of $17 million and $33 million, respectively, to certain of the regulated health plan subsidiaries.</w:t>
      </w:r>
    </w:p>
    <w:p>
      <w:pPr>
        <w:spacing w:after="0" w:line="6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Cash, cash equivalents and investments at the parent company amounted to $482 million and $375 million as of June 30, 2023, and December 31, 2022, respectively. The increase as of June 30, 2023, was primarily due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dividends received from regulated health plan subsidiaries, partially offset by the timing of corporate payments and capital contributions to regulated health plan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84" w:lineRule="exact"/>
        <w:rPr>
          <w:sz w:val="20"/>
          <w:szCs w:val="20"/>
          <w:color w:val="auto"/>
        </w:rPr>
      </w:pPr>
    </w:p>
    <w:p>
      <w:pPr>
        <w:jc w:val="both"/>
        <w:ind w:right="140"/>
        <w:spacing w:after="0" w:line="306" w:lineRule="auto"/>
        <w:rPr>
          <w:sz w:val="20"/>
          <w:szCs w:val="20"/>
          <w:color w:val="auto"/>
        </w:rPr>
      </w:pPr>
      <w:r>
        <w:rPr>
          <w:rFonts w:ascii="Arial" w:cs="Arial" w:eastAsia="Arial" w:hAnsi="Arial"/>
          <w:sz w:val="17"/>
          <w:szCs w:val="17"/>
          <w:color w:val="auto"/>
        </w:rPr>
        <w:t>The overall rating of our portfolio remains strong and is rated A+. Our investment policy has directives in conjunction with state guidelines to minimize risks and exposures in volatile markets. Additionally, our portfolio managers assist us in navigating volatility in the capital markets.</w:t>
      </w:r>
    </w:p>
    <w:p>
      <w:pPr>
        <w:spacing w:after="0" w:line="4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6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ind w:left="742"/>
              <w:spacing w:after="0"/>
              <w:rPr>
                <w:sz w:val="20"/>
                <w:szCs w:val="20"/>
                <w:color w:val="auto"/>
              </w:rPr>
            </w:pPr>
            <w:r>
              <w:rPr>
                <w:rFonts w:ascii="Arial" w:cs="Arial" w:eastAsia="Arial" w:hAnsi="Arial"/>
                <w:sz w:val="16"/>
                <w:szCs w:val="16"/>
                <w:color w:val="auto"/>
              </w:rPr>
              <w:t>731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left="722"/>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22"/>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59"/>
        </w:trPr>
        <w:tc>
          <w:tcPr>
            <w:tcW w:w="6700" w:type="dxa"/>
            <w:vAlign w:val="bottom"/>
          </w:tcPr>
          <w:p>
            <w:pPr>
              <w:ind w:left="140"/>
              <w:spacing w:after="0" w:line="159"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00" w:type="dxa"/>
            <w:vAlign w:val="bottom"/>
            <w:vMerge w:val="restart"/>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ind w:left="722"/>
              <w:spacing w:after="0"/>
              <w:rPr>
                <w:sz w:val="20"/>
                <w:szCs w:val="20"/>
                <w:color w:val="auto"/>
              </w:rPr>
            </w:pPr>
            <w:r>
              <w:rPr>
                <w:rFonts w:ascii="Arial" w:cs="Arial" w:eastAsia="Arial" w:hAnsi="Arial"/>
                <w:sz w:val="16"/>
                <w:szCs w:val="16"/>
                <w:color w:val="auto"/>
              </w:rPr>
              <w:t>(128)</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186"/>
        </w:trPr>
        <w:tc>
          <w:tcPr>
            <w:tcW w:w="6700" w:type="dxa"/>
            <w:vAlign w:val="bottom"/>
          </w:tcPr>
          <w:p>
            <w:pPr>
              <w:ind w:left="300"/>
              <w:spacing w:after="0"/>
              <w:rPr>
                <w:sz w:val="20"/>
                <w:szCs w:val="20"/>
                <w:color w:val="auto"/>
              </w:rPr>
            </w:pPr>
            <w:r>
              <w:rPr>
                <w:rFonts w:ascii="Arial" w:cs="Arial" w:eastAsia="Arial" w:hAnsi="Arial"/>
                <w:sz w:val="16"/>
                <w:szCs w:val="16"/>
                <w:color w:val="auto"/>
              </w:rPr>
              <w:t>equivalents</w:t>
            </w:r>
          </w:p>
        </w:tc>
        <w:tc>
          <w:tcPr>
            <w:tcW w:w="9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Net cash provided by operations for the six months ended June 30, 2023 was $1,403 million, compared with $731 million in the six months ended June 30, 2022. The $672 million increase in cash flow was due to the net impact of timing differences in government receivables and payables accompanied by the growth in operations and net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Net cash used in investing activities was $439 million in the six months ended June 30, 2023, compared with $591 million used in the six months ended June 30, 2022, an increase in cash flow of $152 million. This increase in cash flow was primarily due to the net activity of proceeds and purchases of investments in the six months ended June 30,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Net cash used in financing activities was $ 55 million in the six months ended June 30, 2023, compared with $268 million used in the six months ended June 30, 2022, an increase in cash flow of $213 million. In the six months ended June 30, 2023, financing cash outflows included $59 million for common stock withheld to settle employee tax obligations. In the six months ended June 30, 2022, financing cash outflows included common stock purchases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of $200 million and $53 million for common stock withheld to settle employee tax obligations. Additionally, we paid $20 million in the six months ended June 30, 2022, to settle contingent consideration liabilities.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FINANCIAL CONDITION</w:t>
      </w:r>
    </w:p>
    <w:p>
      <w:pPr>
        <w:spacing w:after="0" w:line="12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On a consolidated basis, at June 30, 2023, our working capital was $3.9 billion, compared with $3.2 billion at December 31, 2022. At</w:t>
      </w:r>
    </w:p>
    <w:p>
      <w:pPr>
        <w:spacing w:after="0" w:line="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June 30, 2023, our cash and investments amounted to $9.0 billion, compared with $7.7 billion at December 31, 2022. A significant portion of our portfolio is held in cash and cash equivalents and we do not anticipate the fluctuations in the aggregate fair value of our financial assets to have a material impact on our liquidity or capital position since we intend to hold our securities to maturity. Net unrealized losses on our investments classified as current and available for sale decreased to $193 million at June 30, 2023 compared to $210 million at December 31, 2022. We have determined that the unrealized losses primarily resulted from fluctuating interest rates, rather than a deterioration of the creditworthiness of the issuers.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$2.3 billion at both June 30, 2023 and December 31, 2022. The aggregate capital and surplus of our regulated, wholly owned subsidiaries was in excess of these minimum capital requirements as of both dates.</w:t>
      </w:r>
    </w:p>
    <w:p>
      <w:pPr>
        <w:spacing w:after="0" w:line="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Under applicable regulatory requirements, the amount of dividends that may be paid by our regulated, wholly owned subsidiaries without prior approval by regulatory authorities as of June 30, 2023, was approximately $270 million in the aggregate. These subsidiaries may pay dividends over this amount, but only after approval is granted by the regulatory authorities.</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Based on our cash and investments balances as of June 30, 2023,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future borrowing costs.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2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6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June 30, 2023, we were in compliance with all financial and non-financial covenants under the Credit Agreement and the indentures governing our senior notes.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FUTURE 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2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added approximately 800,000 new</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members since March 31, 2020, when we first began to report on the impacts of the pandemic. We believe this membership increase was mainly due to the suspension of redeterminations for Medicaid eligibility. The recently passed Consolidated Appropriations Act of 2023 authorizes states to resume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redeterminations and terminate coverage for ineligible enrollees starting on April 1, 2023, irrespective of the status of the PHE. Consequently, during the second quarter of 2023, all but four of the states in which we operate began disenrolling members, with the remaining states initiating disenrollment on July 1, 2023. Our Medicaid membership declined 93,000 members during the second quarter of 2023, which was within our expectations. Although the medical cost profile of members who have left is slightly more favorable than the portfolio average, the impact on our Medicaid MCR during the second quarter of 2023 was negligible and within our expectations. We are still in the early stages of the Medicaid redetermination process, but based on the experience to date, we continue to expect that we will retain approximately half the membership gained since March 31, 2020.</w:t>
      </w:r>
    </w:p>
    <w:p>
      <w:pPr>
        <w:spacing w:after="0" w:line="8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w:t>
      </w:r>
    </w:p>
    <w:p>
      <w:pPr>
        <w:spacing w:after="0" w:line="5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June 30, 2023, we had available borrowing capacity of $ 1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7,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November 2022, our board of directors authorized the purchase of up to $500 million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This new program is funded with cash on hand and extends through December 31, 2023. The exact timing and amount of any repurchase is determined by management based on market conditions and share price, in addition to other factors, and subject to the restrictions relating to volume, price, and timing under applicable law. As of June 30, 2023, $300 million remained available to purchase our common stock under this program through December 31, 2023.</w:t>
      </w:r>
    </w:p>
    <w:p>
      <w:pPr>
        <w:spacing w:after="0" w:line="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July 13, 2022, we announced a definitive agreement to acquire substantially all the assets of My Choice Wisconsin</w:t>
      </w:r>
      <w:r>
        <w:rPr>
          <w:rFonts w:ascii="Arial" w:cs="Arial" w:eastAsia="Arial" w:hAnsi="Arial"/>
          <w:sz w:val="18"/>
          <w:szCs w:val="18"/>
          <w:i w:val="1"/>
          <w:iCs w:val="1"/>
          <w:color w:val="auto"/>
        </w:rPr>
        <w:t xml:space="preserve"> </w:t>
      </w:r>
      <w:r>
        <w:rPr>
          <w:rFonts w:ascii="Arial" w:cs="Arial" w:eastAsia="Arial" w:hAnsi="Arial"/>
          <w:sz w:val="18"/>
          <w:szCs w:val="18"/>
          <w:color w:val="auto"/>
        </w:rPr>
        <w:t>(“MCW”). The purchase price for the transaction is approximately $150 million, net of expected tax benefits and required regulatory capital, which we intend to fund with cash on hand. The transaction is subject to receipt of applicable federal and state regulatory approvals, and the satisfaction of other customary closing conditions. We currently expect the transaction to close in the fourth quarter of 2023.</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30, 2023, we announced a definitive agreement to acquire 100% of the issued and outstanding capital stock of Brand New Day and Central Health Plan of California, each of which is a wholly owned subsidiary of Bright Health Company of California, Inc. The purchase price for the transaction is approximately $510 million, net of certain tax benefits, which we intend to fund with available funds including cash on hand. The transaction is subject to federal and state regulatory approvals, the solvency and continued operation as a going concern of Bright Health Group throughout the pre-closing period, and other closing conditions. We currently expect the transaction to close by the first quarter of 2024.</w:t>
      </w:r>
    </w:p>
    <w:p>
      <w:pPr>
        <w:spacing w:after="0" w:line="7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We have the ability, and have committed to provide, additional capital to each of our health plans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ensure compliance with statutory capital and surplus requirements.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2022, was disclosed in our 2022 Annual Report on Form 10-K.</w:t>
      </w:r>
    </w:p>
    <w:p>
      <w:pPr>
        <w:spacing w:after="0" w:line="6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six months ended June 30, 2023.</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1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60" w:lineRule="exact"/>
        <w:rPr>
          <w:sz w:val="20"/>
          <w:szCs w:val="20"/>
          <w:color w:val="auto"/>
        </w:rPr>
      </w:pPr>
    </w:p>
    <w:p>
      <w:pPr>
        <w:ind w:left="660" w:right="340" w:hanging="328"/>
        <w:spacing w:after="0" w:line="282"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6,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right="220"/>
        <w:spacing w:after="0" w:line="258" w:lineRule="auto"/>
        <w:rPr>
          <w:sz w:val="20"/>
          <w:szCs w:val="20"/>
          <w:color w:val="auto"/>
        </w:rPr>
      </w:pPr>
      <w:r>
        <w:rPr>
          <w:rFonts w:ascii="Arial" w:cs="Arial" w:eastAsia="Arial" w:hAnsi="Arial"/>
          <w:sz w:val="18"/>
          <w:szCs w:val="18"/>
          <w:color w:val="auto"/>
        </w:rPr>
        <w:t>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2023 there were no significant changes to our disclosure reported in “Critical Accounting Estimates” in our 2022 Annual Report on Form 10-K.</w:t>
      </w:r>
    </w:p>
    <w:p>
      <w:pPr>
        <w:spacing w:after="0" w:line="76" w:lineRule="exact"/>
        <w:rPr>
          <w:sz w:val="20"/>
          <w:szCs w:val="20"/>
          <w:color w:val="auto"/>
        </w:rPr>
      </w:pPr>
    </w:p>
    <w:p>
      <w:pPr>
        <w:jc w:val="both"/>
        <w:ind w:left="660" w:right="380" w:hanging="328"/>
        <w:spacing w:after="0" w:line="31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260" w:hanging="328"/>
        <w:spacing w:after="0" w:line="282"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six months ended June 30, 2023, there were no significant changes to our disclosure reported in “Critical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Estimates” in our 2022 Annual Report on Form 10-K.</w:t>
      </w:r>
    </w:p>
    <w:p>
      <w:pPr>
        <w:spacing w:after="0" w:line="53" w:lineRule="exact"/>
        <w:rPr>
          <w:rFonts w:ascii="Arial" w:cs="Arial" w:eastAsia="Arial" w:hAnsi="Arial"/>
          <w:sz w:val="18"/>
          <w:szCs w:val="18"/>
          <w:i w:val="1"/>
          <w:iCs w:val="1"/>
          <w:color w:val="auto"/>
        </w:rPr>
      </w:pPr>
    </w:p>
    <w:p>
      <w:pPr>
        <w:ind w:left="660" w:right="600" w:hanging="328"/>
        <w:spacing w:after="0" w:line="282"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six months ended June 30, 2023, there were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our disclosure reported in “Critical Accounting Estimates” in our 2022 Annual Report on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6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2023, the fair value of our fixed income investments would decrease by approximately $99 million. Declines in interest rates over time will reduce our investment income.</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66"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7, “Debt.”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evaluated, as of the end of the 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June 30, 2023, our disclosure controls and procedures were effective at the reasonable assurance level.</w:t>
      </w:r>
    </w:p>
    <w:p>
      <w:pPr>
        <w:spacing w:after="0" w:line="9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Changes in Internal Control Over Financial Report</w:t>
      </w:r>
      <w:r>
        <w:rPr>
          <w:rFonts w:ascii="Arial" w:cs="Arial" w:eastAsia="Arial" w:hAnsi="Arial"/>
          <w:sz w:val="18"/>
          <w:szCs w:val="18"/>
          <w:i w:val="1"/>
          <w:iCs w:val="1"/>
          <w:color w:val="auto"/>
        </w:rPr>
        <w:t>ing.</w:t>
      </w:r>
      <w:r>
        <w:rPr>
          <w:rFonts w:ascii="Arial" w:cs="Arial" w:eastAsia="Arial" w:hAnsi="Arial"/>
          <w:sz w:val="18"/>
          <w:szCs w:val="18"/>
          <w:color w:val="auto"/>
        </w:rPr>
        <w:t xml:space="preserve"> There were no changes in our internal control over financial reporting during the six months ended June 30, 2023, that materially affected, or are reasonably likely to materially affect, our internal controls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9, “Commitments and Contingencies.”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2022 Annual Report on Form 10-K. The risk factors described in our 2022 Annual Report on Form 10-K are not the only risks that we face. Additional risks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ISSUER PURCHASES OF EQUITY SECURITIES</w:t>
      </w:r>
    </w:p>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Purchases of common stock made by us, or on our behalf, during the second quarter of 2023, including shares withheld by us to satisfy our employees’ income tax obligations, are set forth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4"/>
                <w:szCs w:val="14"/>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20" w:type="dxa"/>
            <w:vAlign w:val="bottom"/>
          </w:tcPr>
          <w:p>
            <w:pPr>
              <w:spacing w:after="0"/>
              <w:rPr>
                <w:sz w:val="14"/>
                <w:szCs w:val="14"/>
                <w:color w:val="auto"/>
              </w:rPr>
            </w:pPr>
          </w:p>
        </w:tc>
        <w:tc>
          <w:tcPr>
            <w:tcW w:w="14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99"/>
              </w:rPr>
              <w:t>Announced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rPr>
              <w:t>Plans 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Programs</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98"/>
              </w:rPr>
              <w:t xml:space="preserve">Plans or Programs </w:t>
            </w:r>
            <w:r>
              <w:rPr>
                <w:rFonts w:ascii="Arial" w:cs="Arial" w:eastAsia="Arial" w:hAnsi="Arial"/>
                <w:sz w:val="21"/>
                <w:szCs w:val="21"/>
                <w:b w:val="1"/>
                <w:bCs w:val="1"/>
                <w:color w:val="auto"/>
                <w:w w:val="98"/>
                <w:vertAlign w:val="superscript"/>
              </w:rPr>
              <w:t>(2)</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c>
          <w:tcPr>
            <w:tcW w:w="0" w:type="dxa"/>
            <w:vAlign w:val="bottom"/>
          </w:tcPr>
          <w:p>
            <w:pPr>
              <w:spacing w:after="0"/>
              <w:rPr>
                <w:sz w:val="1"/>
                <w:szCs w:val="1"/>
                <w:color w:val="auto"/>
              </w:rPr>
            </w:pPr>
          </w:p>
        </w:tc>
      </w:tr>
      <w:tr>
        <w:trPr>
          <w:trHeight w:val="210"/>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267.49</w:t>
            </w: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40" w:hanging="332"/>
        <w:spacing w:after="0" w:line="26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2023, we withheld approximately 3,000 shares of common stock, to settle employee income tax obligations, for releases of awards granted under the Molina Healthcare, Inc. 2019 Equity Incentive Plan.</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our 2022 Annual Report on Form 10-K, Note 13, “Stockholders' Equity.”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OTHER INFORMATION</w:t>
      </w:r>
    </w:p>
    <w:p>
      <w:pPr>
        <w:spacing w:after="0" w:line="131"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340" w:right="80" w:hanging="332"/>
        <w:spacing w:after="0" w:line="285" w:lineRule="auto"/>
        <w:tabs>
          <w:tab w:leader="none" w:pos="42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6"/>
                <w:szCs w:val="16"/>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175"/>
        </w:trPr>
        <w:tc>
          <w:tcPr>
            <w:tcW w:w="106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20" w:type="dxa"/>
            <w:vAlign w:val="bottom"/>
            <w:tcBorders>
              <w:bottom w:val="single" w:sz="8" w:color="0F7C7F"/>
            </w:tcBorders>
            <w:gridSpan w:val="2"/>
          </w:tcPr>
          <w:p>
            <w:pPr>
              <w:spacing w:after="0" w:line="175" w:lineRule="exact"/>
              <w:rPr>
                <w:sz w:val="20"/>
                <w:szCs w:val="20"/>
                <w:color w:val="auto"/>
              </w:rPr>
            </w:pPr>
            <w:r>
              <w:rPr>
                <w:rFonts w:ascii="Arial" w:cs="Arial" w:eastAsia="Arial" w:hAnsi="Arial"/>
                <w:sz w:val="16"/>
                <w:szCs w:val="16"/>
                <w:color w:val="0F7C7F"/>
              </w:rPr>
              <w:t>Section 302 Certification of Chief Executive Officer</w:t>
            </w:r>
          </w:p>
        </w:tc>
        <w:tc>
          <w:tcPr>
            <w:tcW w:w="188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Pr>
          <w:p>
            <w:pPr>
              <w:ind w:left="20"/>
              <w:spacing w:after="0" w:line="175" w:lineRule="exact"/>
              <w:rPr>
                <w:sz w:val="20"/>
                <w:szCs w:val="20"/>
                <w:color w:val="auto"/>
              </w:rPr>
            </w:pPr>
            <w:r>
              <w:rPr>
                <w:rFonts w:ascii="Arial" w:cs="Arial" w:eastAsia="Arial" w:hAnsi="Arial"/>
                <w:sz w:val="16"/>
                <w:szCs w:val="16"/>
                <w:color w:val="auto"/>
              </w:rPr>
              <w:t>Filed herewith.</w:t>
            </w: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0F7C7F"/>
              </w:rPr>
              <w:t>Section 302 Certification of Chief Financial Officer</w:t>
            </w:r>
          </w:p>
        </w:tc>
        <w:tc>
          <w:tcPr>
            <w:tcW w:w="120" w:type="dxa"/>
            <w:vAlign w:val="bottom"/>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60" w:type="dxa"/>
            <w:vAlign w:val="bottom"/>
            <w:shd w:val="clear" w:color="auto" w:fill="0F7C7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0F7C7F"/>
              </w:rPr>
              <w:t>Certification of Chief Executive Officer pursuant to 18 U.S.C. Section 1350,</w:t>
            </w:r>
          </w:p>
        </w:tc>
        <w:tc>
          <w:tcPr>
            <w:tcW w:w="120" w:type="dxa"/>
            <w:vAlign w:val="bottom"/>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3"/>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0F7C7F"/>
              </w:rPr>
              <w:t>Certification of Chief Financial Officer pursuant to 18 U.S.C. Section 1350,</w:t>
            </w:r>
          </w:p>
        </w:tc>
        <w:tc>
          <w:tcPr>
            <w:tcW w:w="120" w:type="dxa"/>
            <w:vAlign w:val="bottom"/>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300" w:type="dxa"/>
            <w:vAlign w:val="bottom"/>
            <w:tcBorders>
              <w:top w:val="single" w:sz="8" w:color="0F7C7F"/>
            </w:tcBorders>
            <w:gridSpan w:val="4"/>
          </w:tcPr>
          <w:p>
            <w:pPr>
              <w:spacing w:after="0" w:line="142" w:lineRule="exact"/>
              <w:rPr>
                <w:sz w:val="20"/>
                <w:szCs w:val="20"/>
                <w:color w:val="auto"/>
              </w:rPr>
            </w:pPr>
            <w:r>
              <w:rPr>
                <w:rFonts w:ascii="Arial" w:cs="Arial" w:eastAsia="Arial" w:hAnsi="Arial"/>
                <w:sz w:val="16"/>
                <w:szCs w:val="16"/>
                <w:color w:val="0F7C7F"/>
              </w:rPr>
              <w:t>as adopted pursuant to Section 906 of the Sarbanes-Oxley Act of 2002.</w:t>
            </w:r>
          </w:p>
        </w:tc>
        <w:tc>
          <w:tcPr>
            <w:tcW w:w="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3"/>
            <w:shd w:val="clear" w:color="auto" w:fill="0F7C7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86"/>
        </w:trPr>
        <w:tc>
          <w:tcPr>
            <w:tcW w:w="1060" w:type="dxa"/>
            <w:vAlign w:val="bottom"/>
          </w:tcPr>
          <w:p>
            <w:pPr>
              <w:ind w:left="2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Instance Document - the instance document does</w:t>
            </w:r>
          </w:p>
        </w:tc>
        <w:tc>
          <w:tcPr>
            <w:tcW w:w="120" w:type="dxa"/>
            <w:vAlign w:val="bottom"/>
          </w:tcPr>
          <w:p>
            <w:pPr>
              <w:spacing w:after="0"/>
              <w:rPr>
                <w:sz w:val="16"/>
                <w:szCs w:val="16"/>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00" w:type="dxa"/>
            <w:vAlign w:val="bottom"/>
            <w:gridSpan w:val="6"/>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 are embedded</w:t>
            </w: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20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within the inline XBRL document.</w:t>
            </w: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216"/>
        </w:trPr>
        <w:tc>
          <w:tcPr>
            <w:tcW w:w="1060" w:type="dxa"/>
            <w:vAlign w:val="bottom"/>
          </w:tcPr>
          <w:p>
            <w:pPr>
              <w:ind w:left="2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060" w:type="dxa"/>
            <w:vAlign w:val="bottom"/>
          </w:tcPr>
          <w:p>
            <w:pPr>
              <w:ind w:left="2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060" w:type="dxa"/>
            <w:vAlign w:val="bottom"/>
          </w:tcPr>
          <w:p>
            <w:pPr>
              <w:ind w:left="2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060" w:type="dxa"/>
            <w:vAlign w:val="bottom"/>
          </w:tcPr>
          <w:p>
            <w:pPr>
              <w:ind w:left="2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060" w:type="dxa"/>
            <w:vAlign w:val="bottom"/>
          </w:tcPr>
          <w:p>
            <w:pPr>
              <w:ind w:left="2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71"/>
        </w:trPr>
        <w:tc>
          <w:tcPr>
            <w:tcW w:w="1060" w:type="dxa"/>
            <w:vAlign w:val="bottom"/>
          </w:tcPr>
          <w:p>
            <w:pPr>
              <w:ind w:left="20"/>
              <w:spacing w:after="0" w:line="171"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00" w:type="dxa"/>
            <w:vAlign w:val="bottom"/>
            <w:gridSpan w:val="6"/>
          </w:tcPr>
          <w:p>
            <w:pPr>
              <w:spacing w:after="0" w:line="171" w:lineRule="exact"/>
              <w:rPr>
                <w:sz w:val="20"/>
                <w:szCs w:val="20"/>
                <w:color w:val="auto"/>
              </w:rPr>
            </w:pPr>
            <w:r>
              <w:rPr>
                <w:rFonts w:ascii="Arial" w:cs="Arial" w:eastAsia="Arial" w:hAnsi="Arial"/>
                <w:sz w:val="16"/>
                <w:szCs w:val="16"/>
                <w:color w:val="auto"/>
              </w:rPr>
              <w:t>Cover Page Interactive Data file (formatted as Inline XBRL and embedded</w:t>
            </w:r>
          </w:p>
        </w:tc>
        <w:tc>
          <w:tcPr>
            <w:tcW w:w="120" w:type="dxa"/>
            <w:vAlign w:val="bottom"/>
          </w:tcPr>
          <w:p>
            <w:pPr>
              <w:spacing w:after="0"/>
              <w:rPr>
                <w:sz w:val="14"/>
                <w:szCs w:val="14"/>
                <w:color w:val="auto"/>
              </w:rPr>
            </w:pPr>
          </w:p>
        </w:tc>
        <w:tc>
          <w:tcPr>
            <w:tcW w:w="4420" w:type="dxa"/>
            <w:vAlign w:val="bottom"/>
          </w:tcPr>
          <w:p>
            <w:pPr>
              <w:ind w:left="20"/>
              <w:spacing w:after="0" w:line="171" w:lineRule="exact"/>
              <w:rPr>
                <w:sz w:val="20"/>
                <w:szCs w:val="20"/>
                <w:color w:val="auto"/>
              </w:rPr>
            </w:pPr>
            <w:r>
              <w:rPr>
                <w:rFonts w:ascii="Arial" w:cs="Arial" w:eastAsia="Arial" w:hAnsi="Arial"/>
                <w:sz w:val="16"/>
                <w:szCs w:val="16"/>
                <w:color w:val="auto"/>
              </w:rPr>
              <w:t>Filed herewith.</w:t>
            </w:r>
          </w:p>
        </w:tc>
      </w:tr>
      <w:tr>
        <w:trPr>
          <w:trHeight w:val="20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6"/>
          </w:tcPr>
          <w:p>
            <w:pPr>
              <w:spacing w:after="0"/>
              <w:rPr>
                <w:sz w:val="20"/>
                <w:szCs w:val="20"/>
                <w:color w:val="auto"/>
              </w:rPr>
            </w:pPr>
            <w:r>
              <w:rPr>
                <w:rFonts w:ascii="Arial" w:cs="Arial" w:eastAsia="Arial" w:hAnsi="Arial"/>
                <w:sz w:val="16"/>
                <w:szCs w:val="16"/>
                <w:color w:val="auto"/>
              </w:rPr>
              <w:t>within Exhibit 101)</w:t>
            </w: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2023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1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60"/>
        <w:spacing w:after="0"/>
        <w:tabs>
          <w:tab w:leader="none" w:pos="6500" w:val="left"/>
        </w:tabs>
        <w:rPr>
          <w:sz w:val="20"/>
          <w:szCs w:val="20"/>
          <w:color w:val="auto"/>
        </w:rPr>
      </w:pPr>
      <w:r>
        <w:rPr>
          <w:rFonts w:ascii="Arial" w:cs="Arial" w:eastAsia="Arial" w:hAnsi="Arial"/>
          <w:sz w:val="16"/>
          <w:szCs w:val="16"/>
          <w:color w:val="auto"/>
        </w:rPr>
        <w:t>Dated: July 27, 2023</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18415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Joseph M. Zubretsky</w:t>
      </w:r>
    </w:p>
    <w:p>
      <w:pPr>
        <w:spacing w:after="0" w:line="4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(Principal Executive Officer)</w:t>
      </w:r>
    </w:p>
    <w:p>
      <w:pPr>
        <w:spacing w:after="0" w:line="286" w:lineRule="exact"/>
        <w:rPr>
          <w:sz w:val="20"/>
          <w:szCs w:val="20"/>
          <w:color w:val="auto"/>
        </w:rPr>
      </w:pPr>
    </w:p>
    <w:p>
      <w:pPr>
        <w:ind w:left="260"/>
        <w:spacing w:after="0"/>
        <w:tabs>
          <w:tab w:leader="none" w:pos="6500" w:val="left"/>
        </w:tabs>
        <w:rPr>
          <w:sz w:val="20"/>
          <w:szCs w:val="20"/>
          <w:color w:val="auto"/>
        </w:rPr>
      </w:pPr>
      <w:r>
        <w:rPr>
          <w:rFonts w:ascii="Arial" w:cs="Arial" w:eastAsia="Arial" w:hAnsi="Arial"/>
          <w:sz w:val="16"/>
          <w:szCs w:val="16"/>
          <w:color w:val="auto"/>
        </w:rPr>
        <w:t>Dated: July 27, 2023</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18415</wp:posOffset>
            </wp:positionV>
            <wp:extent cx="3000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8"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Mark L. Keim</w:t>
      </w:r>
    </w:p>
    <w:p>
      <w:pPr>
        <w:spacing w:after="0" w:line="4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2023 Form 10-Q | 35</w:t>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2023, of Molina Healthcare, Inc.;</w:t>
      </w:r>
    </w:p>
    <w:p>
      <w:pPr>
        <w:spacing w:after="0" w:line="117" w:lineRule="exact"/>
        <w:rPr>
          <w:rFonts w:ascii="Arial" w:cs="Arial" w:eastAsia="Arial" w:hAnsi="Arial"/>
          <w:sz w:val="18"/>
          <w:szCs w:val="18"/>
          <w:color w:val="auto"/>
        </w:rPr>
      </w:pPr>
    </w:p>
    <w:p>
      <w:pPr>
        <w:ind w:right="60" w:firstLine="454"/>
        <w:spacing w:after="0" w:line="263"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75" w:lineRule="exact"/>
        <w:rPr>
          <w:rFonts w:ascii="Arial" w:cs="Arial" w:eastAsia="Arial" w:hAnsi="Arial"/>
          <w:sz w:val="18"/>
          <w:szCs w:val="18"/>
          <w:color w:val="auto"/>
        </w:rPr>
      </w:pPr>
    </w:p>
    <w:p>
      <w:pPr>
        <w:ind w:right="160" w:firstLine="454"/>
        <w:spacing w:after="0" w:line="306"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41" w:lineRule="exact"/>
        <w:rPr>
          <w:rFonts w:ascii="Arial" w:cs="Arial" w:eastAsia="Arial" w:hAnsi="Arial"/>
          <w:sz w:val="17"/>
          <w:szCs w:val="17"/>
          <w:color w:val="auto"/>
        </w:rPr>
      </w:pPr>
    </w:p>
    <w:p>
      <w:pPr>
        <w:ind w:right="40" w:firstLine="454"/>
        <w:spacing w:after="0" w:line="263" w:lineRule="auto"/>
        <w:tabs>
          <w:tab w:leader="none" w:pos="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75" w:lineRule="exact"/>
        <w:rPr>
          <w:rFonts w:ascii="Arial" w:cs="Arial" w:eastAsia="Arial" w:hAnsi="Arial"/>
          <w:sz w:val="18"/>
          <w:szCs w:val="18"/>
          <w:color w:val="auto"/>
        </w:rPr>
      </w:pPr>
    </w:p>
    <w:p>
      <w:pPr>
        <w:jc w:val="both"/>
        <w:ind w:right="140" w:firstLine="899"/>
        <w:spacing w:after="0" w:line="263"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75" w:lineRule="exact"/>
        <w:rPr>
          <w:rFonts w:ascii="Arial" w:cs="Arial" w:eastAsia="Arial" w:hAnsi="Arial"/>
          <w:sz w:val="18"/>
          <w:szCs w:val="18"/>
          <w:color w:val="auto"/>
        </w:rPr>
      </w:pPr>
    </w:p>
    <w:p>
      <w:pPr>
        <w:ind w:right="120" w:firstLine="899"/>
        <w:spacing w:after="0" w:line="263"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99"/>
        <w:spacing w:after="0" w:line="263"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75" w:lineRule="exact"/>
        <w:rPr>
          <w:rFonts w:ascii="Arial" w:cs="Arial" w:eastAsia="Arial" w:hAnsi="Arial"/>
          <w:sz w:val="18"/>
          <w:szCs w:val="18"/>
          <w:color w:val="auto"/>
        </w:rPr>
      </w:pPr>
    </w:p>
    <w:p>
      <w:pPr>
        <w:ind w:right="240" w:firstLine="899"/>
        <w:spacing w:after="0" w:line="263"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260" w:firstLine="454"/>
        <w:spacing w:after="0" w:line="263" w:lineRule="auto"/>
        <w:tabs>
          <w:tab w:leader="none" w:pos="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right="60" w:firstLine="899"/>
        <w:spacing w:after="0" w:line="275"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right="920" w:firstLine="899"/>
        <w:spacing w:after="0" w:line="275"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July 27, 2023</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2023, of Molina Healthcare, Inc.;</w:t>
      </w:r>
    </w:p>
    <w:p>
      <w:pPr>
        <w:spacing w:after="0" w:line="117" w:lineRule="exact"/>
        <w:rPr>
          <w:rFonts w:ascii="Arial" w:cs="Arial" w:eastAsia="Arial" w:hAnsi="Arial"/>
          <w:sz w:val="18"/>
          <w:szCs w:val="18"/>
          <w:color w:val="auto"/>
        </w:rPr>
      </w:pPr>
    </w:p>
    <w:p>
      <w:pPr>
        <w:ind w:right="60" w:firstLine="454"/>
        <w:spacing w:after="0" w:line="263" w:lineRule="auto"/>
        <w:tabs>
          <w:tab w:leader="none" w:pos="6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75" w:lineRule="exact"/>
        <w:rPr>
          <w:rFonts w:ascii="Arial" w:cs="Arial" w:eastAsia="Arial" w:hAnsi="Arial"/>
          <w:sz w:val="18"/>
          <w:szCs w:val="18"/>
          <w:color w:val="auto"/>
        </w:rPr>
      </w:pPr>
    </w:p>
    <w:p>
      <w:pPr>
        <w:ind w:right="160" w:firstLine="454"/>
        <w:spacing w:after="0" w:line="306" w:lineRule="auto"/>
        <w:tabs>
          <w:tab w:leader="none" w:pos="646"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41" w:lineRule="exact"/>
        <w:rPr>
          <w:rFonts w:ascii="Arial" w:cs="Arial" w:eastAsia="Arial" w:hAnsi="Arial"/>
          <w:sz w:val="17"/>
          <w:szCs w:val="17"/>
          <w:color w:val="auto"/>
        </w:rPr>
      </w:pPr>
    </w:p>
    <w:p>
      <w:pPr>
        <w:ind w:right="40" w:firstLine="454"/>
        <w:spacing w:after="0" w:line="263" w:lineRule="auto"/>
        <w:tabs>
          <w:tab w:leader="none" w:pos="6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75" w:lineRule="exact"/>
        <w:rPr>
          <w:rFonts w:ascii="Arial" w:cs="Arial" w:eastAsia="Arial" w:hAnsi="Arial"/>
          <w:sz w:val="18"/>
          <w:szCs w:val="18"/>
          <w:color w:val="auto"/>
        </w:rPr>
      </w:pPr>
    </w:p>
    <w:p>
      <w:pPr>
        <w:jc w:val="both"/>
        <w:ind w:right="140" w:firstLine="899"/>
        <w:spacing w:after="0" w:line="263"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75" w:lineRule="exact"/>
        <w:rPr>
          <w:rFonts w:ascii="Arial" w:cs="Arial" w:eastAsia="Arial" w:hAnsi="Arial"/>
          <w:sz w:val="18"/>
          <w:szCs w:val="18"/>
          <w:color w:val="auto"/>
        </w:rPr>
      </w:pPr>
    </w:p>
    <w:p>
      <w:pPr>
        <w:ind w:right="120" w:firstLine="899"/>
        <w:spacing w:after="0" w:line="263"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99"/>
        <w:spacing w:after="0" w:line="263"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75" w:lineRule="exact"/>
        <w:rPr>
          <w:rFonts w:ascii="Arial" w:cs="Arial" w:eastAsia="Arial" w:hAnsi="Arial"/>
          <w:sz w:val="18"/>
          <w:szCs w:val="18"/>
          <w:color w:val="auto"/>
        </w:rPr>
      </w:pPr>
    </w:p>
    <w:p>
      <w:pPr>
        <w:ind w:right="240" w:firstLine="899"/>
        <w:spacing w:after="0" w:line="263" w:lineRule="auto"/>
        <w:tabs>
          <w:tab w:leader="none" w:pos="116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right="260" w:firstLine="454"/>
        <w:spacing w:after="0" w:line="263" w:lineRule="auto"/>
        <w:tabs>
          <w:tab w:leader="none" w:pos="6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right="60" w:firstLine="899"/>
        <w:spacing w:after="0" w:line="275"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right="920" w:firstLine="899"/>
        <w:spacing w:after="0" w:line="275" w:lineRule="auto"/>
        <w:tabs>
          <w:tab w:leader="none" w:pos="11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27,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right="140" w:firstLine="446"/>
        <w:spacing w:after="0" w:line="263"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2023 (the “Report”), I, Joseph M. Zubretsky, Chief Executive Officer of the Company, certify, pursuant to 18 U.S.C. Section 1350, as adopted pursuant to Section 906 of the Sarbanes-Oxley Act of 2002, that:</w:t>
      </w:r>
    </w:p>
    <w:p>
      <w:pPr>
        <w:spacing w:after="0" w:line="76"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05" w:lineRule="exact"/>
        <w:rPr>
          <w:rFonts w:ascii="Arial" w:cs="Arial" w:eastAsia="Arial" w:hAnsi="Arial"/>
          <w:sz w:val="18"/>
          <w:szCs w:val="18"/>
          <w:color w:val="auto"/>
        </w:rPr>
      </w:pPr>
    </w:p>
    <w:p>
      <w:pPr>
        <w:ind w:firstLine="899"/>
        <w:spacing w:after="0" w:line="275" w:lineRule="auto"/>
        <w:tabs>
          <w:tab w:leader="none" w:pos="1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8"/>
          <w:szCs w:val="18"/>
          <w:color w:val="auto"/>
        </w:rPr>
        <w:t>Dated: July 27, 2023</w:t>
      </w:r>
      <w:r>
        <w:rPr>
          <w:sz w:val="20"/>
          <w:szCs w:val="20"/>
          <w:color w:val="auto"/>
        </w:rPr>
        <w:tab/>
      </w:r>
      <w:r>
        <w:rPr>
          <w:rFonts w:ascii="Arial" w:cs="Arial" w:eastAsia="Arial" w:hAnsi="Arial"/>
          <w:sz w:val="17"/>
          <w:szCs w:val="17"/>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13970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Joseph M. Zubretsky</w:t>
      </w:r>
    </w:p>
    <w:p>
      <w:pPr>
        <w:spacing w:after="0" w:line="44"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right="600" w:firstLine="446"/>
        <w:spacing w:after="0" w:line="263"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2023 (the “Report”), I, Mark L. Keim, Chief Financial Officer of the Company, certify, pursuant to 18 U.S.C. Section 1350, as adopted pursuant to Section 906 of the Sarbanes-Oxley Act of 2002, that:</w:t>
      </w:r>
    </w:p>
    <w:p>
      <w:pPr>
        <w:spacing w:after="0" w:line="76" w:lineRule="exact"/>
        <w:rPr>
          <w:sz w:val="20"/>
          <w:szCs w:val="20"/>
          <w:color w:val="auto"/>
        </w:rPr>
      </w:pPr>
    </w:p>
    <w:p>
      <w:pPr>
        <w:ind w:left="1160" w:hanging="26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05" w:lineRule="exact"/>
        <w:rPr>
          <w:rFonts w:ascii="Arial" w:cs="Arial" w:eastAsia="Arial" w:hAnsi="Arial"/>
          <w:sz w:val="18"/>
          <w:szCs w:val="18"/>
          <w:color w:val="auto"/>
        </w:rPr>
      </w:pPr>
    </w:p>
    <w:p>
      <w:pPr>
        <w:ind w:firstLine="899"/>
        <w:spacing w:after="0" w:line="275"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July 27, 2023</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Mark L. Keim</w:t>
      </w:r>
    </w:p>
    <w:p>
      <w:pPr>
        <w:spacing w:after="0" w:line="44"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2023-07-27T08:48:00Z</dcterms:created>
  <dcterms:modified xsi:type="dcterms:W3CDTF">2023-07-27T08:48:00Z</dcterms:modified>
</cp:coreProperties>
</file>