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MOLINA HEALTHCARE,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Giovanni Agnelli B.V.</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2,718,348.00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2,718,348.00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2,718,348.00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5.21 %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Exor N.V.</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2,718,348.00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2,718,348.00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2,718,348.00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5.21 %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Lingotto Investment Management (UK)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2,718,348.00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2,718,348.00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2,718,348.00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Lingotto Investment Management LLP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2,718,348.00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2,718,348.00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2,718,348.00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 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MOLINA HEALTHCARE, INC.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Oceangate, Suite 100, Long Beach,CA 90802</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Giovanni Agnelli B.V. Exor N.V. Lingotto Investment Management (UK) Limited Lingotto Investment Management LLP Lingotto Investment Management LLP, which acquired the securities being reported on, is 99.7% owned by Lingotto Investment Management (UK) Limited. Lingotto Investment Management (UK) Limited is a wholly owned subsidiary of Exor N.V., which in turn is controlled by Giovanni Agnelli B.V.</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Giovanni Agnelli B.V. Hildegard von Bingenstraat 38 1081 LH Amsterdam The Netherlands Exor N.V. Hildegard von Bingenstraat 38 1081 LH Amsterdam The Netherlands Lingotto Investment Management (UK) Limited 7 Seymour Street London, W1H 7JW United Kingdom Lingotto Investment Management LLP 7 Seymour Street London, W1H 7JW United Kingdom</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Giovanni Agnelli B.V. - the Netherlands Exor N.V. - the Netherlands Lingotto Investment Management (UK) Limited- United Kingdom Lingotto Investment Management LLP - United Kingdom</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Giovanni Agnelli B.V.</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9"/>
        <w:gridCol w:w="4256"/>
      </w:tblGrid>
      <w:tr>
        <w:trPr/>
        <w:tc>
          <w:tcPr>
            <w:tcW w:w="59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Guido de Boer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Guido de Boer |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256" w:type="dxa"/>
            <w:tcBorders/>
            <w:vAlign w:val="center"/>
          </w:tcPr>
          <w:p>
            <w:pPr>
              <w:pStyle w:val="TableContents"/>
              <w:bidi w:val="0"/>
              <w:spacing w:before="0" w:after="283"/>
              <w:jc w:val="left"/>
              <w:rPr>
                <w:sz w:val="4"/>
                <w:szCs w:val="4"/>
              </w:rPr>
            </w:pPr>
            <w:r>
              <w:rPr>
                <w:sz w:val="4"/>
                <w:szCs w:val="4"/>
              </w:rPr>
            </w:r>
          </w:p>
        </w:tc>
      </w:tr>
    </w:tbl>
    <w:tbl>
      <w:tblPr>
        <w:tblW w:w="2546" w:type="dxa"/>
        <w:jc w:val="left"/>
        <w:tblInd w:w="0" w:type="dxa"/>
        <w:tblLayout w:type="fixed"/>
        <w:tblCellMar>
          <w:top w:w="28" w:type="dxa"/>
          <w:left w:w="28" w:type="dxa"/>
          <w:bottom w:w="28" w:type="dxa"/>
          <w:right w:w="28" w:type="dxa"/>
        </w:tblCellMar>
      </w:tblPr>
      <w:tblGrid>
        <w:gridCol w:w="1273"/>
        <w:gridCol w:w="1273"/>
      </w:tblGrid>
      <w:tr>
        <w:trPr/>
        <w:tc>
          <w:tcPr>
            <w:tcW w:w="1273" w:type="dxa"/>
            <w:tcBorders/>
            <w:vAlign w:val="center"/>
          </w:tcPr>
          <w:p>
            <w:pPr>
              <w:pStyle w:val="TableContents"/>
              <w:bidi w:val="0"/>
              <w:spacing w:before="0" w:after="0"/>
              <w:jc w:val="left"/>
              <w:rPr/>
            </w:pPr>
            <w:r>
              <w:rPr/>
              <w:t> </w:t>
            </w:r>
          </w:p>
          <w:tbl>
            <w:tblPr>
              <w:tblW w:w="1171" w:type="dxa"/>
              <w:jc w:val="left"/>
              <w:tblInd w:w="0" w:type="dxa"/>
              <w:tblLayout w:type="fixed"/>
              <w:tblCellMar>
                <w:top w:w="28" w:type="dxa"/>
                <w:left w:w="28" w:type="dxa"/>
                <w:bottom w:w="28" w:type="dxa"/>
                <w:right w:w="28" w:type="dxa"/>
              </w:tblCellMar>
            </w:tblPr>
            <w:tblGrid>
              <w:gridCol w:w="1171"/>
            </w:tblGrid>
            <w:tr>
              <w:trPr/>
              <w:tc>
                <w:tcPr>
                  <w:tcW w:w="1171" w:type="dxa"/>
                  <w:tcBorders/>
                  <w:vAlign w:val="center"/>
                </w:tcPr>
                <w:p>
                  <w:pPr>
                    <w:pStyle w:val="TableContents"/>
                    <w:bidi w:val="0"/>
                    <w:spacing w:before="0" w:after="0"/>
                    <w:jc w:val="left"/>
                    <w:rPr/>
                  </w:pPr>
                  <w:r>
                    <w:rPr/>
                    <w:t>Exor N.V.</w:t>
                  </w:r>
                </w:p>
              </w:tc>
            </w:tr>
          </w:tbl>
          <w:p>
            <w:pPr>
              <w:pStyle w:val="TableContents"/>
              <w:bidi w:val="0"/>
              <w:spacing w:before="0" w:after="283"/>
              <w:jc w:val="left"/>
              <w:rPr/>
            </w:pPr>
            <w:r>
              <w:rPr/>
            </w:r>
          </w:p>
        </w:tc>
        <w:tc>
          <w:tcPr>
            <w:tcW w:w="12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Guido de Boer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Guido de Boer | Chief Financial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9766" w:type="dxa"/>
        <w:jc w:val="left"/>
        <w:tblInd w:w="0" w:type="dxa"/>
        <w:tblLayout w:type="fixed"/>
        <w:tblCellMar>
          <w:top w:w="28" w:type="dxa"/>
          <w:left w:w="28" w:type="dxa"/>
          <w:bottom w:w="28" w:type="dxa"/>
          <w:right w:w="28" w:type="dxa"/>
        </w:tblCellMar>
      </w:tblPr>
      <w:tblGrid>
        <w:gridCol w:w="4883"/>
        <w:gridCol w:w="4883"/>
      </w:tblGrid>
      <w:tr>
        <w:trPr/>
        <w:tc>
          <w:tcPr>
            <w:tcW w:w="4883" w:type="dxa"/>
            <w:tcBorders/>
            <w:vAlign w:val="center"/>
          </w:tcPr>
          <w:p>
            <w:pPr>
              <w:pStyle w:val="TableContents"/>
              <w:bidi w:val="0"/>
              <w:spacing w:before="0" w:after="0"/>
              <w:jc w:val="left"/>
              <w:rPr/>
            </w:pPr>
            <w:r>
              <w:rPr/>
              <w:t> </w:t>
            </w:r>
          </w:p>
          <w:tbl>
            <w:tblPr>
              <w:tblW w:w="4726" w:type="dxa"/>
              <w:jc w:val="left"/>
              <w:tblInd w:w="0" w:type="dxa"/>
              <w:tblLayout w:type="fixed"/>
              <w:tblCellMar>
                <w:top w:w="28" w:type="dxa"/>
                <w:left w:w="28" w:type="dxa"/>
                <w:bottom w:w="28" w:type="dxa"/>
                <w:right w:w="28" w:type="dxa"/>
              </w:tblCellMar>
            </w:tblPr>
            <w:tblGrid>
              <w:gridCol w:w="4726"/>
            </w:tblGrid>
            <w:tr>
              <w:trPr/>
              <w:tc>
                <w:tcPr>
                  <w:tcW w:w="4726" w:type="dxa"/>
                  <w:tcBorders/>
                  <w:vAlign w:val="center"/>
                </w:tcPr>
                <w:p>
                  <w:pPr>
                    <w:pStyle w:val="TableContents"/>
                    <w:bidi w:val="0"/>
                    <w:spacing w:before="0" w:after="0"/>
                    <w:jc w:val="left"/>
                    <w:rPr/>
                  </w:pPr>
                  <w:r>
                    <w:rPr/>
                    <w:t>Lingotto Investment Management (UK) Limited</w:t>
                  </w:r>
                </w:p>
              </w:tc>
            </w:tr>
          </w:tbl>
          <w:p>
            <w:pPr>
              <w:pStyle w:val="TableContents"/>
              <w:bidi w:val="0"/>
              <w:spacing w:before="0" w:after="283"/>
              <w:jc w:val="left"/>
              <w:rPr/>
            </w:pPr>
            <w:r>
              <w:rPr/>
            </w:r>
          </w:p>
        </w:tc>
        <w:tc>
          <w:tcPr>
            <w:tcW w:w="48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7"/>
        <w:gridCol w:w="4418"/>
      </w:tblGrid>
      <w:tr>
        <w:trPr/>
        <w:tc>
          <w:tcPr>
            <w:tcW w:w="57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Enrico Vellano</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Enrico Vellano | CEO</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418" w:type="dxa"/>
            <w:tcBorders/>
            <w:vAlign w:val="center"/>
          </w:tcPr>
          <w:p>
            <w:pPr>
              <w:pStyle w:val="TableContents"/>
              <w:bidi w:val="0"/>
              <w:spacing w:before="0" w:after="283"/>
              <w:jc w:val="left"/>
              <w:rPr>
                <w:sz w:val="4"/>
                <w:szCs w:val="4"/>
              </w:rPr>
            </w:pPr>
            <w:r>
              <w:rPr>
                <w:sz w:val="4"/>
                <w:szCs w:val="4"/>
              </w:rPr>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Lingotto Investment Management LLP</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7"/>
        <w:gridCol w:w="4418"/>
      </w:tblGrid>
      <w:tr>
        <w:trPr/>
        <w:tc>
          <w:tcPr>
            <w:tcW w:w="57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Enrico Vellano</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Enrico Vellano | CEO</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4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Percent of class based on 52,200,000 common shares outstanding, as reported in the Issuer's Form 10-Q filed with the Securities and Exchange Commission on 23 July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1375</Words>
  <Characters>7204</Characters>
  <CharactersWithSpaces>8508</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