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160655</wp:posOffset>
            </wp:positionV>
            <wp:extent cx="2315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8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68"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FOR THE FISCAL YEAR ENDED DECEMBER 31, 2019</w:t>
      </w:r>
    </w:p>
    <w:p>
      <w:pPr>
        <w:spacing w:after="0" w:line="216" w:lineRule="exact"/>
        <w:rPr>
          <w:sz w:val="24"/>
          <w:szCs w:val="24"/>
          <w:color w:val="auto"/>
        </w:rPr>
      </w:pPr>
    </w:p>
    <w:p>
      <w:pPr>
        <w:ind w:left="5620"/>
        <w:spacing w:after="0"/>
        <w:rPr>
          <w:sz w:val="20"/>
          <w:szCs w:val="20"/>
          <w:color w:val="auto"/>
        </w:rPr>
      </w:pPr>
      <w:r>
        <w:rPr>
          <w:rFonts w:ascii="Arial" w:cs="Arial" w:eastAsia="Arial" w:hAnsi="Arial"/>
          <w:sz w:val="20"/>
          <w:szCs w:val="20"/>
          <w:b w:val="1"/>
          <w:bCs w:val="1"/>
          <w:color w:val="auto"/>
        </w:rPr>
        <w:t>or</w:t>
      </w:r>
    </w:p>
    <w:p>
      <w:pPr>
        <w:spacing w:after="0" w:line="378" w:lineRule="exact"/>
        <w:rPr>
          <w:sz w:val="24"/>
          <w:szCs w:val="24"/>
          <w:color w:val="auto"/>
        </w:rPr>
      </w:pPr>
    </w:p>
    <w:p>
      <w:pPr>
        <w:jc w:val="center"/>
        <w:ind w:left="4080" w:right="540" w:hanging="4045"/>
        <w:spacing w:after="0" w:line="552" w:lineRule="auto"/>
        <w:tabs>
          <w:tab w:leader="none" w:pos="729"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 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38100</wp:posOffset>
            </wp:positionV>
            <wp:extent cx="2470150"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015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MOLINA HEALTHCARE,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280670</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780" w:type="dxa"/>
        <w:tblCellMar>
          <w:top w:w="0" w:type="dxa"/>
          <w:left w:w="0" w:type="dxa"/>
          <w:bottom w:w="0" w:type="dxa"/>
          <w:right w:w="0" w:type="dxa"/>
        </w:tblCellMar>
      </w:tblPr>
      <w:tr>
        <w:trPr>
          <w:trHeight w:val="239"/>
        </w:trPr>
        <w:tc>
          <w:tcPr>
            <w:tcW w:w="41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8"/>
              </w:rPr>
              <w:t>Delaware</w:t>
            </w:r>
          </w:p>
        </w:tc>
        <w:tc>
          <w:tcPr>
            <w:tcW w:w="3280" w:type="dxa"/>
            <w:vAlign w:val="bottom"/>
          </w:tcPr>
          <w:p>
            <w:pPr>
              <w:jc w:val="center"/>
              <w:ind w:left="1982"/>
              <w:spacing w:after="0"/>
              <w:rPr>
                <w:sz w:val="20"/>
                <w:szCs w:val="20"/>
                <w:color w:val="auto"/>
              </w:rPr>
            </w:pPr>
            <w:r>
              <w:rPr>
                <w:rFonts w:ascii="Arial" w:cs="Arial" w:eastAsia="Arial" w:hAnsi="Arial"/>
                <w:sz w:val="18"/>
                <w:szCs w:val="18"/>
                <w:b w:val="1"/>
                <w:bCs w:val="1"/>
                <w:color w:val="auto"/>
              </w:rPr>
              <w:t>13-4204626</w:t>
            </w:r>
          </w:p>
        </w:tc>
      </w:tr>
      <w:tr>
        <w:trPr>
          <w:trHeight w:val="231"/>
        </w:trPr>
        <w:tc>
          <w:tcPr>
            <w:tcW w:w="4120" w:type="dxa"/>
            <w:vAlign w:val="bottom"/>
          </w:tcPr>
          <w:p>
            <w:pPr>
              <w:jc w:val="center"/>
              <w:ind w:right="1982"/>
              <w:spacing w:after="0"/>
              <w:rPr>
                <w:sz w:val="20"/>
                <w:szCs w:val="20"/>
                <w:color w:val="auto"/>
              </w:rPr>
            </w:pPr>
            <w:r>
              <w:rPr>
                <w:rFonts w:ascii="Arial" w:cs="Arial" w:eastAsia="Arial" w:hAnsi="Arial"/>
                <w:sz w:val="14"/>
                <w:szCs w:val="14"/>
                <w:b w:val="1"/>
                <w:bCs w:val="1"/>
                <w:color w:val="auto"/>
              </w:rPr>
              <w:t>(State or other jurisdiction of</w:t>
            </w:r>
          </w:p>
        </w:tc>
        <w:tc>
          <w:tcPr>
            <w:tcW w:w="3280" w:type="dxa"/>
            <w:vAlign w:val="bottom"/>
          </w:tcPr>
          <w:p>
            <w:pPr>
              <w:jc w:val="center"/>
              <w:ind w:left="1982"/>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4120" w:type="dxa"/>
            <w:vAlign w:val="bottom"/>
          </w:tcPr>
          <w:p>
            <w:pPr>
              <w:jc w:val="center"/>
              <w:ind w:right="1982"/>
              <w:spacing w:after="0"/>
              <w:rPr>
                <w:sz w:val="20"/>
                <w:szCs w:val="20"/>
                <w:color w:val="auto"/>
              </w:rPr>
            </w:pPr>
            <w:r>
              <w:rPr>
                <w:rFonts w:ascii="Arial" w:cs="Arial" w:eastAsia="Arial" w:hAnsi="Arial"/>
                <w:sz w:val="14"/>
                <w:szCs w:val="14"/>
                <w:b w:val="1"/>
                <w:bCs w:val="1"/>
                <w:color w:val="auto"/>
              </w:rPr>
              <w:t>incorporation or organization)</w:t>
            </w:r>
          </w:p>
        </w:tc>
        <w:tc>
          <w:tcPr>
            <w:tcW w:w="3280" w:type="dxa"/>
            <w:vAlign w:val="bottom"/>
          </w:tcPr>
          <w:p>
            <w:pPr>
              <w:jc w:val="center"/>
              <w:ind w:left="1982"/>
              <w:spacing w:after="0"/>
              <w:rPr>
                <w:sz w:val="20"/>
                <w:szCs w:val="20"/>
                <w:color w:val="auto"/>
              </w:rPr>
            </w:pPr>
            <w:r>
              <w:rPr>
                <w:rFonts w:ascii="Arial" w:cs="Arial" w:eastAsia="Arial" w:hAnsi="Arial"/>
                <w:sz w:val="14"/>
                <w:szCs w:val="14"/>
                <w:b w:val="1"/>
                <w:bCs w:val="1"/>
                <w:color w:val="auto"/>
              </w:rPr>
              <w:t>Identification No.)</w:t>
            </w:r>
          </w:p>
        </w:tc>
      </w:tr>
    </w:tbl>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 Oceangate, Suite 100, Long Beach, California 90802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(562) 435-3666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59" w:lineRule="exact"/>
        <w:rPr>
          <w:sz w:val="24"/>
          <w:szCs w:val="24"/>
          <w:color w:val="auto"/>
        </w:rPr>
      </w:pPr>
    </w:p>
    <w:tbl>
      <w:tblPr>
        <w:tblLayout w:type="fixed"/>
        <w:tblInd w:w="76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40" w:type="dxa"/>
            <w:vAlign w:val="bottom"/>
          </w:tcPr>
          <w:p>
            <w:pPr>
              <w:spacing w:after="0"/>
              <w:rPr>
                <w:sz w:val="14"/>
                <w:szCs w:val="14"/>
                <w:color w:val="auto"/>
              </w:rPr>
            </w:pPr>
          </w:p>
        </w:tc>
        <w:tc>
          <w:tcPr>
            <w:tcW w:w="38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Trading Symbol(s)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322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rPr>
              <w:t>Common Stock, $0.001 Par Value</w:t>
            </w:r>
          </w:p>
        </w:tc>
        <w:tc>
          <w:tcPr>
            <w:tcW w:w="940" w:type="dxa"/>
            <w:vAlign w:val="bottom"/>
          </w:tcPr>
          <w:p>
            <w:pPr>
              <w:spacing w:after="0"/>
              <w:rPr>
                <w:sz w:val="19"/>
                <w:szCs w:val="19"/>
                <w:color w:val="auto"/>
              </w:rPr>
            </w:pPr>
          </w:p>
        </w:tc>
        <w:tc>
          <w:tcPr>
            <w:tcW w:w="288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rPr>
              <w:t>MOH</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320675</wp:posOffset>
            </wp:positionV>
            <wp:extent cx="2967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64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241" w:lineRule="exact"/>
        <w:rPr>
          <w:sz w:val="24"/>
          <w:szCs w:val="24"/>
          <w:color w:val="auto"/>
        </w:rPr>
      </w:pPr>
    </w:p>
    <w:p>
      <w:pPr>
        <w:sectPr>
          <w:pgSz w:w="11900" w:h="16838" w:orient="portrait"/>
          <w:cols w:equalWidth="0" w:num="3">
            <w:col w:w="9300" w:space="200"/>
            <w:col w:w="580" w:space="200"/>
            <w:col w:w="1140"/>
          </w:cols>
          <w:pgMar w:left="240" w:top="643" w:right="239" w:bottom="0" w:gutter="0" w:footer="0" w:header="0"/>
          <w:type w:val="continuous"/>
        </w:sectPr>
      </w:pPr>
    </w:p>
    <w:p>
      <w:pPr>
        <w:spacing w:after="0" w:line="1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238" w:lineRule="exact"/>
        <w:rPr>
          <w:sz w:val="24"/>
          <w:szCs w:val="24"/>
          <w:color w:val="auto"/>
        </w:rPr>
      </w:pPr>
    </w:p>
    <w:p>
      <w:pPr>
        <w:sectPr>
          <w:pgSz w:w="11900" w:h="16838" w:orient="portrait"/>
          <w:cols w:equalWidth="0" w:num="3">
            <w:col w:w="9420" w:space="200"/>
            <w:col w:w="580" w:space="240"/>
            <w:col w:w="980"/>
          </w:cols>
          <w:pgMar w:left="240" w:top="643" w:right="239" w:bottom="0" w:gutter="0" w:footer="0" w:header="0"/>
          <w:type w:val="continuous"/>
        </w:sectPr>
      </w:pPr>
    </w:p>
    <w:p>
      <w:pPr>
        <w:jc w:val="both"/>
        <w:spacing w:after="0" w:line="25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43" w:lineRule="exact"/>
        <w:rPr>
          <w:sz w:val="24"/>
          <w:szCs w:val="24"/>
          <w:color w:val="auto"/>
        </w:rPr>
      </w:pPr>
    </w:p>
    <w:p>
      <w:pPr>
        <w:jc w:val="both"/>
        <w:spacing w:after="0" w:line="25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643" w:right="239" w:bottom="0" w:gutter="0" w:footer="0" w:header="0"/>
          <w:type w:val="continuous"/>
        </w:sectPr>
      </w:pPr>
    </w:p>
    <w:bookmarkStart w:id="1" w:name="page2"/>
    <w:bookmarkEnd w:id="1"/>
    <w:p>
      <w:pPr>
        <w:jc w:val="both"/>
        <w:spacing w:after="0" w:line="30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01" w:right="239" w:bottom="1440" w:gutter="0" w:footer="0" w:header="0"/>
        </w:sectPr>
      </w:pP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48" w:lineRule="exact"/>
        <w:rPr>
          <w:sz w:val="20"/>
          <w:szCs w:val="20"/>
          <w:color w:val="auto"/>
        </w:rPr>
      </w:pPr>
    </w:p>
    <w:p>
      <w:pPr>
        <w:sectPr>
          <w:pgSz w:w="11900" w:h="16838" w:orient="portrait"/>
          <w:cols w:equalWidth="0" w:num="8">
            <w:col w:w="2160" w:space="720"/>
            <w:col w:w="200" w:space="140"/>
            <w:col w:w="1300" w:space="440"/>
            <w:col w:w="200" w:space="120"/>
            <w:col w:w="1660" w:space="520"/>
            <w:col w:w="200" w:space="120"/>
            <w:col w:w="2160" w:space="680"/>
            <w:col w:w="800"/>
          </w:cols>
          <w:pgMar w:left="240" w:top="301" w:right="239" w:bottom="1440" w:gutter="0" w:footer="0" w:header="0"/>
          <w:type w:val="continuous"/>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274" w:lineRule="exact"/>
        <w:rPr>
          <w:sz w:val="20"/>
          <w:szCs w:val="20"/>
          <w:color w:val="auto"/>
        </w:rPr>
      </w:pPr>
    </w:p>
    <w:p>
      <w:pPr>
        <w:sectPr>
          <w:pgSz w:w="11900" w:h="16838" w:orient="portrait"/>
          <w:cols w:equalWidth="0" w:num="2">
            <w:col w:w="2180" w:space="700"/>
            <w:col w:w="8540"/>
          </w:cols>
          <w:pgMar w:left="240" w:top="301" w:right="239" w:bottom="1440" w:gutter="0" w:footer="0" w:header="0"/>
          <w:type w:val="continuous"/>
        </w:sectPr>
      </w:pPr>
    </w:p>
    <w:p>
      <w:pPr>
        <w:jc w:val="both"/>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68" w:lineRule="exact"/>
        <w:rPr>
          <w:sz w:val="20"/>
          <w:szCs w:val="20"/>
          <w:color w:val="auto"/>
        </w:rPr>
      </w:pPr>
    </w:p>
    <w:p>
      <w:pPr>
        <w:spacing w:after="0" w:line="242" w:lineRule="exact"/>
        <w:tabs>
          <w:tab w:leader="none" w:pos="89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8"/>
          <w:szCs w:val="18"/>
          <w:color w:val="auto"/>
        </w:rPr>
        <w:t>No</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2019, the last business day of our most recently completed second fiscal quarter, was approximately $8,928.7 million (based upon the closing price for shares of the registrant’s Common Stock as reported by the New York Stock Exchange, Inc. on June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7, 2020, approximately 60,800,000 shares of the registrant’s Common Stock, $0.001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272415</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Portions of the registrant’s Proxy Statement for the 2020 Annual Meeting of Stockholders to be held on May 7, 2020, are incorporated by reference into Part III of this Form 10-K, to the extent described therein.</w:t>
      </w:r>
    </w:p>
    <w:p>
      <w:pPr>
        <w:sectPr>
          <w:pgSz w:w="11900" w:h="16838" w:orient="portrait"/>
          <w:cols w:equalWidth="0" w:num="1">
            <w:col w:w="11420"/>
          </w:cols>
          <w:pgMar w:left="240" w:top="30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5"/>
          <w:szCs w:val="25"/>
          <w:b w:val="1"/>
          <w:bCs w:val="1"/>
          <w:color w:val="0F7C7F"/>
        </w:rPr>
        <w:t>MOLINA HEALTHCARE, INC. 2019 FORM 10-K</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TABLE OF CONTENTS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440" w:type="dxa"/>
            <w:vAlign w:val="bottom"/>
          </w:tcPr>
          <w:p>
            <w:pPr>
              <w:spacing w:after="0"/>
              <w:rPr>
                <w:sz w:val="19"/>
                <w:szCs w:val="19"/>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Page</w:t>
            </w:r>
          </w:p>
        </w:tc>
      </w:tr>
      <w:tr>
        <w:trPr>
          <w:trHeight w:val="345"/>
        </w:trPr>
        <w:tc>
          <w:tcPr>
            <w:tcW w:w="460" w:type="dxa"/>
            <w:vAlign w:val="bottom"/>
          </w:tcPr>
          <w:p>
            <w:pPr>
              <w:spacing w:after="0"/>
              <w:rPr>
                <w:sz w:val="24"/>
                <w:szCs w:val="24"/>
                <w:color w:val="auto"/>
              </w:rPr>
            </w:pPr>
          </w:p>
        </w:tc>
        <w:tc>
          <w:tcPr>
            <w:tcW w:w="9440" w:type="dxa"/>
            <w:vAlign w:val="bottom"/>
          </w:tcPr>
          <w:p>
            <w:pPr>
              <w:jc w:val="center"/>
              <w:ind w:left="919"/>
              <w:spacing w:after="0"/>
              <w:rPr>
                <w:sz w:val="20"/>
                <w:szCs w:val="20"/>
                <w:color w:val="auto"/>
              </w:rPr>
            </w:pPr>
            <w:r>
              <w:rPr>
                <w:rFonts w:ascii="Arial" w:cs="Arial" w:eastAsia="Arial" w:hAnsi="Arial"/>
                <w:sz w:val="16"/>
                <w:szCs w:val="16"/>
                <w:b w:val="1"/>
                <w:bCs w:val="1"/>
                <w:color w:val="auto"/>
                <w:w w:val="99"/>
              </w:rPr>
              <w:t>Part I</w:t>
            </w:r>
          </w:p>
        </w:tc>
        <w:tc>
          <w:tcPr>
            <w:tcW w:w="1480" w:type="dxa"/>
            <w:vAlign w:val="bottom"/>
          </w:tcPr>
          <w:p>
            <w:pPr>
              <w:spacing w:after="0"/>
              <w:rPr>
                <w:sz w:val="24"/>
                <w:szCs w:val="24"/>
                <w:color w:val="auto"/>
              </w:rPr>
            </w:pPr>
          </w:p>
        </w:tc>
      </w:tr>
      <w:tr>
        <w:trPr>
          <w:trHeight w:val="257"/>
        </w:trPr>
        <w:tc>
          <w:tcPr>
            <w:tcW w:w="9900" w:type="dxa"/>
            <w:vAlign w:val="bottom"/>
            <w:gridSpan w:val="2"/>
          </w:tcPr>
          <w:p>
            <w:pPr>
              <w:spacing w:after="0"/>
              <w:rPr>
                <w:sz w:val="20"/>
                <w:szCs w:val="20"/>
                <w:color w:val="auto"/>
              </w:rPr>
            </w:pPr>
            <w:r>
              <w:rPr>
                <w:rFonts w:ascii="Arial" w:cs="Arial" w:eastAsia="Arial" w:hAnsi="Arial"/>
                <w:sz w:val="16"/>
                <w:szCs w:val="16"/>
                <w:b w:val="1"/>
                <w:bCs w:val="1"/>
                <w:color w:val="auto"/>
              </w:rPr>
              <w:t>Item Number</w:t>
            </w:r>
          </w:p>
        </w:tc>
        <w:tc>
          <w:tcPr>
            <w:tcW w:w="1480" w:type="dxa"/>
            <w:vAlign w:val="bottom"/>
          </w:tcPr>
          <w:p>
            <w:pPr>
              <w:spacing w:after="0"/>
              <w:rPr>
                <w:sz w:val="22"/>
                <w:szCs w:val="22"/>
                <w:color w:val="auto"/>
              </w:rPr>
            </w:pPr>
          </w:p>
        </w:tc>
      </w:tr>
      <w:tr>
        <w:trPr>
          <w:trHeight w:val="257"/>
        </w:trPr>
        <w:tc>
          <w:tcPr>
            <w:tcW w:w="460" w:type="dxa"/>
            <w:vAlign w:val="bottom"/>
          </w:tcPr>
          <w:p>
            <w:pPr>
              <w:spacing w:after="0"/>
              <w:rPr>
                <w:sz w:val="20"/>
                <w:szCs w:val="20"/>
                <w:color w:val="auto"/>
              </w:rPr>
            </w:pPr>
            <w:r>
              <w:rPr>
                <w:rFonts w:ascii="Arial" w:cs="Arial" w:eastAsia="Arial" w:hAnsi="Arial"/>
                <w:sz w:val="16"/>
                <w:szCs w:val="16"/>
                <w:color w:val="auto"/>
              </w:rPr>
              <w:t>1.</w:t>
            </w:r>
          </w:p>
        </w:tc>
        <w:tc>
          <w:tcPr>
            <w:tcW w:w="9440" w:type="dxa"/>
            <w:vAlign w:val="bottom"/>
          </w:tcPr>
          <w:p>
            <w:pPr>
              <w:ind w:left="220"/>
              <w:spacing w:after="0"/>
              <w:rPr>
                <w:rFonts w:ascii="Arial" w:cs="Arial" w:eastAsia="Arial" w:hAnsi="Arial"/>
                <w:sz w:val="16"/>
                <w:szCs w:val="16"/>
                <w:color w:val="auto"/>
              </w:rPr>
            </w:pPr>
            <w:hyperlink w:anchor="page5">
              <w:r>
                <w:rPr>
                  <w:rFonts w:ascii="Arial" w:cs="Arial" w:eastAsia="Arial" w:hAnsi="Arial"/>
                  <w:sz w:val="16"/>
                  <w:szCs w:val="16"/>
                  <w:color w:val="auto"/>
                </w:rPr>
                <w:t>Business</w:t>
              </w:r>
            </w:hyperlink>
          </w:p>
        </w:tc>
        <w:tc>
          <w:tcPr>
            <w:tcW w:w="1480" w:type="dxa"/>
            <w:vAlign w:val="bottom"/>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2</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1A.</w:t>
            </w:r>
          </w:p>
        </w:tc>
        <w:tc>
          <w:tcPr>
            <w:tcW w:w="9440" w:type="dxa"/>
            <w:vAlign w:val="bottom"/>
          </w:tcPr>
          <w:p>
            <w:pPr>
              <w:ind w:left="220"/>
              <w:spacing w:after="0"/>
              <w:rPr>
                <w:rFonts w:ascii="Arial" w:cs="Arial" w:eastAsia="Arial" w:hAnsi="Arial"/>
                <w:sz w:val="16"/>
                <w:szCs w:val="16"/>
                <w:color w:val="auto"/>
              </w:rPr>
            </w:pPr>
            <w:hyperlink w:anchor="page20">
              <w:r>
                <w:rPr>
                  <w:rFonts w:ascii="Arial" w:cs="Arial" w:eastAsia="Arial" w:hAnsi="Arial"/>
                  <w:sz w:val="16"/>
                  <w:szCs w:val="16"/>
                  <w:color w:val="auto"/>
                </w:rPr>
                <w:t>Risk Factors</w:t>
              </w:r>
            </w:hyperlink>
          </w:p>
        </w:tc>
        <w:tc>
          <w:tcPr>
            <w:tcW w:w="1480" w:type="dxa"/>
            <w:vAlign w:val="bottom"/>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17</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1B.</w:t>
            </w:r>
          </w:p>
        </w:tc>
        <w:tc>
          <w:tcPr>
            <w:tcW w:w="9440" w:type="dxa"/>
            <w:vAlign w:val="bottom"/>
          </w:tcPr>
          <w:p>
            <w:pPr>
              <w:ind w:left="220"/>
              <w:spacing w:after="0"/>
              <w:rPr>
                <w:sz w:val="20"/>
                <w:szCs w:val="20"/>
                <w:color w:val="auto"/>
              </w:rPr>
            </w:pPr>
            <w:r>
              <w:rPr>
                <w:rFonts w:ascii="Arial" w:cs="Arial" w:eastAsia="Arial" w:hAnsi="Arial"/>
                <w:sz w:val="16"/>
                <w:szCs w:val="16"/>
                <w:color w:val="auto"/>
              </w:rPr>
              <w:t>Unresolved Staff Comments</w:t>
            </w:r>
          </w:p>
        </w:tc>
        <w:tc>
          <w:tcPr>
            <w:tcW w:w="148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2.</w:t>
            </w:r>
          </w:p>
        </w:tc>
        <w:tc>
          <w:tcPr>
            <w:tcW w:w="9440" w:type="dxa"/>
            <w:vAlign w:val="bottom"/>
          </w:tcPr>
          <w:p>
            <w:pPr>
              <w:ind w:left="220"/>
              <w:spacing w:after="0"/>
              <w:rPr>
                <w:rFonts w:ascii="Arial" w:cs="Arial" w:eastAsia="Arial" w:hAnsi="Arial"/>
                <w:sz w:val="16"/>
                <w:szCs w:val="16"/>
                <w:color w:val="auto"/>
              </w:rPr>
            </w:pPr>
            <w:hyperlink w:anchor="page33">
              <w:r>
                <w:rPr>
                  <w:rFonts w:ascii="Arial" w:cs="Arial" w:eastAsia="Arial" w:hAnsi="Arial"/>
                  <w:sz w:val="16"/>
                  <w:szCs w:val="16"/>
                  <w:color w:val="auto"/>
                </w:rPr>
                <w:t>Properties</w:t>
              </w:r>
            </w:hyperlink>
          </w:p>
        </w:tc>
        <w:tc>
          <w:tcPr>
            <w:tcW w:w="1480" w:type="dxa"/>
            <w:vAlign w:val="bottom"/>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3.</w:t>
            </w:r>
          </w:p>
        </w:tc>
        <w:tc>
          <w:tcPr>
            <w:tcW w:w="9440" w:type="dxa"/>
            <w:vAlign w:val="bottom"/>
          </w:tcPr>
          <w:p>
            <w:pPr>
              <w:ind w:left="220"/>
              <w:spacing w:after="0"/>
              <w:rPr>
                <w:rFonts w:ascii="Arial" w:cs="Arial" w:eastAsia="Arial" w:hAnsi="Arial"/>
                <w:sz w:val="16"/>
                <w:szCs w:val="16"/>
                <w:color w:val="auto"/>
              </w:rPr>
            </w:pPr>
            <w:hyperlink w:anchor="page33">
              <w:r>
                <w:rPr>
                  <w:rFonts w:ascii="Arial" w:cs="Arial" w:eastAsia="Arial" w:hAnsi="Arial"/>
                  <w:sz w:val="16"/>
                  <w:szCs w:val="16"/>
                  <w:color w:val="auto"/>
                </w:rPr>
                <w:t>Legal Proceedings</w:t>
              </w:r>
            </w:hyperlink>
          </w:p>
        </w:tc>
        <w:tc>
          <w:tcPr>
            <w:tcW w:w="1480" w:type="dxa"/>
            <w:vAlign w:val="bottom"/>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4.</w:t>
            </w:r>
          </w:p>
        </w:tc>
        <w:tc>
          <w:tcPr>
            <w:tcW w:w="9440" w:type="dxa"/>
            <w:vAlign w:val="bottom"/>
          </w:tcPr>
          <w:p>
            <w:pPr>
              <w:ind w:left="220"/>
              <w:spacing w:after="0"/>
              <w:rPr>
                <w:sz w:val="20"/>
                <w:szCs w:val="20"/>
                <w:color w:val="auto"/>
              </w:rPr>
            </w:pPr>
            <w:r>
              <w:rPr>
                <w:rFonts w:ascii="Arial" w:cs="Arial" w:eastAsia="Arial" w:hAnsi="Arial"/>
                <w:sz w:val="16"/>
                <w:szCs w:val="16"/>
                <w:color w:val="auto"/>
              </w:rPr>
              <w:t>Mine Safety Disclosures</w:t>
            </w:r>
          </w:p>
        </w:tc>
        <w:tc>
          <w:tcPr>
            <w:tcW w:w="148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365"/>
        </w:trPr>
        <w:tc>
          <w:tcPr>
            <w:tcW w:w="460" w:type="dxa"/>
            <w:vAlign w:val="bottom"/>
          </w:tcPr>
          <w:p>
            <w:pPr>
              <w:spacing w:after="0"/>
              <w:rPr>
                <w:sz w:val="24"/>
                <w:szCs w:val="24"/>
                <w:color w:val="auto"/>
              </w:rPr>
            </w:pPr>
          </w:p>
        </w:tc>
        <w:tc>
          <w:tcPr>
            <w:tcW w:w="9440" w:type="dxa"/>
            <w:vAlign w:val="bottom"/>
          </w:tcPr>
          <w:p>
            <w:pPr>
              <w:jc w:val="center"/>
              <w:ind w:left="899"/>
              <w:spacing w:after="0"/>
              <w:rPr>
                <w:sz w:val="20"/>
                <w:szCs w:val="20"/>
                <w:color w:val="auto"/>
              </w:rPr>
            </w:pPr>
            <w:r>
              <w:rPr>
                <w:rFonts w:ascii="Arial" w:cs="Arial" w:eastAsia="Arial" w:hAnsi="Arial"/>
                <w:sz w:val="16"/>
                <w:szCs w:val="16"/>
                <w:b w:val="1"/>
                <w:bCs w:val="1"/>
                <w:color w:val="auto"/>
              </w:rPr>
              <w:t>Part II</w:t>
            </w:r>
          </w:p>
        </w:tc>
        <w:tc>
          <w:tcPr>
            <w:tcW w:w="1480" w:type="dxa"/>
            <w:vAlign w:val="bottom"/>
          </w:tcPr>
          <w:p>
            <w:pPr>
              <w:spacing w:after="0"/>
              <w:rPr>
                <w:sz w:val="24"/>
                <w:szCs w:val="24"/>
                <w:color w:val="auto"/>
              </w:rPr>
            </w:pP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5.</w:t>
            </w:r>
          </w:p>
        </w:tc>
        <w:tc>
          <w:tcPr>
            <w:tcW w:w="9440" w:type="dxa"/>
            <w:vAlign w:val="bottom"/>
          </w:tcPr>
          <w:p>
            <w:pPr>
              <w:ind w:left="220"/>
              <w:spacing w:after="0"/>
              <w:rPr>
                <w:rFonts w:ascii="Arial" w:cs="Arial" w:eastAsia="Arial" w:hAnsi="Arial"/>
                <w:sz w:val="16"/>
                <w:szCs w:val="16"/>
                <w:color w:val="auto"/>
              </w:rPr>
            </w:pPr>
            <w:hyperlink w:anchor="page33">
              <w:r>
                <w:rPr>
                  <w:rFonts w:ascii="Arial" w:cs="Arial" w:eastAsia="Arial" w:hAnsi="Arial"/>
                  <w:sz w:val="16"/>
                  <w:szCs w:val="16"/>
                  <w:color w:val="auto"/>
                </w:rPr>
                <w:t>Market for Registrant’s Common Equity, Related Stockholder Matters and Issuer Purchases of Equity Securities</w:t>
              </w:r>
            </w:hyperlink>
          </w:p>
        </w:tc>
        <w:tc>
          <w:tcPr>
            <w:tcW w:w="1480" w:type="dxa"/>
            <w:vAlign w:val="bottom"/>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6.</w:t>
            </w:r>
          </w:p>
        </w:tc>
        <w:tc>
          <w:tcPr>
            <w:tcW w:w="9440" w:type="dxa"/>
            <w:vAlign w:val="bottom"/>
          </w:tcPr>
          <w:p>
            <w:pPr>
              <w:ind w:left="220"/>
              <w:spacing w:after="0"/>
              <w:rPr>
                <w:rFonts w:ascii="Arial" w:cs="Arial" w:eastAsia="Arial" w:hAnsi="Arial"/>
                <w:sz w:val="16"/>
                <w:szCs w:val="16"/>
                <w:color w:val="auto"/>
              </w:rPr>
            </w:pPr>
            <w:hyperlink w:anchor="page35">
              <w:r>
                <w:rPr>
                  <w:rFonts w:ascii="Arial" w:cs="Arial" w:eastAsia="Arial" w:hAnsi="Arial"/>
                  <w:sz w:val="16"/>
                  <w:szCs w:val="16"/>
                  <w:color w:val="auto"/>
                </w:rPr>
                <w:t>Selected Consolidated Financial Data</w:t>
              </w:r>
            </w:hyperlink>
          </w:p>
        </w:tc>
        <w:tc>
          <w:tcPr>
            <w:tcW w:w="1480" w:type="dxa"/>
            <w:vAlign w:val="bottom"/>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7.</w:t>
            </w:r>
          </w:p>
        </w:tc>
        <w:tc>
          <w:tcPr>
            <w:tcW w:w="9440" w:type="dxa"/>
            <w:vAlign w:val="bottom"/>
          </w:tcPr>
          <w:p>
            <w:pPr>
              <w:ind w:left="220"/>
              <w:spacing w:after="0"/>
              <w:rPr>
                <w:rFonts w:ascii="Arial" w:cs="Arial" w:eastAsia="Arial" w:hAnsi="Arial"/>
                <w:sz w:val="16"/>
                <w:szCs w:val="16"/>
                <w:color w:val="auto"/>
              </w:rPr>
            </w:pPr>
            <w:hyperlink w:anchor="page36">
              <w:r>
                <w:rPr>
                  <w:rFonts w:ascii="Arial" w:cs="Arial" w:eastAsia="Arial" w:hAnsi="Arial"/>
                  <w:sz w:val="16"/>
                  <w:szCs w:val="16"/>
                  <w:color w:val="auto"/>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33</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7A.</w:t>
            </w:r>
          </w:p>
        </w:tc>
        <w:tc>
          <w:tcPr>
            <w:tcW w:w="9440" w:type="dxa"/>
            <w:vAlign w:val="bottom"/>
          </w:tcPr>
          <w:p>
            <w:pPr>
              <w:ind w:left="220"/>
              <w:spacing w:after="0"/>
              <w:rPr>
                <w:rFonts w:ascii="Arial" w:cs="Arial" w:eastAsia="Arial" w:hAnsi="Arial"/>
                <w:sz w:val="16"/>
                <w:szCs w:val="16"/>
                <w:color w:val="auto"/>
              </w:rPr>
            </w:pPr>
            <w:hyperlink w:anchor="page49">
              <w:r>
                <w:rPr>
                  <w:rFonts w:ascii="Arial" w:cs="Arial" w:eastAsia="Arial" w:hAnsi="Arial"/>
                  <w:sz w:val="16"/>
                  <w:szCs w:val="16"/>
                  <w:color w:val="auto"/>
                </w:rPr>
                <w:t>Quantitative and Qualitative Disclosures About Market Risk</w:t>
              </w:r>
            </w:hyperlink>
          </w:p>
        </w:tc>
        <w:tc>
          <w:tcPr>
            <w:tcW w:w="1480" w:type="dxa"/>
            <w:vAlign w:val="bottom"/>
          </w:tcPr>
          <w:p>
            <w:pPr>
              <w:jc w:val="right"/>
              <w:spacing w:after="0"/>
              <w:rPr>
                <w:rFonts w:ascii="Arial" w:cs="Arial" w:eastAsia="Arial" w:hAnsi="Arial"/>
                <w:sz w:val="16"/>
                <w:szCs w:val="16"/>
                <w:color w:val="0000EE"/>
              </w:rPr>
            </w:pPr>
            <w:hyperlink w:anchor="page49">
              <w:r>
                <w:rPr>
                  <w:rFonts w:ascii="Arial" w:cs="Arial" w:eastAsia="Arial" w:hAnsi="Arial"/>
                  <w:sz w:val="16"/>
                  <w:szCs w:val="16"/>
                  <w:color w:val="0000EE"/>
                </w:rPr>
                <w:t>46</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8.</w:t>
            </w:r>
          </w:p>
        </w:tc>
        <w:tc>
          <w:tcPr>
            <w:tcW w:w="9440" w:type="dxa"/>
            <w:vAlign w:val="bottom"/>
          </w:tcPr>
          <w:p>
            <w:pPr>
              <w:ind w:left="220"/>
              <w:spacing w:after="0"/>
              <w:rPr>
                <w:rFonts w:ascii="Arial" w:cs="Arial" w:eastAsia="Arial" w:hAnsi="Arial"/>
                <w:sz w:val="16"/>
                <w:szCs w:val="16"/>
                <w:color w:val="auto"/>
              </w:rPr>
            </w:pPr>
            <w:hyperlink w:anchor="page50">
              <w:r>
                <w:rPr>
                  <w:rFonts w:ascii="Arial" w:cs="Arial" w:eastAsia="Arial" w:hAnsi="Arial"/>
                  <w:sz w:val="16"/>
                  <w:szCs w:val="16"/>
                  <w:color w:val="auto"/>
                </w:rPr>
                <w:t>Financial Statements and Supplementary Data</w:t>
              </w:r>
            </w:hyperlink>
          </w:p>
        </w:tc>
        <w:tc>
          <w:tcPr>
            <w:tcW w:w="1480" w:type="dxa"/>
            <w:vAlign w:val="bottom"/>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47</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9.</w:t>
            </w:r>
          </w:p>
        </w:tc>
        <w:tc>
          <w:tcPr>
            <w:tcW w:w="9440" w:type="dxa"/>
            <w:vAlign w:val="bottom"/>
          </w:tcPr>
          <w:p>
            <w:pPr>
              <w:ind w:left="2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480" w:type="dxa"/>
            <w:vAlign w:val="bottom"/>
          </w:tcPr>
          <w:p>
            <w:pPr>
              <w:jc w:val="right"/>
              <w:spacing w:after="0"/>
              <w:rPr>
                <w:sz w:val="20"/>
                <w:szCs w:val="20"/>
                <w:color w:val="auto"/>
              </w:rPr>
            </w:pPr>
            <w:r>
              <w:rPr>
                <w:rFonts w:ascii="Arial" w:cs="Arial" w:eastAsia="Arial" w:hAnsi="Arial"/>
                <w:sz w:val="16"/>
                <w:szCs w:val="16"/>
                <w:color w:val="auto"/>
              </w:rPr>
              <w:t>Not Applicable.</w:t>
            </w: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9A.</w:t>
            </w:r>
          </w:p>
        </w:tc>
        <w:tc>
          <w:tcPr>
            <w:tcW w:w="9440" w:type="dxa"/>
            <w:vAlign w:val="bottom"/>
          </w:tcPr>
          <w:p>
            <w:pPr>
              <w:ind w:left="220"/>
              <w:spacing w:after="0"/>
              <w:rPr>
                <w:rFonts w:ascii="Arial" w:cs="Arial" w:eastAsia="Arial" w:hAnsi="Arial"/>
                <w:sz w:val="16"/>
                <w:szCs w:val="16"/>
                <w:color w:val="auto"/>
              </w:rPr>
            </w:pPr>
            <w:hyperlink w:anchor="page93">
              <w:r>
                <w:rPr>
                  <w:rFonts w:ascii="Arial" w:cs="Arial" w:eastAsia="Arial" w:hAnsi="Arial"/>
                  <w:sz w:val="16"/>
                  <w:szCs w:val="16"/>
                  <w:color w:val="auto"/>
                </w:rPr>
                <w:t>Controls and Procedures</w:t>
              </w:r>
            </w:hyperlink>
          </w:p>
        </w:tc>
        <w:tc>
          <w:tcPr>
            <w:tcW w:w="1480" w:type="dxa"/>
            <w:vAlign w:val="bottom"/>
          </w:tcPr>
          <w:p>
            <w:pPr>
              <w:jc w:val="right"/>
              <w:spacing w:after="0"/>
              <w:rPr>
                <w:rFonts w:ascii="Arial" w:cs="Arial" w:eastAsia="Arial" w:hAnsi="Arial"/>
                <w:sz w:val="16"/>
                <w:szCs w:val="16"/>
                <w:color w:val="0000EE"/>
              </w:rPr>
            </w:pPr>
            <w:hyperlink w:anchor="page93">
              <w:r>
                <w:rPr>
                  <w:rFonts w:ascii="Arial" w:cs="Arial" w:eastAsia="Arial" w:hAnsi="Arial"/>
                  <w:sz w:val="16"/>
                  <w:szCs w:val="16"/>
                  <w:color w:val="0000EE"/>
                </w:rPr>
                <w:t>90</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9B.</w:t>
            </w:r>
          </w:p>
        </w:tc>
        <w:tc>
          <w:tcPr>
            <w:tcW w:w="9440" w:type="dxa"/>
            <w:vAlign w:val="bottom"/>
          </w:tcPr>
          <w:p>
            <w:pPr>
              <w:ind w:left="220"/>
              <w:spacing w:after="0"/>
              <w:rPr>
                <w:rFonts w:ascii="Arial" w:cs="Arial" w:eastAsia="Arial" w:hAnsi="Arial"/>
                <w:sz w:val="16"/>
                <w:szCs w:val="16"/>
                <w:color w:val="auto"/>
              </w:rPr>
            </w:pPr>
            <w:hyperlink w:anchor="page97">
              <w:r>
                <w:rPr>
                  <w:rFonts w:ascii="Arial" w:cs="Arial" w:eastAsia="Arial" w:hAnsi="Arial"/>
                  <w:sz w:val="16"/>
                  <w:szCs w:val="16"/>
                  <w:color w:val="auto"/>
                </w:rPr>
                <w:t>Other Information</w:t>
              </w:r>
            </w:hyperlink>
          </w:p>
        </w:tc>
        <w:tc>
          <w:tcPr>
            <w:tcW w:w="1480" w:type="dxa"/>
            <w:vAlign w:val="bottom"/>
          </w:tcPr>
          <w:p>
            <w:pPr>
              <w:jc w:val="right"/>
              <w:spacing w:after="0"/>
              <w:rPr>
                <w:rFonts w:ascii="Arial" w:cs="Arial" w:eastAsia="Arial" w:hAnsi="Arial"/>
                <w:sz w:val="16"/>
                <w:szCs w:val="16"/>
                <w:color w:val="0000EE"/>
              </w:rPr>
            </w:pPr>
            <w:hyperlink w:anchor="page97">
              <w:r>
                <w:rPr>
                  <w:rFonts w:ascii="Arial" w:cs="Arial" w:eastAsia="Arial" w:hAnsi="Arial"/>
                  <w:sz w:val="16"/>
                  <w:szCs w:val="16"/>
                  <w:color w:val="0000EE"/>
                </w:rPr>
                <w:t>94</w:t>
              </w:r>
            </w:hyperlink>
          </w:p>
        </w:tc>
      </w:tr>
      <w:tr>
        <w:trPr>
          <w:trHeight w:val="365"/>
        </w:trPr>
        <w:tc>
          <w:tcPr>
            <w:tcW w:w="460" w:type="dxa"/>
            <w:vAlign w:val="bottom"/>
          </w:tcPr>
          <w:p>
            <w:pPr>
              <w:spacing w:after="0"/>
              <w:rPr>
                <w:sz w:val="24"/>
                <w:szCs w:val="24"/>
                <w:color w:val="auto"/>
              </w:rPr>
            </w:pPr>
          </w:p>
        </w:tc>
        <w:tc>
          <w:tcPr>
            <w:tcW w:w="9440" w:type="dxa"/>
            <w:vAlign w:val="bottom"/>
          </w:tcPr>
          <w:p>
            <w:pPr>
              <w:jc w:val="center"/>
              <w:ind w:left="899"/>
              <w:spacing w:after="0"/>
              <w:rPr>
                <w:sz w:val="20"/>
                <w:szCs w:val="20"/>
                <w:color w:val="auto"/>
              </w:rPr>
            </w:pPr>
            <w:r>
              <w:rPr>
                <w:rFonts w:ascii="Arial" w:cs="Arial" w:eastAsia="Arial" w:hAnsi="Arial"/>
                <w:sz w:val="16"/>
                <w:szCs w:val="16"/>
                <w:b w:val="1"/>
                <w:bCs w:val="1"/>
                <w:color w:val="auto"/>
              </w:rPr>
              <w:t>Part III</w:t>
            </w:r>
          </w:p>
        </w:tc>
        <w:tc>
          <w:tcPr>
            <w:tcW w:w="1480" w:type="dxa"/>
            <w:vAlign w:val="bottom"/>
          </w:tcPr>
          <w:p>
            <w:pPr>
              <w:spacing w:after="0"/>
              <w:rPr>
                <w:sz w:val="24"/>
                <w:szCs w:val="24"/>
                <w:color w:val="auto"/>
              </w:rPr>
            </w:pP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10.</w:t>
            </w:r>
          </w:p>
        </w:tc>
        <w:tc>
          <w:tcPr>
            <w:tcW w:w="9440" w:type="dxa"/>
            <w:vAlign w:val="bottom"/>
          </w:tcPr>
          <w:p>
            <w:pPr>
              <w:ind w:left="220"/>
              <w:spacing w:after="0"/>
              <w:rPr>
                <w:rFonts w:ascii="Arial" w:cs="Arial" w:eastAsia="Arial" w:hAnsi="Arial"/>
                <w:sz w:val="16"/>
                <w:szCs w:val="16"/>
                <w:color w:val="auto"/>
              </w:rPr>
            </w:pPr>
            <w:hyperlink w:anchor="page97">
              <w:r>
                <w:rPr>
                  <w:rFonts w:ascii="Arial" w:cs="Arial" w:eastAsia="Arial" w:hAnsi="Arial"/>
                  <w:sz w:val="16"/>
                  <w:szCs w:val="16"/>
                  <w:color w:val="auto"/>
                </w:rPr>
                <w:t>Directors, Executive Officers and Corporate Governance</w:t>
              </w:r>
            </w:hyperlink>
          </w:p>
        </w:tc>
        <w:tc>
          <w:tcPr>
            <w:tcW w:w="1480" w:type="dxa"/>
            <w:vAlign w:val="bottom"/>
          </w:tcPr>
          <w:p>
            <w:pPr>
              <w:jc w:val="right"/>
              <w:spacing w:after="0"/>
              <w:rPr>
                <w:rFonts w:ascii="Arial" w:cs="Arial" w:eastAsia="Arial" w:hAnsi="Arial"/>
                <w:sz w:val="16"/>
                <w:szCs w:val="16"/>
                <w:color w:val="0000EE"/>
              </w:rPr>
            </w:pPr>
            <w:hyperlink w:anchor="page97">
              <w:r>
                <w:rPr>
                  <w:rFonts w:ascii="Arial" w:cs="Arial" w:eastAsia="Arial" w:hAnsi="Arial"/>
                  <w:sz w:val="16"/>
                  <w:szCs w:val="16"/>
                  <w:color w:val="0000EE"/>
                </w:rPr>
                <w:t>94</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11.</w:t>
            </w:r>
          </w:p>
        </w:tc>
        <w:tc>
          <w:tcPr>
            <w:tcW w:w="9440" w:type="dxa"/>
            <w:vAlign w:val="bottom"/>
          </w:tcPr>
          <w:p>
            <w:pPr>
              <w:ind w:left="220"/>
              <w:spacing w:after="0"/>
              <w:rPr>
                <w:rFonts w:ascii="Arial" w:cs="Arial" w:eastAsia="Arial" w:hAnsi="Arial"/>
                <w:sz w:val="16"/>
                <w:szCs w:val="16"/>
                <w:color w:val="auto"/>
              </w:rPr>
            </w:pPr>
            <w:hyperlink w:anchor="page97">
              <w:r>
                <w:rPr>
                  <w:rFonts w:ascii="Arial" w:cs="Arial" w:eastAsia="Arial" w:hAnsi="Arial"/>
                  <w:sz w:val="16"/>
                  <w:szCs w:val="16"/>
                  <w:color w:val="auto"/>
                </w:rPr>
                <w:t>Executive Compensation</w:t>
              </w:r>
            </w:hyperlink>
          </w:p>
        </w:tc>
        <w:tc>
          <w:tcPr>
            <w:tcW w:w="1480" w:type="dxa"/>
            <w:vAlign w:val="bottom"/>
          </w:tcPr>
          <w:p>
            <w:pPr>
              <w:jc w:val="right"/>
              <w:spacing w:after="0"/>
              <w:rPr>
                <w:rFonts w:ascii="Arial" w:cs="Arial" w:eastAsia="Arial" w:hAnsi="Arial"/>
                <w:sz w:val="16"/>
                <w:szCs w:val="16"/>
                <w:color w:val="0000EE"/>
              </w:rPr>
            </w:pPr>
            <w:hyperlink w:anchor="page97">
              <w:r>
                <w:rPr>
                  <w:rFonts w:ascii="Arial" w:cs="Arial" w:eastAsia="Arial" w:hAnsi="Arial"/>
                  <w:sz w:val="16"/>
                  <w:szCs w:val="16"/>
                  <w:color w:val="0000EE"/>
                </w:rPr>
                <w:t>94</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12.</w:t>
            </w:r>
          </w:p>
        </w:tc>
        <w:tc>
          <w:tcPr>
            <w:tcW w:w="9440" w:type="dxa"/>
            <w:vAlign w:val="bottom"/>
          </w:tcPr>
          <w:p>
            <w:pPr>
              <w:ind w:left="220"/>
              <w:spacing w:after="0"/>
              <w:rPr>
                <w:rFonts w:ascii="Arial" w:cs="Arial" w:eastAsia="Arial" w:hAnsi="Arial"/>
                <w:sz w:val="16"/>
                <w:szCs w:val="16"/>
                <w:color w:val="auto"/>
              </w:rPr>
            </w:pPr>
            <w:hyperlink w:anchor="page97">
              <w:r>
                <w:rPr>
                  <w:rFonts w:ascii="Arial" w:cs="Arial" w:eastAsia="Arial" w:hAnsi="Arial"/>
                  <w:sz w:val="16"/>
                  <w:szCs w:val="16"/>
                  <w:color w:val="auto"/>
                </w:rPr>
                <w:t>Security Ownership of Certain Beneficial Owners and Management and Related Stockholder Matters</w:t>
              </w:r>
            </w:hyperlink>
          </w:p>
        </w:tc>
        <w:tc>
          <w:tcPr>
            <w:tcW w:w="1480" w:type="dxa"/>
            <w:vAlign w:val="bottom"/>
          </w:tcPr>
          <w:p>
            <w:pPr>
              <w:jc w:val="right"/>
              <w:spacing w:after="0"/>
              <w:rPr>
                <w:rFonts w:ascii="Arial" w:cs="Arial" w:eastAsia="Arial" w:hAnsi="Arial"/>
                <w:sz w:val="16"/>
                <w:szCs w:val="16"/>
                <w:color w:val="0000EE"/>
              </w:rPr>
            </w:pPr>
            <w:hyperlink w:anchor="page97">
              <w:r>
                <w:rPr>
                  <w:rFonts w:ascii="Arial" w:cs="Arial" w:eastAsia="Arial" w:hAnsi="Arial"/>
                  <w:sz w:val="16"/>
                  <w:szCs w:val="16"/>
                  <w:color w:val="0000EE"/>
                </w:rPr>
                <w:t>94</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13.</w:t>
            </w:r>
          </w:p>
        </w:tc>
        <w:tc>
          <w:tcPr>
            <w:tcW w:w="9440" w:type="dxa"/>
            <w:vAlign w:val="bottom"/>
          </w:tcPr>
          <w:p>
            <w:pPr>
              <w:ind w:left="220"/>
              <w:spacing w:after="0"/>
              <w:rPr>
                <w:rFonts w:ascii="Arial" w:cs="Arial" w:eastAsia="Arial" w:hAnsi="Arial"/>
                <w:sz w:val="16"/>
                <w:szCs w:val="16"/>
                <w:color w:val="auto"/>
              </w:rPr>
            </w:pPr>
            <w:hyperlink w:anchor="page97">
              <w:r>
                <w:rPr>
                  <w:rFonts w:ascii="Arial" w:cs="Arial" w:eastAsia="Arial" w:hAnsi="Arial"/>
                  <w:sz w:val="16"/>
                  <w:szCs w:val="16"/>
                  <w:color w:val="auto"/>
                </w:rPr>
                <w:t>Certain Relationships and Related Transactions, and Director Independence</w:t>
              </w:r>
            </w:hyperlink>
          </w:p>
        </w:tc>
        <w:tc>
          <w:tcPr>
            <w:tcW w:w="1480" w:type="dxa"/>
            <w:vAlign w:val="bottom"/>
          </w:tcPr>
          <w:p>
            <w:pPr>
              <w:jc w:val="right"/>
              <w:spacing w:after="0"/>
              <w:rPr>
                <w:rFonts w:ascii="Arial" w:cs="Arial" w:eastAsia="Arial" w:hAnsi="Arial"/>
                <w:sz w:val="16"/>
                <w:szCs w:val="16"/>
                <w:color w:val="0000EE"/>
              </w:rPr>
            </w:pPr>
            <w:hyperlink w:anchor="page97">
              <w:r>
                <w:rPr>
                  <w:rFonts w:ascii="Arial" w:cs="Arial" w:eastAsia="Arial" w:hAnsi="Arial"/>
                  <w:sz w:val="16"/>
                  <w:szCs w:val="16"/>
                  <w:color w:val="0000EE"/>
                </w:rPr>
                <w:t>94</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14.</w:t>
            </w:r>
          </w:p>
        </w:tc>
        <w:tc>
          <w:tcPr>
            <w:tcW w:w="9440" w:type="dxa"/>
            <w:vAlign w:val="bottom"/>
          </w:tcPr>
          <w:p>
            <w:pPr>
              <w:ind w:left="220"/>
              <w:spacing w:after="0"/>
              <w:rPr>
                <w:rFonts w:ascii="Arial" w:cs="Arial" w:eastAsia="Arial" w:hAnsi="Arial"/>
                <w:sz w:val="16"/>
                <w:szCs w:val="16"/>
                <w:color w:val="auto"/>
              </w:rPr>
            </w:pPr>
            <w:hyperlink w:anchor="page97">
              <w:r>
                <w:rPr>
                  <w:rFonts w:ascii="Arial" w:cs="Arial" w:eastAsia="Arial" w:hAnsi="Arial"/>
                  <w:sz w:val="16"/>
                  <w:szCs w:val="16"/>
                  <w:color w:val="auto"/>
                </w:rPr>
                <w:t>Principal Accountant Fees and Services</w:t>
              </w:r>
            </w:hyperlink>
          </w:p>
        </w:tc>
        <w:tc>
          <w:tcPr>
            <w:tcW w:w="1480" w:type="dxa"/>
            <w:vAlign w:val="bottom"/>
          </w:tcPr>
          <w:p>
            <w:pPr>
              <w:jc w:val="right"/>
              <w:spacing w:after="0"/>
              <w:rPr>
                <w:rFonts w:ascii="Arial" w:cs="Arial" w:eastAsia="Arial" w:hAnsi="Arial"/>
                <w:sz w:val="16"/>
                <w:szCs w:val="16"/>
                <w:color w:val="0000EE"/>
              </w:rPr>
            </w:pPr>
            <w:hyperlink w:anchor="page97">
              <w:r>
                <w:rPr>
                  <w:rFonts w:ascii="Arial" w:cs="Arial" w:eastAsia="Arial" w:hAnsi="Arial"/>
                  <w:sz w:val="16"/>
                  <w:szCs w:val="16"/>
                  <w:color w:val="0000EE"/>
                </w:rPr>
                <w:t>94</w:t>
              </w:r>
            </w:hyperlink>
          </w:p>
        </w:tc>
      </w:tr>
      <w:tr>
        <w:trPr>
          <w:trHeight w:val="365"/>
        </w:trPr>
        <w:tc>
          <w:tcPr>
            <w:tcW w:w="460" w:type="dxa"/>
            <w:vAlign w:val="bottom"/>
          </w:tcPr>
          <w:p>
            <w:pPr>
              <w:spacing w:after="0"/>
              <w:rPr>
                <w:sz w:val="24"/>
                <w:szCs w:val="24"/>
                <w:color w:val="auto"/>
              </w:rPr>
            </w:pPr>
          </w:p>
        </w:tc>
        <w:tc>
          <w:tcPr>
            <w:tcW w:w="9440" w:type="dxa"/>
            <w:vAlign w:val="bottom"/>
          </w:tcPr>
          <w:p>
            <w:pPr>
              <w:jc w:val="center"/>
              <w:ind w:left="919"/>
              <w:spacing w:after="0"/>
              <w:rPr>
                <w:sz w:val="20"/>
                <w:szCs w:val="20"/>
                <w:color w:val="auto"/>
              </w:rPr>
            </w:pPr>
            <w:r>
              <w:rPr>
                <w:rFonts w:ascii="Arial" w:cs="Arial" w:eastAsia="Arial" w:hAnsi="Arial"/>
                <w:sz w:val="16"/>
                <w:szCs w:val="16"/>
                <w:b w:val="1"/>
                <w:bCs w:val="1"/>
                <w:color w:val="auto"/>
              </w:rPr>
              <w:t>Part IV</w:t>
            </w:r>
          </w:p>
        </w:tc>
        <w:tc>
          <w:tcPr>
            <w:tcW w:w="1480" w:type="dxa"/>
            <w:vAlign w:val="bottom"/>
          </w:tcPr>
          <w:p>
            <w:pPr>
              <w:spacing w:after="0"/>
              <w:rPr>
                <w:sz w:val="24"/>
                <w:szCs w:val="24"/>
                <w:color w:val="auto"/>
              </w:rPr>
            </w:pP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15.</w:t>
            </w:r>
          </w:p>
        </w:tc>
        <w:tc>
          <w:tcPr>
            <w:tcW w:w="9440" w:type="dxa"/>
            <w:vAlign w:val="bottom"/>
          </w:tcPr>
          <w:p>
            <w:pPr>
              <w:ind w:left="220"/>
              <w:spacing w:after="0"/>
              <w:rPr>
                <w:rFonts w:ascii="Arial" w:cs="Arial" w:eastAsia="Arial" w:hAnsi="Arial"/>
                <w:sz w:val="16"/>
                <w:szCs w:val="16"/>
                <w:color w:val="auto"/>
              </w:rPr>
            </w:pPr>
            <w:hyperlink w:anchor="page98">
              <w:r>
                <w:rPr>
                  <w:rFonts w:ascii="Arial" w:cs="Arial" w:eastAsia="Arial" w:hAnsi="Arial"/>
                  <w:sz w:val="16"/>
                  <w:szCs w:val="16"/>
                  <w:color w:val="auto"/>
                </w:rPr>
                <w:t>Exhibits and Financial Statement Schedules</w:t>
              </w:r>
            </w:hyperlink>
          </w:p>
        </w:tc>
        <w:tc>
          <w:tcPr>
            <w:tcW w:w="1480" w:type="dxa"/>
            <w:vAlign w:val="bottom"/>
          </w:tcPr>
          <w:p>
            <w:pPr>
              <w:jc w:val="right"/>
              <w:spacing w:after="0"/>
              <w:rPr>
                <w:rFonts w:ascii="Arial" w:cs="Arial" w:eastAsia="Arial" w:hAnsi="Arial"/>
                <w:sz w:val="16"/>
                <w:szCs w:val="16"/>
                <w:color w:val="0000EE"/>
              </w:rPr>
            </w:pPr>
            <w:hyperlink w:anchor="page98">
              <w:r>
                <w:rPr>
                  <w:rFonts w:ascii="Arial" w:cs="Arial" w:eastAsia="Arial" w:hAnsi="Arial"/>
                  <w:sz w:val="16"/>
                  <w:szCs w:val="16"/>
                  <w:color w:val="0000EE"/>
                </w:rPr>
                <w:t>95</w:t>
              </w:r>
            </w:hyperlink>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16.</w:t>
            </w:r>
          </w:p>
        </w:tc>
        <w:tc>
          <w:tcPr>
            <w:tcW w:w="9440" w:type="dxa"/>
            <w:vAlign w:val="bottom"/>
          </w:tcPr>
          <w:p>
            <w:pPr>
              <w:ind w:left="220"/>
              <w:spacing w:after="0"/>
              <w:rPr>
                <w:sz w:val="20"/>
                <w:szCs w:val="20"/>
                <w:color w:val="auto"/>
              </w:rPr>
            </w:pPr>
            <w:r>
              <w:rPr>
                <w:rFonts w:ascii="Arial" w:cs="Arial" w:eastAsia="Arial" w:hAnsi="Arial"/>
                <w:sz w:val="16"/>
                <w:szCs w:val="16"/>
                <w:color w:val="auto"/>
              </w:rPr>
              <w:t>Form 10-K Summary</w:t>
            </w:r>
          </w:p>
        </w:tc>
        <w:tc>
          <w:tcPr>
            <w:tcW w:w="1480" w:type="dxa"/>
            <w:vAlign w:val="bottom"/>
          </w:tcPr>
          <w:p>
            <w:pPr>
              <w:jc w:val="right"/>
              <w:spacing w:after="0"/>
              <w:rPr>
                <w:sz w:val="20"/>
                <w:szCs w:val="20"/>
                <w:color w:val="auto"/>
              </w:rPr>
            </w:pPr>
            <w:r>
              <w:rPr>
                <w:rFonts w:ascii="Arial" w:cs="Arial" w:eastAsia="Arial" w:hAnsi="Arial"/>
                <w:sz w:val="16"/>
                <w:szCs w:val="16"/>
                <w:color w:val="auto"/>
              </w:rPr>
              <w:t>Not Applicable.</w:t>
            </w:r>
          </w:p>
        </w:tc>
      </w:tr>
    </w:tbl>
    <w:p>
      <w:pPr>
        <w:spacing w:after="0" w:line="190" w:lineRule="exact"/>
        <w:rPr>
          <w:sz w:val="20"/>
          <w:szCs w:val="20"/>
          <w:color w:val="auto"/>
        </w:rPr>
      </w:pPr>
    </w:p>
    <w:p>
      <w:pPr>
        <w:spacing w:after="0"/>
        <w:rPr>
          <w:rFonts w:ascii="Arial" w:cs="Arial" w:eastAsia="Arial" w:hAnsi="Arial"/>
          <w:sz w:val="16"/>
          <w:szCs w:val="16"/>
          <w:b w:val="1"/>
          <w:bCs w:val="1"/>
          <w:i w:val="1"/>
          <w:iCs w:val="1"/>
          <w:color w:val="0000EE"/>
        </w:rPr>
      </w:pPr>
      <w:hyperlink w:anchor="page99">
        <w:r>
          <w:rPr>
            <w:rFonts w:ascii="Arial" w:cs="Arial" w:eastAsia="Arial" w:hAnsi="Arial"/>
            <w:sz w:val="16"/>
            <w:szCs w:val="16"/>
            <w:b w:val="1"/>
            <w:bCs w:val="1"/>
            <w:i w:val="1"/>
            <w:iCs w:val="1"/>
            <w:color w:val="0000EE"/>
          </w:rPr>
          <w:t>Signatures</w:t>
        </w:r>
      </w:hyperlink>
    </w:p>
    <w:p>
      <w:pPr>
        <w:sectPr>
          <w:pgSz w:w="11900" w:h="16838" w:orient="portrait"/>
          <w:cols w:equalWidth="0" w:num="1">
            <w:col w:w="11420"/>
          </w:cols>
          <w:pgMar w:left="240" w:top="649" w:right="2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0F7C7F"/>
        </w:rPr>
        <w:t>FORWARD LOOKING STATEMENTS</w:t>
      </w:r>
    </w:p>
    <w:p>
      <w:pPr>
        <w:spacing w:after="0" w:line="1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the Private Securities Litigation Reform Act of 1995 that involve risks and uncertainties.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this Form 10-K titled “Risk Factors,” as well as the following:</w:t>
      </w:r>
    </w:p>
    <w:p>
      <w:pPr>
        <w:spacing w:after="0" w:line="87" w:lineRule="exact"/>
        <w:rPr>
          <w:sz w:val="20"/>
          <w:szCs w:val="20"/>
          <w:color w:val="auto"/>
        </w:rPr>
      </w:pPr>
    </w:p>
    <w:p>
      <w:pPr>
        <w:ind w:left="340" w:right="540" w:hanging="332"/>
        <w:spacing w:after="0" w:line="26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 or “Obamacare,” including the ultimate outcome of the Texas et al. v. U.S. et al. matter;</w:t>
      </w:r>
    </w:p>
    <w:p>
      <w:pPr>
        <w:spacing w:after="0" w:line="1" w:lineRule="exact"/>
        <w:rPr>
          <w:rFonts w:ascii="Arial" w:cs="Arial" w:eastAsia="Arial" w:hAnsi="Arial"/>
          <w:sz w:val="18"/>
          <w:szCs w:val="18"/>
          <w:i w:val="1"/>
          <w:iCs w:val="1"/>
          <w:color w:val="auto"/>
        </w:rPr>
      </w:pPr>
    </w:p>
    <w:p>
      <w:pPr>
        <w:ind w:left="340" w:right="4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the elasticity of demand for our products based on our pricing, risk adjustment requirements, the potential for disproportionate enrollment of higher acuity members, and the discontinuation of premium tax credits;</w:t>
      </w:r>
    </w:p>
    <w:p>
      <w:pPr>
        <w:spacing w:after="0" w:line="1" w:lineRule="exact"/>
        <w:rPr>
          <w:rFonts w:ascii="Arial" w:cs="Arial" w:eastAsia="Arial" w:hAnsi="Arial"/>
          <w:sz w:val="18"/>
          <w:szCs w:val="18"/>
          <w:i w:val="1"/>
          <w:iCs w:val="1"/>
          <w:color w:val="auto"/>
        </w:rPr>
      </w:pPr>
    </w:p>
    <w:p>
      <w:pPr>
        <w:ind w:left="340" w:right="36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seasonal flu patterns or other newly emergent diseases such as coronavirus;</w:t>
      </w:r>
    </w:p>
    <w:p>
      <w:pPr>
        <w:ind w:left="340" w:right="68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jc w:val="both"/>
        <w:ind w:left="340" w:right="200" w:hanging="332"/>
        <w:spacing w:after="0" w:line="265"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success of our efforts to retain existing or awarded government contracts, and the success of any requests for proposal protest filings or defenses, including the recently announced Texas STAR+PLUS contract awards and pending Texas STAR/CHIP request for proposal;</w:t>
      </w:r>
    </w:p>
    <w:p>
      <w:pPr>
        <w:ind w:left="340" w:right="16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38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32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300" w:hanging="332"/>
        <w:spacing w:after="0" w:line="250"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34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w:t>
      </w:r>
    </w:p>
    <w:p>
      <w:pPr>
        <w:ind w:left="340" w:right="20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160" w:hanging="332"/>
        <w:spacing w:after="0" w:line="250"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hanging="332"/>
        <w:spacing w:after="0"/>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9" w:lineRule="exact"/>
        <w:rPr>
          <w:rFonts w:ascii="Arial" w:cs="Arial" w:eastAsia="Arial" w:hAnsi="Arial"/>
          <w:sz w:val="16"/>
          <w:szCs w:val="16"/>
          <w:i w:val="1"/>
          <w:iCs w:val="1"/>
          <w:color w:val="auto"/>
        </w:rPr>
      </w:pPr>
    </w:p>
    <w:p>
      <w:pPr>
        <w:ind w:left="340" w:right="180" w:hanging="332"/>
        <w:spacing w:after="0" w:line="250"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8"/>
          <w:szCs w:val="18"/>
          <w:i w:val="1"/>
          <w:iCs w:val="1"/>
          <w:color w:val="auto"/>
        </w:rPr>
        <w:t>the success of our health plan in Puerto Rico, including the resolution of the debt crisis and the effect of the PROMESA law, the effects of political and regulatory instability, and the impact of any future significant weather events;</w:t>
      </w: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w:t>
      </w:r>
    </w:p>
    <w:p>
      <w:pPr>
        <w:sectPr>
          <w:pgSz w:w="11900" w:h="16838" w:orient="portrait"/>
          <w:cols w:equalWidth="0" w:num="1">
            <w:col w:w="11420"/>
          </w:cols>
          <w:pgMar w:left="240" w:top="649" w:right="239" w:bottom="1440" w:gutter="0" w:footer="0" w:header="0"/>
        </w:sectPr>
      </w:pPr>
    </w:p>
    <w:bookmarkStart w:id="4" w:name="page5"/>
    <w:bookmarkEnd w:id="4"/>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27"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w:t>
      </w:r>
    </w:p>
    <w:p>
      <w:pPr>
        <w:spacing w:after="0" w:line="9" w:lineRule="exact"/>
        <w:rPr>
          <w:rFonts w:ascii="Arial" w:cs="Arial" w:eastAsia="Arial" w:hAnsi="Arial"/>
          <w:sz w:val="18"/>
          <w:szCs w:val="18"/>
          <w:i w:val="1"/>
          <w:iCs w:val="1"/>
          <w:color w:val="auto"/>
        </w:rPr>
      </w:pPr>
    </w:p>
    <w:p>
      <w:pPr>
        <w:ind w:left="340" w:right="80" w:hanging="332"/>
        <w:spacing w:after="0" w:line="250"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 as well as the chilling effect of the new so-called public charge rule;</w:t>
      </w:r>
    </w:p>
    <w:p>
      <w:pPr>
        <w:ind w:left="340" w:right="120" w:hanging="332"/>
        <w:spacing w:after="0" w:line="250"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reviews, comment letters, or potential investigations, and any fine, sanction, enrollment freeze, monitoring program, or premium recovery that may result therefrom;</w:t>
      </w: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220" w:hanging="332"/>
        <w:spacing w:after="0" w:line="250"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are not a direct party;</w:t>
      </w:r>
    </w:p>
    <w:p>
      <w:pPr>
        <w:ind w:left="340" w:right="360" w:hanging="332"/>
        <w:spacing w:after="0" w:line="250"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40" w:right="800" w:hanging="332"/>
        <w:spacing w:after="0" w:line="250"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liquidity needs;</w:t>
      </w: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w:t>
      </w:r>
    </w:p>
    <w:p>
      <w:pPr>
        <w:sectPr>
          <w:pgSz w:w="11900" w:h="16838" w:orient="portrait"/>
          <w:cols w:equalWidth="0" w:num="1">
            <w:col w:w="11420"/>
          </w:cols>
          <w:pgMar w:left="240" w:top="553"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0F7C7F"/>
        </w:rPr>
        <w:t>OVERVIEW</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ABOUT MOLINA HEALTHCARE</w:t>
      </w:r>
    </w:p>
    <w:p>
      <w:pPr>
        <w:spacing w:after="0" w:line="2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Molina was founded in 1980 as a provider organization serving low-income families in Southern California. We were originally organized in California as a health plan holding company and reincorporated in Delaware in 2002.</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Through our locally operated health plans in 14 states and the Commonwealth of Puerto Rico, we served approximately 3.3 million members as of December 31, 2019. These health plans are generally operated by our respective wholly owned subsidiaries in those states, each of which is licensed as a health maintenance organization (“HMO”).</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FINANCIAL HIGHLIGHTS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4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2019</w:t>
            </w:r>
          </w:p>
        </w:tc>
        <w:tc>
          <w:tcPr>
            <w:tcW w:w="460" w:type="dxa"/>
            <w:vAlign w:val="bottom"/>
          </w:tcPr>
          <w:p>
            <w:pPr>
              <w:spacing w:after="0"/>
              <w:rPr>
                <w:sz w:val="24"/>
                <w:szCs w:val="24"/>
                <w:color w:val="auto"/>
              </w:rPr>
            </w:pPr>
          </w:p>
        </w:tc>
        <w:tc>
          <w:tcPr>
            <w:tcW w:w="2840" w:type="dxa"/>
            <w:vAlign w:val="bottom"/>
            <w:tcBorders>
              <w:bottom w:val="single" w:sz="8" w:color="0F7C7F"/>
            </w:tcBorders>
            <w:shd w:val="clear" w:color="auto" w:fill="0F7C7F"/>
          </w:tcPr>
          <w:p>
            <w:pPr>
              <w:jc w:val="center"/>
              <w:spacing w:after="0"/>
              <w:rPr>
                <w:sz w:val="20"/>
                <w:szCs w:val="20"/>
                <w:color w:val="auto"/>
              </w:rPr>
            </w:pPr>
            <w:r>
              <w:rPr>
                <w:rFonts w:ascii="Arial" w:cs="Arial" w:eastAsia="Arial" w:hAnsi="Arial"/>
                <w:sz w:val="22"/>
                <w:szCs w:val="22"/>
                <w:b w:val="1"/>
                <w:bCs w:val="1"/>
                <w:color w:val="FFFFFF"/>
                <w:w w:val="98"/>
              </w:rPr>
              <w:t>2018</w:t>
            </w:r>
          </w:p>
        </w:tc>
      </w:tr>
      <w:tr>
        <w:trPr>
          <w:trHeight w:val="224"/>
        </w:trPr>
        <w:tc>
          <w:tcPr>
            <w:tcW w:w="4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60" w:type="dxa"/>
            <w:vAlign w:val="bottom"/>
            <w:gridSpan w:val="3"/>
          </w:tcPr>
          <w:p>
            <w:pPr>
              <w:ind w:left="1280"/>
              <w:spacing w:after="0"/>
              <w:rPr>
                <w:sz w:val="20"/>
                <w:szCs w:val="20"/>
                <w:color w:val="auto"/>
              </w:rPr>
            </w:pPr>
            <w:r>
              <w:rPr>
                <w:rFonts w:ascii="Arial" w:cs="Arial" w:eastAsia="Arial" w:hAnsi="Arial"/>
                <w:sz w:val="16"/>
                <w:szCs w:val="16"/>
                <w:b w:val="1"/>
                <w:bCs w:val="1"/>
                <w:color w:val="auto"/>
              </w:rPr>
              <w:t>(Dollars in millions, except per-share amounts)</w:t>
            </w:r>
          </w:p>
        </w:tc>
      </w:tr>
      <w:tr>
        <w:trPr>
          <w:trHeight w:val="195"/>
        </w:trPr>
        <w:tc>
          <w:tcPr>
            <w:tcW w:w="5260" w:type="dxa"/>
            <w:vAlign w:val="bottom"/>
            <w:gridSpan w:val="2"/>
          </w:tcPr>
          <w:p>
            <w:pPr>
              <w:spacing w:after="0"/>
              <w:rPr>
                <w:sz w:val="16"/>
                <w:szCs w:val="16"/>
                <w:color w:val="auto"/>
              </w:rPr>
            </w:pPr>
          </w:p>
        </w:tc>
        <w:tc>
          <w:tcPr>
            <w:tcW w:w="2860" w:type="dxa"/>
            <w:vAlign w:val="bottom"/>
          </w:tcPr>
          <w:p>
            <w:pPr>
              <w:spacing w:after="0"/>
              <w:rPr>
                <w:sz w:val="16"/>
                <w:szCs w:val="16"/>
                <w:color w:val="auto"/>
              </w:rPr>
            </w:pPr>
          </w:p>
        </w:tc>
        <w:tc>
          <w:tcPr>
            <w:tcW w:w="3300" w:type="dxa"/>
            <w:vAlign w:val="bottom"/>
            <w:gridSpan w:val="2"/>
          </w:tcPr>
          <w:p>
            <w:pPr>
              <w:spacing w:after="0"/>
              <w:rPr>
                <w:sz w:val="16"/>
                <w:szCs w:val="16"/>
                <w:color w:val="auto"/>
              </w:rPr>
            </w:pPr>
          </w:p>
        </w:tc>
      </w:tr>
      <w:tr>
        <w:trPr>
          <w:trHeight w:val="243"/>
        </w:trPr>
        <w:tc>
          <w:tcPr>
            <w:tcW w:w="48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Total Revenue</w:t>
            </w:r>
          </w:p>
        </w:tc>
        <w:tc>
          <w:tcPr>
            <w:tcW w:w="460" w:type="dxa"/>
            <w:vAlign w:val="bottom"/>
          </w:tcPr>
          <w:p>
            <w:pPr>
              <w:spacing w:after="0"/>
              <w:rPr>
                <w:sz w:val="21"/>
                <w:szCs w:val="21"/>
                <w:color w:val="auto"/>
              </w:rPr>
            </w:pPr>
          </w:p>
        </w:tc>
        <w:tc>
          <w:tcPr>
            <w:tcW w:w="286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$16,829</w:t>
            </w:r>
          </w:p>
        </w:tc>
        <w:tc>
          <w:tcPr>
            <w:tcW w:w="460" w:type="dxa"/>
            <w:vAlign w:val="bottom"/>
          </w:tcPr>
          <w:p>
            <w:pPr>
              <w:spacing w:after="0"/>
              <w:rPr>
                <w:sz w:val="21"/>
                <w:szCs w:val="21"/>
                <w:color w:val="auto"/>
              </w:rPr>
            </w:pPr>
          </w:p>
        </w:tc>
        <w:tc>
          <w:tcPr>
            <w:tcW w:w="284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$18,890</w:t>
            </w:r>
          </w:p>
        </w:tc>
      </w:tr>
      <w:tr>
        <w:trPr>
          <w:trHeight w:val="68"/>
        </w:trPr>
        <w:tc>
          <w:tcPr>
            <w:tcW w:w="4800" w:type="dxa"/>
            <w:vAlign w:val="bottom"/>
            <w:shd w:val="clear" w:color="auto" w:fill="0F7C7F"/>
          </w:tcPr>
          <w:p>
            <w:pPr>
              <w:spacing w:after="0"/>
              <w:rPr>
                <w:sz w:val="5"/>
                <w:szCs w:val="5"/>
                <w:color w:val="auto"/>
              </w:rPr>
            </w:pPr>
          </w:p>
        </w:tc>
        <w:tc>
          <w:tcPr>
            <w:tcW w:w="460" w:type="dxa"/>
            <w:vAlign w:val="bottom"/>
          </w:tcPr>
          <w:p>
            <w:pPr>
              <w:spacing w:after="0"/>
              <w:rPr>
                <w:sz w:val="5"/>
                <w:szCs w:val="5"/>
                <w:color w:val="auto"/>
              </w:rPr>
            </w:pPr>
          </w:p>
        </w:tc>
        <w:tc>
          <w:tcPr>
            <w:tcW w:w="2860" w:type="dxa"/>
            <w:vAlign w:val="bottom"/>
            <w:shd w:val="clear" w:color="auto" w:fill="0F7C7F"/>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shd w:val="clear" w:color="auto" w:fill="0F7C7F"/>
          </w:tcPr>
          <w:p>
            <w:pPr>
              <w:spacing w:after="0"/>
              <w:rPr>
                <w:sz w:val="5"/>
                <w:szCs w:val="5"/>
                <w:color w:val="auto"/>
              </w:rPr>
            </w:pPr>
          </w:p>
        </w:tc>
      </w:tr>
      <w:tr>
        <w:trPr>
          <w:trHeight w:val="305"/>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Medical Care Ratio (“MCR”) </w:t>
            </w:r>
            <w:r>
              <w:rPr>
                <w:rFonts w:ascii="Arial" w:cs="Arial" w:eastAsia="Arial" w:hAnsi="Arial"/>
                <w:sz w:val="21"/>
                <w:szCs w:val="21"/>
                <w:b w:val="1"/>
                <w:bCs w:val="1"/>
                <w:color w:val="auto"/>
                <w:vertAlign w:val="superscript"/>
              </w:rPr>
              <w:t>(1)</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7"/>
              </w:rPr>
              <w:t>85.8%</w:t>
            </w:r>
          </w:p>
        </w:tc>
        <w:tc>
          <w:tcPr>
            <w:tcW w:w="33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rPr>
              <w:t>85.9%</w:t>
            </w:r>
          </w:p>
        </w:tc>
      </w:tr>
      <w:tr>
        <w:trPr>
          <w:trHeight w:val="370"/>
        </w:trPr>
        <w:tc>
          <w:tcPr>
            <w:tcW w:w="48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 xml:space="preserve">Pre-Tax Margin </w:t>
            </w:r>
            <w:r>
              <w:rPr>
                <w:rFonts w:ascii="Arial" w:cs="Arial" w:eastAsia="Arial" w:hAnsi="Arial"/>
                <w:sz w:val="21"/>
                <w:szCs w:val="21"/>
                <w:b w:val="1"/>
                <w:bCs w:val="1"/>
                <w:color w:val="FFFFFF"/>
                <w:vertAlign w:val="superscript"/>
              </w:rPr>
              <w:t>(2)</w:t>
            </w:r>
          </w:p>
        </w:tc>
        <w:tc>
          <w:tcPr>
            <w:tcW w:w="460" w:type="dxa"/>
            <w:vAlign w:val="bottom"/>
          </w:tcPr>
          <w:p>
            <w:pPr>
              <w:spacing w:after="0"/>
              <w:rPr>
                <w:sz w:val="24"/>
                <w:szCs w:val="24"/>
                <w:color w:val="auto"/>
              </w:rPr>
            </w:pPr>
          </w:p>
        </w:tc>
        <w:tc>
          <w:tcPr>
            <w:tcW w:w="286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5.8%</w:t>
            </w:r>
          </w:p>
        </w:tc>
        <w:tc>
          <w:tcPr>
            <w:tcW w:w="460" w:type="dxa"/>
            <w:vAlign w:val="bottom"/>
          </w:tcPr>
          <w:p>
            <w:pPr>
              <w:spacing w:after="0"/>
              <w:rPr>
                <w:sz w:val="24"/>
                <w:szCs w:val="24"/>
                <w:color w:val="auto"/>
              </w:rPr>
            </w:pPr>
          </w:p>
        </w:tc>
        <w:tc>
          <w:tcPr>
            <w:tcW w:w="284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7"/>
              </w:rPr>
              <w:t>5.3%</w:t>
            </w:r>
          </w:p>
        </w:tc>
      </w:tr>
      <w:tr>
        <w:trPr>
          <w:trHeight w:val="305"/>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After-Tax Margin </w:t>
            </w:r>
            <w:r>
              <w:rPr>
                <w:rFonts w:ascii="Arial" w:cs="Arial" w:eastAsia="Arial" w:hAnsi="Arial"/>
                <w:sz w:val="21"/>
                <w:szCs w:val="21"/>
                <w:b w:val="1"/>
                <w:bCs w:val="1"/>
                <w:color w:val="auto"/>
                <w:vertAlign w:val="superscript"/>
              </w:rPr>
              <w:t>(2)</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rPr>
              <w:t>4.4%</w:t>
            </w:r>
          </w:p>
        </w:tc>
        <w:tc>
          <w:tcPr>
            <w:tcW w:w="330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7"/>
              </w:rPr>
              <w:t>3.7%</w:t>
            </w:r>
          </w:p>
        </w:tc>
      </w:tr>
      <w:tr>
        <w:trPr>
          <w:trHeight w:val="248"/>
        </w:trPr>
        <w:tc>
          <w:tcPr>
            <w:tcW w:w="4800" w:type="dxa"/>
            <w:vAlign w:val="bottom"/>
            <w:shd w:val="clear" w:color="auto" w:fill="0F7C7F"/>
          </w:tcPr>
          <w:p>
            <w:pPr>
              <w:ind w:left="40"/>
              <w:spacing w:after="0"/>
              <w:rPr>
                <w:sz w:val="20"/>
                <w:szCs w:val="20"/>
                <w:color w:val="auto"/>
              </w:rPr>
            </w:pPr>
            <w:r>
              <w:rPr>
                <w:rFonts w:ascii="Arial" w:cs="Arial" w:eastAsia="Arial" w:hAnsi="Arial"/>
                <w:sz w:val="18"/>
                <w:szCs w:val="18"/>
                <w:b w:val="1"/>
                <w:bCs w:val="1"/>
                <w:color w:val="FFFFFF"/>
              </w:rPr>
              <w:t>Net Income per Diluted Share</w:t>
            </w:r>
          </w:p>
        </w:tc>
        <w:tc>
          <w:tcPr>
            <w:tcW w:w="460" w:type="dxa"/>
            <w:vAlign w:val="bottom"/>
          </w:tcPr>
          <w:p>
            <w:pPr>
              <w:spacing w:after="0"/>
              <w:rPr>
                <w:sz w:val="21"/>
                <w:szCs w:val="21"/>
                <w:color w:val="auto"/>
              </w:rPr>
            </w:pPr>
          </w:p>
        </w:tc>
        <w:tc>
          <w:tcPr>
            <w:tcW w:w="286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w w:val="98"/>
              </w:rPr>
              <w:t>$11.47</w:t>
            </w:r>
          </w:p>
        </w:tc>
        <w:tc>
          <w:tcPr>
            <w:tcW w:w="460" w:type="dxa"/>
            <w:vAlign w:val="bottom"/>
          </w:tcPr>
          <w:p>
            <w:pPr>
              <w:spacing w:after="0"/>
              <w:rPr>
                <w:sz w:val="21"/>
                <w:szCs w:val="21"/>
                <w:color w:val="auto"/>
              </w:rPr>
            </w:pPr>
          </w:p>
        </w:tc>
        <w:tc>
          <w:tcPr>
            <w:tcW w:w="2840" w:type="dxa"/>
            <w:vAlign w:val="bottom"/>
            <w:shd w:val="clear" w:color="auto" w:fill="0F7C7F"/>
          </w:tcPr>
          <w:p>
            <w:pPr>
              <w:jc w:val="center"/>
              <w:spacing w:after="0"/>
              <w:rPr>
                <w:sz w:val="20"/>
                <w:szCs w:val="20"/>
                <w:color w:val="auto"/>
              </w:rPr>
            </w:pPr>
            <w:r>
              <w:rPr>
                <w:rFonts w:ascii="Arial" w:cs="Arial" w:eastAsia="Arial" w:hAnsi="Arial"/>
                <w:sz w:val="18"/>
                <w:szCs w:val="18"/>
                <w:b w:val="1"/>
                <w:bCs w:val="1"/>
                <w:color w:val="FFFFFF"/>
              </w:rPr>
              <w:t>$10.61</w:t>
            </w:r>
          </w:p>
        </w:tc>
      </w:tr>
      <w:tr>
        <w:trPr>
          <w:trHeight w:val="68"/>
        </w:trPr>
        <w:tc>
          <w:tcPr>
            <w:tcW w:w="4800" w:type="dxa"/>
            <w:vAlign w:val="bottom"/>
            <w:shd w:val="clear" w:color="auto" w:fill="0F7C7F"/>
          </w:tcPr>
          <w:p>
            <w:pPr>
              <w:spacing w:after="0"/>
              <w:rPr>
                <w:sz w:val="5"/>
                <w:szCs w:val="5"/>
                <w:color w:val="auto"/>
              </w:rPr>
            </w:pPr>
          </w:p>
        </w:tc>
        <w:tc>
          <w:tcPr>
            <w:tcW w:w="460" w:type="dxa"/>
            <w:vAlign w:val="bottom"/>
          </w:tcPr>
          <w:p>
            <w:pPr>
              <w:spacing w:after="0"/>
              <w:rPr>
                <w:sz w:val="5"/>
                <w:szCs w:val="5"/>
                <w:color w:val="auto"/>
              </w:rPr>
            </w:pPr>
          </w:p>
        </w:tc>
        <w:tc>
          <w:tcPr>
            <w:tcW w:w="2860" w:type="dxa"/>
            <w:vAlign w:val="bottom"/>
            <w:shd w:val="clear" w:color="auto" w:fill="0F7C7F"/>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shd w:val="clear" w:color="auto" w:fill="0F7C7F"/>
          </w:tcPr>
          <w:p>
            <w:pPr>
              <w:spacing w:after="0"/>
              <w:rPr>
                <w:sz w:val="5"/>
                <w:szCs w:val="5"/>
                <w:color w:val="auto"/>
              </w:rPr>
            </w:pPr>
          </w:p>
        </w:tc>
      </w:tr>
      <w:tr>
        <w:trPr>
          <w:trHeight w:val="197"/>
        </w:trPr>
        <w:tc>
          <w:tcPr>
            <w:tcW w:w="480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pacing w:after="0" w:line="1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5"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Pre-tax margin represents income before income taxes as a percentage of total revenue. After-tax margin represents net income as a percentage of total revenue.</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828282"/>
        </w:rPr>
        <w:t>2019 EXECUTIVE SUMMARY</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believe Molina’s turnaround continues to progress—margin recovery is complete, margin sustainability is well under way, and the pivot to growth has begun.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management has demonstrated this progress through its accomplishments in 2019, which have included, among others:</w:t>
      </w:r>
    </w:p>
    <w:p>
      <w:pPr>
        <w:spacing w:after="0" w:line="225" w:lineRule="exact"/>
        <w:rPr>
          <w:sz w:val="20"/>
          <w:szCs w:val="20"/>
          <w:color w:val="auto"/>
        </w:rPr>
      </w:pPr>
    </w:p>
    <w:p>
      <w:pPr>
        <w:ind w:left="660" w:right="20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improved our Medicaid and Medicare margins, and earned exceptionally high Marketplace margins. These results were achieved by:</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Focusing on managed care fundamentals, including utilization management and claims payment integrity;</w:t>
      </w:r>
    </w:p>
    <w:p>
      <w:pPr>
        <w:spacing w:after="0" w:line="9" w:lineRule="exact"/>
        <w:rPr>
          <w:rFonts w:ascii="Arial" w:cs="Arial" w:eastAsia="Arial" w:hAnsi="Arial"/>
          <w:sz w:val="18"/>
          <w:szCs w:val="18"/>
          <w:color w:val="auto"/>
        </w:rPr>
      </w:pPr>
    </w:p>
    <w:p>
      <w:pPr>
        <w:ind w:left="1300" w:right="28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Improving our administrative cost structure by, among other initiatives, outsourcing certain capabilities, including information technology; and</w:t>
      </w: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Optimizing at-risk revenue by improving organizational capabilities and analytical tools and techniques.</w:t>
      </w:r>
    </w:p>
    <w:p>
      <w:pPr>
        <w:spacing w:after="0" w:line="225" w:lineRule="exact"/>
        <w:rPr>
          <w:rFonts w:ascii="Arial" w:cs="Arial" w:eastAsia="Arial" w:hAnsi="Arial"/>
          <w:sz w:val="18"/>
          <w:szCs w:val="18"/>
          <w:color w:val="auto"/>
        </w:rPr>
      </w:pPr>
    </w:p>
    <w:p>
      <w:pPr>
        <w:ind w:left="660" w:right="400" w:hanging="328"/>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Execution of a capital plan that has produced a strong and stable balance sheet, with a simplified capital structure and strong cash flows to support growth, including the harvesting of excess capital from our wholly owned subsidiaries to the parent company.</w:t>
      </w:r>
    </w:p>
    <w:p>
      <w:pPr>
        <w:spacing w:after="0" w:line="174" w:lineRule="exact"/>
        <w:rPr>
          <w:rFonts w:ascii="Arial" w:cs="Arial" w:eastAsia="Arial" w:hAnsi="Arial"/>
          <w:sz w:val="17"/>
          <w:szCs w:val="17"/>
          <w:color w:val="auto"/>
        </w:rPr>
      </w:pPr>
    </w:p>
    <w:p>
      <w:pPr>
        <w:ind w:left="660" w:right="10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Enhancement of our business and corporate development teams and processes, resulting in two recent transactions. In the fourth quarter of 2019, we entered into an agreement to purchase certain assets of a New York health plan that serves approximately 46,000 Medicaid members; and we entered into an agreement to purchase an Illinois Medicaid managed care organization that serves approximately 50,000 Medicaid and managed long-term services and supports (“MLTSS”) members in Cook County. We expect both acquisitions to close in the first half of 2020.</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w:t>
      </w:r>
    </w:p>
    <w:p>
      <w:pPr>
        <w:sectPr>
          <w:pgSz w:w="11900" w:h="16838" w:orient="portrait"/>
          <w:cols w:equalWidth="0" w:num="1">
            <w:col w:w="11420"/>
          </w:cols>
          <w:pgMar w:left="240" w:top="64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Our business footprint, as of December 31, 2019, is illustrated in the map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143510</wp:posOffset>
            </wp:positionV>
            <wp:extent cx="4064635" cy="3129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6463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color w:val="828282"/>
        </w:rPr>
        <w:t>OUR SEGMENTS</w:t>
      </w:r>
    </w:p>
    <w:p>
      <w:pPr>
        <w:spacing w:after="0" w:line="22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88"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Refer to Notes to Consolidated Financial Statements, Note 18, “Segments,” for further information, including segment revenue and profit information, and Note 2, “Significant Accounting Policies” for premium revenue information by health plan.</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MEMBERSHIP BY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0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As of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Medicaid</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2,956,000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3,361,000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Medicare</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101,000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98,000</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274,000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362,000</w:t>
            </w:r>
          </w:p>
        </w:tc>
      </w:tr>
      <w:tr>
        <w:trPr>
          <w:trHeight w:val="240"/>
        </w:trPr>
        <w:tc>
          <w:tcPr>
            <w:tcW w:w="8340" w:type="dxa"/>
            <w:vAlign w:val="bottom"/>
          </w:tcPr>
          <w:p>
            <w:pPr>
              <w:ind w:left="18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3,331,000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3,821,000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w:t>
      </w:r>
    </w:p>
    <w:p>
      <w:pPr>
        <w:sectPr>
          <w:pgSz w:w="11900" w:h="16838" w:orient="portrait"/>
          <w:cols w:equalWidth="0" w:num="1">
            <w:col w:w="11420"/>
          </w:cols>
          <w:pgMar w:left="240" w:top="679"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color w:val="828282"/>
        </w:rPr>
        <w:t>MEMBERSHIP BY HEALTH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0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608,000</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Florida </w:t>
            </w:r>
            <w:r>
              <w:rPr>
                <w:rFonts w:ascii="Arial" w:cs="Arial" w:eastAsia="Arial" w:hAnsi="Arial"/>
                <w:sz w:val="21"/>
                <w:szCs w:val="21"/>
                <w:color w:val="auto"/>
                <w:vertAlign w:val="superscript"/>
              </w:rPr>
              <w:t>(1)</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132,000</w:t>
            </w:r>
          </w:p>
        </w:tc>
        <w:tc>
          <w:tcPr>
            <w:tcW w:w="10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313,000</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224,000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Michigan</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362,000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383,000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222,000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Ohio</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288,000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302,000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252,000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131,000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423,000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832,000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781,000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257,000</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193,000</w:t>
            </w:r>
          </w:p>
        </w:tc>
        <w:tc>
          <w:tcPr>
            <w:tcW w:w="0" w:type="dxa"/>
            <w:vAlign w:val="bottom"/>
          </w:tcPr>
          <w:p>
            <w:pPr>
              <w:spacing w:after="0"/>
              <w:rPr>
                <w:sz w:val="1"/>
                <w:szCs w:val="1"/>
                <w:color w:val="auto"/>
              </w:rPr>
            </w:pPr>
          </w:p>
        </w:tc>
      </w:tr>
      <w:tr>
        <w:trPr>
          <w:trHeight w:val="231"/>
        </w:trPr>
        <w:tc>
          <w:tcPr>
            <w:tcW w:w="8340" w:type="dxa"/>
            <w:vAlign w:val="bottom"/>
          </w:tcPr>
          <w:p>
            <w:pPr>
              <w:ind w:left="18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3,331,000</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3,821,000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Due to RFP losses in 2018, our Medicaid contracts in New Mexico and in all but two regions in Florida terminated in late 2018 and early 2019, respectively. We continue to serve Medicare and Marketplace members in both New Mexico and Florida, as well as Medicaid members in two regions in Florida.</w:t>
      </w:r>
    </w:p>
    <w:p>
      <w:pPr>
        <w:ind w:left="340" w:hanging="332"/>
        <w:spacing w:after="0" w:line="26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individually insignificant to our consolidated operating results.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MISSION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improve the health and lives of our members by delivering high-quality health care.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VISION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We will distinguish ourselves as the low cost, most effective and reliable health plan delivering government-sponsored care.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STRATEGY</w:t>
      </w:r>
    </w:p>
    <w:p>
      <w:pPr>
        <w:spacing w:after="0" w:line="25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2019, we entered a new phase in our turnaround strategy by pivoting our focus to a disciplined and steady approach to growth. Organic growth, which includes leveraging our existing health plan portfolio and winning new territories, is our highest priority. The strategic initiatives that will drive long-term organic growth include:</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market share in our Medicaid, Medicare, and Marketplace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Adding adjacent Medicaid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Pursuing Medicaid benefit additions;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market share of other programs within our existing Medicaid footprint;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Winning Medicaid bids in new states, and in re-procurements in our existing states.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organic growth, we will consider targeted inorganic growth opportunities that provide a strategic fit, leverage operational synergies, and lead to incremental earnings accretion. This will include “bolt-on” membership opportunities in our current states and health plans in new states. As noted above, we entered into two acquisition agreements in the fourth quarter of 2019, pursuant to which we expect to add Medicaid membership in Illinois and New York in 2020.</w:t>
      </w:r>
    </w:p>
    <w:p>
      <w:pPr>
        <w:spacing w:after="0" w:line="204"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We will continue our focus on margin sustainability, as we did in 2019, by executing on managed care fundamentals, improving our administrative cost structure, and optimizing at-risk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From a long-term outlook perspective, we expect:</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revenue growth of 10% to 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company after-tax margins in the range of 3.8% to 4.2%;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Long-term net income growth of 9% to 11%;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diluted share growth of 12% to 15% after deploying the excess capital generated.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w:t>
      </w:r>
    </w:p>
    <w:p>
      <w:pPr>
        <w:sectPr>
          <w:pgSz w:w="11900" w:h="16838" w:orient="portrait"/>
          <w:cols w:equalWidth="0" w:num="1">
            <w:col w:w="11420"/>
          </w:cols>
          <w:pgMar w:left="240" w:top="681" w:right="2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0F7C7F"/>
        </w:rPr>
        <w:t>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MEDICAID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Medicaid was established in 1965 under the U.S. Social Security Act to provide health care and long-term care services and support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approximate average FMAP across all jurisdictions is currently 60%, and currently ranges from a federally established FMAP floor of 50% to as high as 77%.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participate in the following Medicaid programs:</w:t>
      </w:r>
    </w:p>
    <w:p>
      <w:pPr>
        <w:spacing w:after="0" w:line="117" w:lineRule="exact"/>
        <w:rPr>
          <w:sz w:val="20"/>
          <w:szCs w:val="20"/>
          <w:color w:val="auto"/>
        </w:rPr>
      </w:pPr>
    </w:p>
    <w:p>
      <w:pPr>
        <w:ind w:left="660" w:right="5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Temporary Assistance for Needy Families (“TANF”) - This is the most common Medicaid program. It primarily covers low-income families with children.</w:t>
      </w:r>
    </w:p>
    <w:p>
      <w:pPr>
        <w:spacing w:after="0" w:line="88"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Medicaid Aged, Blind or Disabled (“ABD”) - ABD programs cover low-income persons with chronic physical disabilities or behavioral health impairments. ABD beneficiaries typically use more services than those served by other Medicaid programs because of their critical health issues.</w:t>
      </w:r>
    </w:p>
    <w:p>
      <w:pPr>
        <w:spacing w:after="0" w:line="93"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Children’s Health Insurance Program (“CHIP”) - CHIP is a joint federal and state matching program that provides health care coverage to children whose families earn too much to qualify for Medicaid coverage. States have the option of administering CHIP through their Medicaid programs.</w:t>
      </w:r>
    </w:p>
    <w:p>
      <w:pPr>
        <w:spacing w:after="0" w:line="93"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Medicaid Expansion - In states that have elected to participate, Medicaid Expansion provides eligibility to nearly all low-income individuals under age 65 with incomes at or below 138% of the federal poverty line.</w:t>
      </w:r>
    </w:p>
    <w:p>
      <w:pPr>
        <w:spacing w:after="0" w:line="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Significant Contracts</w:t>
      </w:r>
    </w:p>
    <w:p>
      <w:pPr>
        <w:spacing w:after="0" w:line="24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Our Medicaid contracts with each of the states of California, Ohio, Texas and Washington accounted for 10% or more of our consolidated Medicaid premium revenues in each of the years ended December 31, 2019, and 2018. The current status of each of these contracts is described below.</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managed care contracts with the California Department of Health Care Services (“DHCS”) cover six regions in central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(including the Los Angeles region covered under a separate direct subcontract with Health Net). These contracts are effective through December 31, 2020, and are expected to be renewed annually until the effectiveness of new forms of contract following RFP awards. DHCS has publicly indicated it expects to release a new Medicaid RFP in late 2020, with new contracts effective in 2023. As of December 31, 2019, we served approximately 506,000 Medicaid members in California, representing premium revenue of approximately $1,830 million in 2019.</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Ohio</w:t>
      </w:r>
      <w:r>
        <w:rPr>
          <w:rFonts w:ascii="Arial" w:cs="Arial" w:eastAsia="Arial" w:hAnsi="Arial"/>
          <w:sz w:val="18"/>
          <w:szCs w:val="18"/>
          <w:color w:val="auto"/>
        </w:rPr>
        <w:t>. Our managed care contract with the Ohio Department of Medicaid (“ODM”) covers the entire state of Ohio. The contract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30, 2020, and we expect to receive another one-year contract effective July 1, 2020. In early 2019, the governor of Ohio asked ODM to initiate a process to re-procure the Ohio Medicaid program related to this contract. The re-procurement of the Ohio Medicaid program is currently projected to begin early in the second half of 2020, although ODM has not committed to or confirmed a specific timeline at this time. As of December 31, 2019, we served approximately 264,000 Medicaid members in Ohio, representing premium revenue of approximately $1,870 million in 2019.</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w:t>
      </w:r>
    </w:p>
    <w:p>
      <w:pPr>
        <w:sectPr>
          <w:pgSz w:w="11900" w:h="16838" w:orient="portrait"/>
          <w:cols w:equalWidth="0" w:num="1">
            <w:col w:w="11420"/>
          </w:cols>
          <w:pgMar w:left="240" w:top="649" w:right="239" w:bottom="1440" w:gutter="0" w:footer="0" w:header="0"/>
        </w:sectPr>
      </w:pPr>
    </w:p>
    <w:bookmarkStart w:id="9" w:name="page10"/>
    <w:bookmarkEnd w:id="9"/>
    <w:p>
      <w:pPr>
        <w:ind w:right="8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October 2019, the Texas Health and Human Services Commission (“HHSC”) awarded contracts to our Texas health plan for the ABD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(known in Texas as “STAR+PLUS”) in two service areas, consisting of one legacy service area and one new service area. This would be a reduction from our current footprint of six service areas. We believe the initial term of each contract is expected to be three years, and such contracts are currently anticipated to be operational beginning on January 1, 2021, at the earliest. Under our existing STAR+PLUS and related Medicare-Medicaid Plan (“MMP”) contracts, we served approximately 97,000 members as of December 31, 2019, representing premium revenue of approximately $2,062 million in 2019. We are currently exercising our protest rights of the STAR+PLUS RFP awards with HHSC.</w:t>
      </w:r>
    </w:p>
    <w:p>
      <w:pPr>
        <w:spacing w:after="0" w:line="9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2019, our Texas health plan submitted an RFP response for the TANF and CHIP programs (known in Texas as “STAR/CHIP”). HHSC has announced that the STAR/CHIP contract awards are delayed to late February 2020. Under our existing STAR/CHIP contracts, we served approximately 114,000 members as of December 31, 2019, representing premium revenue of approximately $315 million in 2019.</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Our managed care contract with the Washington State Health Care Authority (“HCA”) covers all ten regions of the state’s Apple</w:t>
      </w:r>
      <w:r>
        <w:rPr>
          <w:rFonts w:ascii="Arial" w:cs="Arial" w:eastAsia="Arial" w:hAnsi="Arial"/>
          <w:sz w:val="18"/>
          <w:szCs w:val="18"/>
          <w:i w:val="1"/>
          <w:iCs w:val="1"/>
          <w:color w:val="auto"/>
        </w:rPr>
        <w:t xml:space="preserve"> </w:t>
      </w:r>
      <w:r>
        <w:rPr>
          <w:rFonts w:ascii="Arial" w:cs="Arial" w:eastAsia="Arial" w:hAnsi="Arial"/>
          <w:sz w:val="18"/>
          <w:szCs w:val="18"/>
          <w:color w:val="auto"/>
        </w:rPr>
        <w:t>Health Integrated Managed Care program, and is effective through December 31, 2020. We expect the HCA to exercise its renewal option for at least one year, through December 31, 2021. As of December 31, 2019, we served approximately 803,000 Medicaid members in Washington, representing premium revenue of approximately $2,370 million in 2019.</w:t>
      </w:r>
    </w:p>
    <w:p>
      <w:pPr>
        <w:spacing w:after="0" w:line="19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 loss of any of our significant Medicaid contracts could have a material adverse effect on our business, financial condition, cash flows,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Developments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New Mexico. </w:t>
      </w:r>
      <w:r>
        <w:rPr>
          <w:rFonts w:ascii="Arial" w:cs="Arial" w:eastAsia="Arial" w:hAnsi="Arial"/>
          <w:sz w:val="18"/>
          <w:szCs w:val="18"/>
          <w:color w:val="auto"/>
        </w:rPr>
        <w:t>On January 24, 2020, the Navajo Nation in New Mexico passed legislation for the nation’s first Native American tribe to create a</w:t>
      </w:r>
      <w:r>
        <w:rPr>
          <w:rFonts w:ascii="Arial" w:cs="Arial" w:eastAsia="Arial" w:hAnsi="Arial"/>
          <w:sz w:val="18"/>
          <w:szCs w:val="18"/>
          <w:i w:val="1"/>
          <w:iCs w:val="1"/>
          <w:color w:val="auto"/>
        </w:rPr>
        <w:t xml:space="preserve"> </w:t>
      </w:r>
      <w:r>
        <w:rPr>
          <w:rFonts w:ascii="Arial" w:cs="Arial" w:eastAsia="Arial" w:hAnsi="Arial"/>
          <w:sz w:val="18"/>
          <w:szCs w:val="18"/>
          <w:color w:val="auto"/>
        </w:rPr>
        <w:t>managed health care entity with Molina Healthcare as its partner to operate the plan. The Naat’aanii Development Corporation, the business arm of the Navajo Nation, is expected to contract with us to work toward a managed health care offering under New Mexico’s Medicaid program. The new entity is designed to improve access and quality of health care on the largest Native American reservation. There are approximately 75,000 members of the Navajo Nation living in New Mexico who are eligible for Medicaid. If the parties are able to finalize their contract, the program is expected to be operational by 2021.</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On December 2, 2019, we announced that our Kentucky health plan subsidiary had been selected as an awardee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Kentucky Medicaid managed care organizations RFP issued by the Kentucky Finance and Administration Cabinet in May 2019. However, in late December 2019, the newly elected Governor of Kentucky announced that he was canceling the Medicaid contracts that had been awarded by the outgoing Governor, including the contract that had been awarded to our Kentucky health plan subsidiary, and that he was reissuing the RFP for rebidding. We submitted a bid under the new RFP on February 6, 2020.</w:t>
      </w:r>
    </w:p>
    <w:p>
      <w:pPr>
        <w:spacing w:after="0" w:line="18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Illinois. </w:t>
      </w:r>
      <w:r>
        <w:rPr>
          <w:rFonts w:ascii="Arial" w:cs="Arial" w:eastAsia="Arial" w:hAnsi="Arial"/>
          <w:sz w:val="18"/>
          <w:szCs w:val="18"/>
          <w:color w:val="auto"/>
        </w:rPr>
        <w:t>On December 31, 2019, we entered into a definitive agreement to purchase NextLevel Health Partners, Inc., a Medicaid managed care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Upon the closing of this transaction, expected to occur in the first half of 2020, we will assume the right to serve approximately 50,000 Medicaid and Managed Long-Term Services and Supports members in Cook County, Illinois. The purchase price of approximately $50 million will be funded with available cash, and the closing is subject to customary closing conditions.</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New York</w:t>
      </w:r>
      <w:r>
        <w:rPr>
          <w:rFonts w:ascii="Arial" w:cs="Arial" w:eastAsia="Arial" w:hAnsi="Arial"/>
          <w:sz w:val="18"/>
          <w:szCs w:val="18"/>
          <w:color w:val="auto"/>
        </w:rPr>
        <w:t>. In October 2019, we entered into a definitive agreement to acquire certain assets of YourCare Health Plan, Inc. Upon the closing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transaction, expected to occur in the first half of 2020, we will serve approximately 46,000 Medicaid members in seven counties in western New York. The purchase price of approximately $40 million will be funded with available cash, and the closing is subject to customary closing conditions.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Most states allow eligible Medicaid members to select the Medicaid plan of their choice. This opportunity to choose a plan is typically afforded to the member at the time of first enrollment and, at a minimum, annually thereafter. In some of the states in which we operate, a substantial majority of new Medicaid members voluntarily select a plan with the remainder subject to the auto-assignment process described below, while in other states less than half of new members voluntarily choose a plan.</w:t>
      </w:r>
    </w:p>
    <w:p>
      <w:pPr>
        <w:spacing w:after="0" w:line="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Medicaid health plans may benefit from auto-assignment of individuals who do not choose a plan, but for whom participation in managed care programs is mandatory. Each state differs in its approach to auto-assignment, but one or more of the following criteria is typical in auto-assignment algorithms: a Medicaid beneficiary's previous enrollment with a health plan or experience with a particular provider contracted with a health plan, enrolling family</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w:t>
      </w:r>
    </w:p>
    <w:p>
      <w:pPr>
        <w:sectPr>
          <w:pgSz w:w="11900" w:h="16838" w:orient="portrait"/>
          <w:cols w:equalWidth="0" w:num="1">
            <w:col w:w="11420"/>
          </w:cols>
          <w:pgMar w:left="240" w:top="661" w:right="239" w:bottom="1440" w:gutter="0" w:footer="0" w:header="0"/>
        </w:sectPr>
      </w:pPr>
    </w:p>
    <w:bookmarkStart w:id="10" w:name="page11"/>
    <w:bookmarkEnd w:id="10"/>
    <w:p>
      <w:pPr>
        <w:jc w:val="both"/>
        <w:ind w:right="320"/>
        <w:spacing w:after="0" w:line="262" w:lineRule="auto"/>
        <w:rPr>
          <w:sz w:val="20"/>
          <w:szCs w:val="20"/>
          <w:color w:val="auto"/>
        </w:rPr>
      </w:pPr>
      <w:r>
        <w:rPr>
          <w:rFonts w:ascii="Arial" w:cs="Arial" w:eastAsia="Arial" w:hAnsi="Arial"/>
          <w:sz w:val="18"/>
          <w:szCs w:val="18"/>
          <w:color w:val="auto"/>
        </w:rPr>
        <w:t>members in the same plan, a plan's quality or performance status, a plan’s network and enrollment size, awarding all auto-assignments to a plan with the lowest bid in a county or region, and equal assignment of individuals who do not choose a plan in a specified county or region.</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Medicaid marketing efforts are regulated by the states in which we operate, each of which imposes different requirements for, or restrictions on, Medicaid sales and marketing. These requirements and restrictions are revised from time to time. None of the jurisdictions in which we operate permit direct sales by Medicaid health plans.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828282"/>
        </w:rPr>
        <w:t>MEDICARE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Medicare Advantage. </w:t>
      </w:r>
      <w:r>
        <w:rPr>
          <w:rFonts w:ascii="Arial" w:cs="Arial" w:eastAsia="Arial" w:hAnsi="Arial"/>
          <w:sz w:val="18"/>
          <w:szCs w:val="18"/>
          <w:color w:val="auto"/>
        </w:rPr>
        <w:t>Medicare is a federal program that provides eligible persons age 65 and over and some disabled persons with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hospital, medical insurance, and prescription drug benefits. Medicare is funded by Congress, and administered by the Centers for Medicare and Medicaid Services (“CMS”). Medicare beneficiaries may enroll in a Medicare Advantage plan, under which managed care plans contract with CMS to provide benefits that are comparable to original Medicare. Such benefits are provided in exchange for a fixed per-member per-month (“PMPM”) premium payment that varies based on the county in which a member resides, the demographics of the member, and the member’s health condition. Since 2006, Medicare beneficiaries have had the option of selecting a prescription drug benefit from an existing Medicare Advantage plan. The drug benefit, available to beneficiaries for a monthly premium, is subject to certain cost sharing depending upon the specific benefit design of the selected plan.</w:t>
      </w:r>
    </w:p>
    <w:p>
      <w:pPr>
        <w:spacing w:after="0" w:line="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Medicare-Medicaid Plans, or MMPs</w:t>
      </w:r>
      <w:r>
        <w:rPr>
          <w:rFonts w:ascii="Arial" w:cs="Arial" w:eastAsia="Arial" w:hAnsi="Arial"/>
          <w:sz w:val="18"/>
          <w:szCs w:val="18"/>
          <w:color w:val="auto"/>
        </w:rPr>
        <w:t>. Over 12 million low-income elderly and disabled people qualify for both the Medicare and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(“dual eligible” individuals).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supports, and by helping to cover Medicare’s premiums and cost-sharing requirements. Together, these two programs help to shield very low-income Medicare beneficiaries from potentially unaffordable out-of-pocket medical and long-term care costs. To coordinate care and deliver services in a more financially efficient manner, some states have undertaken demonstration programs to integrate Medicare and Medicaid services for dual-eligible individuals. The health plans participating in such demonstrations are referred to as MMPs. We operate MMPs in six states, as described further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247"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We enter into Medicare and MMP contracts with CMS, in partnership with each state’s department of health and human services. Such contracts typically have terms of one to two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MMP Contracts</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California, Illinois and Ohio MMP contracts have been extended, each with one-year renewal terms, through December 31, 2022. These contracts represented aggregate revenues of approximately $888 million in 2019.</w:t>
      </w:r>
    </w:p>
    <w:p>
      <w:pPr>
        <w:spacing w:after="0" w:line="196"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Our current Michigan, South Carolina and Texas MMP contracts are active through December 31, 2020. These contracts represented aggregate revenues of approximately $701 million in 2019. The current status of these contracts is as follows:</w:t>
      </w:r>
    </w:p>
    <w:p>
      <w:pPr>
        <w:spacing w:after="0" w:line="70" w:lineRule="exact"/>
        <w:rPr>
          <w:sz w:val="20"/>
          <w:szCs w:val="20"/>
          <w:color w:val="auto"/>
        </w:rPr>
      </w:pPr>
    </w:p>
    <w:p>
      <w:pPr>
        <w:ind w:left="660" w:right="30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Michigan</w:t>
      </w:r>
      <w:r>
        <w:rPr>
          <w:rFonts w:ascii="Arial" w:cs="Arial" w:eastAsia="Arial" w:hAnsi="Arial"/>
          <w:sz w:val="18"/>
          <w:szCs w:val="18"/>
          <w:color w:val="auto"/>
        </w:rPr>
        <w:t>. The Michigan Medicaid agency has submitted a formal letter of intent to extend the MMP program for three years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South Carolina</w:t>
      </w:r>
      <w:r>
        <w:rPr>
          <w:rFonts w:ascii="Arial" w:cs="Arial" w:eastAsia="Arial" w:hAnsi="Arial"/>
          <w:sz w:val="18"/>
          <w:szCs w:val="18"/>
          <w:color w:val="auto"/>
        </w:rPr>
        <w:t>. We have received information that CMS has granted a three-year extension through 2023.</w:t>
      </w:r>
    </w:p>
    <w:p>
      <w:pPr>
        <w:spacing w:after="0" w:line="9"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Texas</w:t>
      </w:r>
      <w:r>
        <w:rPr>
          <w:rFonts w:ascii="Arial" w:cs="Arial" w:eastAsia="Arial" w:hAnsi="Arial"/>
          <w:sz w:val="18"/>
          <w:szCs w:val="18"/>
          <w:color w:val="auto"/>
        </w:rPr>
        <w:t>. We have received information that HHSC intends to extend the MMP program through 2023, pending a formal letter to CMS.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our participation in the Texas MMP program is contingent upon the outcome of the STAR+PLUS RFP award discussed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Medicare members may be enrolled through auto-assignment, as described above in “Medicaid—Member Enrollment and Marketing,” or by enrolling in our plans with the assistance of insurance agents employed by Molina, outside brokers, or via the Internet.</w:t>
      </w:r>
    </w:p>
    <w:p>
      <w:pPr>
        <w:spacing w:after="0" w:line="16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Medicare marketing and sales activities are regulated by CMS and the states in which we operate. CMS has oversight over all marketing materials used by Medicare Advantage plans, and in some cases has imposed advance approval requirements. CMS generally limits sales activities to those conveying information regarding</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w:t>
      </w:r>
    </w:p>
    <w:p>
      <w:pPr>
        <w:sectPr>
          <w:pgSz w:w="11900" w:h="16838" w:orient="portrait"/>
          <w:cols w:equalWidth="0" w:num="1">
            <w:col w:w="11420"/>
          </w:cols>
          <w:pgMar w:left="240" w:top="65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benefits, describing the operations of our managed care plans, and providing information about eligibility requirements.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employ our own insurance agents and contract with independent, licensed insurance agents to market our Medicare Advantage products. We have continued to expand our use of independent agents because the cost of these agents is largely variable and we believe the use of independent, licensed agents is more conducive to the shortened Medicare selling season and the open enrollment period. The activities of our independent, licensed insurance agents are also regulated by CMS. We also use direct mail, mass media and the Internet to market our Medicare Advantage products.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828282"/>
        </w:rPr>
        <w:t>MARKETPLACE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Effective January 1, 2014, the Affordable Care Act (“ACA”) authorized the creation of Marketplace insurance exchanges, allowing individuals and small groups to purchase federally subsidized health insurance. We offer Marketplace plans in many of the states where we offer Medicaid health plans. Our plans allow our Medicaid members to stay with their providers as they transition between Medicaid and the Marketplace. Additionally, our plans remove financial barriers to quality care and seek to minimize members' out-of-pocket expenses. In 2020, we are participating in the Marketplace in all of our markets except Idaho, Illinois, New York, and Puerto Rico.</w:t>
      </w:r>
    </w:p>
    <w:p>
      <w:pPr>
        <w:spacing w:after="0" w:line="9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expect membership attrition to be lower than in past years and thus we expect to end 2020 with approximately 310,000 members, a 13% increase over year-end 2019. We also expect revenues to increase in 2020 due to the increased membership; however, we expect that the Marketplace MCR will be higher in 2020 compared with 2019 as a result of our lowering prices in an effort to be more competitive and the impact of higher rebates due to more health plans not meeting the minimum medical loss ratio.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enter into contracts with CMS annually for the state Marketplace programs. These contracts have a one-year term ending on December 31, and must be renewed annually.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Marketplace members enroll in our plans with the assistance of insurance agents employed by Molina, outside brokers, vendors, direct to consumer marketing and via the Internet.</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our Marketplace sales activities are regulated by CMS (such as eligibility determinations), our marketing activities are regulated by the individual states in which we operate. Some states require us to obtain prior approval of our marketing materials, others simply require us to provide them with copies of our marketing materials, and some states do not request our marketing materials. We are able to freely contact our members and provide them with marketing materials as long as those materials are fair and do not discriminate.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Marketplace sales and marketing strategy is to provide high quality, affordable, compliant and consumer centric Marketplace products through a variety of distribution channels. Our Marketplace products are displayed on the Federally Facilitated Marketplace (“FFM”) and the State Based Marketplace (“SBM”) in the states in which we participate in the Marketplace. We also contract with independent, licensed insurance agents to market our Marketplace products. The activities of our independently licensed insurance agents are also regulated by both CMS and the departments of insurance in the states in which we participate. Our sales cycle typically peaks during the annual Open Enrollment Period (“OEP”) as defined and regulated by CMS and the applicable FFM and SBM.</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w:t>
      </w:r>
    </w:p>
    <w:p>
      <w:pPr>
        <w:sectPr>
          <w:pgSz w:w="11900" w:h="16838" w:orient="portrait"/>
          <w:cols w:equalWidth="0" w:num="1">
            <w:col w:w="11420"/>
          </w:cols>
          <w:pgMar w:left="240" w:top="652"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color w:val="828282"/>
        </w:rPr>
        <w:t>BASIS FOR PREMIUM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premium revenue by program for the periods indicated: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1"/>
        </w:trPr>
        <w:tc>
          <w:tcPr>
            <w:tcW w:w="8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r>
      <w:tr>
        <w:trPr>
          <w:trHeight w:val="27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12,466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13,623</w:t>
            </w:r>
          </w:p>
        </w:tc>
      </w:tr>
      <w:tr>
        <w:trPr>
          <w:trHeight w:val="260"/>
        </w:trPr>
        <w:tc>
          <w:tcPr>
            <w:tcW w:w="8280" w:type="dxa"/>
            <w:vAlign w:val="bottom"/>
          </w:tcPr>
          <w:p>
            <w:pPr>
              <w:ind w:left="20"/>
              <w:spacing w:after="0"/>
              <w:rPr>
                <w:sz w:val="20"/>
                <w:szCs w:val="20"/>
                <w:color w:val="auto"/>
              </w:rPr>
            </w:pPr>
            <w:r>
              <w:rPr>
                <w:rFonts w:ascii="Arial" w:cs="Arial" w:eastAsia="Arial" w:hAnsi="Arial"/>
                <w:sz w:val="16"/>
                <w:szCs w:val="16"/>
                <w:color w:val="auto"/>
              </w:rPr>
              <w:t>Medicare</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2,074</w:t>
            </w:r>
          </w:p>
        </w:tc>
      </w:tr>
      <w:tr>
        <w:trPr>
          <w:trHeight w:val="27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1,915</w:t>
            </w:r>
          </w:p>
        </w:tc>
      </w:tr>
      <w:tr>
        <w:trPr>
          <w:trHeight w:val="240"/>
        </w:trPr>
        <w:tc>
          <w:tcPr>
            <w:tcW w:w="8280" w:type="dxa"/>
            <w:vAlign w:val="bottom"/>
          </w:tcPr>
          <w:p>
            <w:pPr>
              <w:ind w:left="16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16,208</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17,612</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our Medicaid contracts, state government agencies pay our health plans fixed PMPM rates that vary by state, line of business, demographics and, in most instances, health risk factors. CMS requires these rates to be actuarially sound. In exchange for the payment received, Molina arranges, pays for, and manages health care services provided to Medicaid beneficiaries. Therefore, our health plans are at risk for the medical costs associated with their members’ health care. Payments to us under each of our Medicaid contracts are subject to each state’s annual appropriation process. The amount of the premiums paid to our health plans may vary substantially between states and among various government programs. For the year ending December 31, 2019, Medicaid program PMPM premium revenues ranged from $180.00 to $1,540.00.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Under Medicare Advantage, managed care plans contract with CMS to provide benefits in exchange for a fixed PMPM premium payment that varies based on health plan star rating and member demographics, including county residence and health risk factors. CMS also considers inflation, changes in utilization patterns and average per capita fee-for-service Medicare costs in the calculation of the fixed PMPM premium payment. Amounts payable to us under the Medicare Advantage contracts are subject to annual revision by CMS, including any federal budget cuts or tax changes applicable to Medicare. We elect to participate in each Medicare service area or region on an annual basis. Medicare Advantage premiums paid to us are subject to federal government reviews and audits which can result, and have resulted, in retroactive and prospective premium adjustments. Compared with our Medicaid plans, Medicare Advantage and MMP contracts generate higher average PMPM revenues and health care costs. For the year ended December 31, 2019, Medicare program PMPM premium revenues ranged from $1,110.00 to $3,410.00.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Marketplace, we develop each state’s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The premium rates are filed for approval with the various state and federal authorities in accordance with the rules and regulations applicable to the ACA individual market, including, but not limited to, minimum loss ratio thresholds and adjustments for permissible rate variations by age, geographic area, and variations in plan design. For the year ending December 31, 2019, Marketplace program PMPM premium revenues ranged from $340.00 to $1,070.00.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LEGISLATIVE AND POLITICAL ENVIRONMENT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PRESSURES ON MEDICAID FUNDING</w:t>
      </w:r>
    </w:p>
    <w:p>
      <w:pPr>
        <w:spacing w:after="0" w:line="2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states’ budget challenges and political agendas at both the state and federal levels, there are a number of different legislative proposals being considered, some of which would involve significantly reduced federal or state spending on the Medicaid program, constitute a fundamental change to the federal role in health care and, if enacted, could have a material adverse effect on our business, financial condition, cash flows, or results of operations. These proposals include elements such as the following, as well as numerous other potential changes and reforms:</w:t>
      </w:r>
    </w:p>
    <w:p>
      <w:pPr>
        <w:spacing w:after="0" w:line="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entitlement nature of Medicaid (and perhaps Medicare as well) by capping future increases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10</w:t>
      </w:r>
    </w:p>
    <w:p>
      <w:pPr>
        <w:sectPr>
          <w:pgSz w:w="11900" w:h="16838" w:orient="portrait"/>
          <w:cols w:equalWidth="0" w:num="1">
            <w:col w:w="11420"/>
          </w:cols>
          <w:pgMar w:left="240" w:top="681"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in federal health spending for these programs, and shifting much more of the risk for health costs in the future to states and consumers;</w:t>
      </w:r>
    </w:p>
    <w:p>
      <w:pPr>
        <w:spacing w:after="0" w:line="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Medicaid beneficiaries to work;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828282"/>
        </w:rPr>
        <w:t>AFFORDABLE CARE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Repeal of ACA Taxes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December 2019, the President signed into law the “Further Consolidated Appropriations Act, 2020,” which repeals several ACA excise taxes, including the Health Insurer Fee (“HIF”) effective for years after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HIF will be assessed in 2020, following a moratorium in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Constitutionality Court Case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ACA’s individual mandate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additional analysis and findings regarding severability and the consideration of additional arguments. Any decision by the District Court is expected to be appealed once again to the Fifth Circuit Court. In addition, the intervenor defendant states led by California have sought immediate appeal of the case to the U.S. Supreme Court. Any final, non-appealable determination that the ACA is unconstitutional could have a material adverse effect on our business, financial condition, cash flows,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Proposed Changes and Reforms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proposed changes and reforms to the ACA have included, or may include the following: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the federal government from operating Marketplaces;</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Eliminating the advanced premium tax credits, and cost sharing reductions for low income individuals who purchase their health insurance through the Marketplaces;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and encouraging the use of private health savings accounts;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for insurance plans that offer fewer and less extensive health insurance benefits than under the ACA’s essential health benefits package, including broader use of catastrophic coverage plans, or short-term health insurance;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funding high risk pools or reinsurance programs for individuals with chronic or high cost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Allowing insurers to sell insurance across state lines.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passage of any of these changes or other reforms could have a material adverse effect on our business, financial condition, cash flows,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PUBLIC CHARGE</w:t>
      </w:r>
    </w:p>
    <w:p>
      <w:pPr>
        <w:spacing w:after="0" w:line="2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January 27, 2020, the U.S. Supreme Court lifted a nationwide injunction preventing the Department of Homeland Security (“DHS”) from enforcing an “Inadmissibility on Public Charge Grounds” final rule from going into effect. DHS is now permitted to implement and enforce the final rule and will do so effective February 24, 2020, while litigation continues in lower courts, except in the state of Illinois, where a preliminary injunction is still in place.</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final rule changes policies used to determine whether immigration applicants are likely to become a “public charge,” or persons that become dependent on certain government benefits. Under longstanding policy, the federal government can deny applicants entry into the U.S. or adjustment to their immigration status if it is determined that such applicants are likely to become a public charge. Under the final rule, officials will consider the use of certain previously excluded programs, including Medicaid, in public charge determinations.</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DHS has estimated that only approximately 140,000 immigration applicants would be impacted by the rule; however, the changes may lead to widespread decreases in participation in Medicaid and other programs. Various</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11</w:t>
      </w:r>
    </w:p>
    <w:p>
      <w:pPr>
        <w:sectPr>
          <w:pgSz w:w="11900" w:h="16838" w:orient="portrait"/>
          <w:cols w:equalWidth="0" w:num="1">
            <w:col w:w="11420"/>
          </w:cols>
          <w:pgMar w:left="240" w:top="571" w:right="239" w:bottom="1440" w:gutter="0" w:footer="0" w:header="0"/>
        </w:sectPr>
      </w:pPr>
    </w:p>
    <w:bookmarkStart w:id="14" w:name="page15"/>
    <w:bookmarkEnd w:id="14"/>
    <w:p>
      <w:pPr>
        <w:ind w:right="120"/>
        <w:spacing w:after="0" w:line="262" w:lineRule="auto"/>
        <w:rPr>
          <w:sz w:val="20"/>
          <w:szCs w:val="20"/>
          <w:color w:val="auto"/>
        </w:rPr>
      </w:pPr>
      <w:r>
        <w:rPr>
          <w:rFonts w:ascii="Arial" w:cs="Arial" w:eastAsia="Arial" w:hAnsi="Arial"/>
          <w:sz w:val="18"/>
          <w:szCs w:val="18"/>
          <w:color w:val="auto"/>
        </w:rPr>
        <w:t>states have mounted educational efforts to keep their members informed and to minimize the effect of the final rule. Our states with the largest immigrant populations include California, Texas, and Illinois.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OPERATIONS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QUALITY</w:t>
      </w:r>
    </w:p>
    <w:p>
      <w:pPr>
        <w:spacing w:after="0" w:line="22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long-term success depends, to a significant degree, on the quality of the services we provide. As of December 31, 2019, 11 of our health plans were accredited by the National Committee for Quality Assurance (“NCQA”), including the Multicultural Health Care Distinction, which is awarded to organizations that meet or exceed NCQA’s rigorous requirements for multicultural health care.</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states where our health plans are accredited by the NCQA and/or have Medicare Star Ratings, the table below presents such health plans’ NCQA status, as well as their current scores as part of the Medicare Star Ratings, which measures the quality of Medicare plans across the country using a 5-star rating system.</w:t>
      </w:r>
    </w:p>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We believe that these objective measures of quality are important to state Medicaid agencies, as a growing number of states link reimbursement and patient assignment to quality scores. Additionally, Medicare pays quality bonuses to health plans that achieve high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111125</wp:posOffset>
            </wp:positionV>
            <wp:extent cx="4536440" cy="3679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36440" cy="367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color w:val="828282"/>
        </w:rPr>
        <w:t>PROVIDERS</w:t>
      </w:r>
    </w:p>
    <w:p>
      <w:pPr>
        <w:spacing w:after="0" w:line="22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We arrange health care services for our members through contracts with a vast network of providers, including independent physicians and physician groups, hospitals, ancillary providers, and pharmacies. We strive to ensure that our providers have the appropriate expertise and cultural and linguistic experience.</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quality, depth and scope of our provider network are essential if we are to ensure quality, cost-effective care for our members. In partnering with quality, cost-effective providers, we utilize clinical and financial information derived by our medical informatics function, as well as the experience we have gained in serving Medicaid members, to gain insight into the needs of both our members and our providers.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12</w:t>
      </w:r>
    </w:p>
    <w:p>
      <w:pPr>
        <w:sectPr>
          <w:pgSz w:w="11900" w:h="16838" w:orient="portrait"/>
          <w:cols w:equalWidth="0" w:num="1">
            <w:col w:w="11420"/>
          </w:cols>
          <w:pgMar w:left="240" w:top="6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Physicians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contract with both primary care physicians and specialists, many of whom are organized into medical groups or independent practice associations. Primary care physicians provide office-based primary care services. Primary care physicians may be paid under capitation or fee-for-service contracts and may receive additional compensation by providing certain preventive care services. Under capitation payment arrangements, health care providers receive fixed, pre-arranged monthly payments per enrolled member, whereas under fee-for-service payment arrangements, health care providers are paid a fee for each particular service rendered. Our specialists care for patients for a specific episode or condition, usually upon referral from a primary care physician, and are usually compensated on a fee-for-service basis. When we contract with groups of physicians on a capitated basis, we monitor their solvency.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Hospitals</w:t>
      </w:r>
    </w:p>
    <w:p>
      <w:pPr>
        <w:spacing w:after="0" w:line="24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We generally contract with hospitals that have significant experience dealing with the medical needs of the Medicaid population. We reimburse hospitals under a variety of payment methods, including fee-for-service, per diems, diagnostic-related groups, capitation, and case rates.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Providers</w:t>
      </w:r>
    </w:p>
    <w:p>
      <w:pPr>
        <w:spacing w:after="0" w:line="2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ancillary agreements provide coverage of medically-necessary care, including laboratory services, home health, physical, speech and occupational therapy, durable medical equipment, radiology, ambulance and transportation services, and are reimbursed on a capitation and fee-for-service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outsource pharmacy benefit management services, including claims processing, pharmacy network contracting, rebate processing and mail and specialty pharmacy fulfillment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consolidated medical care costs by type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98"/>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r>
      <w:tr>
        <w:trPr>
          <w:trHeight w:val="228"/>
        </w:trPr>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PMPM</w:t>
            </w:r>
          </w:p>
        </w:tc>
        <w:tc>
          <w:tcPr>
            <w:tcW w:w="164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PMPM</w:t>
            </w: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51"/>
        </w:trPr>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millions, except PMPM amounts)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6"/>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Fee-for-service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256.34</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232.15</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41.23</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44.01</w:t>
            </w:r>
          </w:p>
        </w:tc>
        <w:tc>
          <w:tcPr>
            <w:tcW w:w="10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14.1</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24.38</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r>
      <w:tr>
        <w:trPr>
          <w:trHeight w:val="270"/>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15.25</w:t>
            </w:r>
          </w:p>
        </w:tc>
        <w:tc>
          <w:tcPr>
            <w:tcW w:w="12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w:t>
            </w:r>
          </w:p>
        </w:tc>
      </w:tr>
      <w:tr>
        <w:trPr>
          <w:trHeight w:val="234"/>
        </w:trPr>
        <w:tc>
          <w:tcPr>
            <w:tcW w:w="1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340.99</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311.59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8890</wp:posOffset>
            </wp:positionV>
            <wp:extent cx="6037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20" w:lineRule="exact"/>
        <w:rPr>
          <w:sz w:val="20"/>
          <w:szCs w:val="20"/>
          <w:color w:val="auto"/>
        </w:rPr>
      </w:pPr>
    </w:p>
    <w:p>
      <w:pPr>
        <w:jc w:val="both"/>
        <w:ind w:left="340" w:hanging="332"/>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includes all medically-related administrative costs, certain provider incentive costs, provider claims, and other health care expenses. Medically-related administrative costs include, for example, expenses relating to health education, quality assurance, case management, care coordination, disease management, and 24-hour on-call nurses.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828282"/>
        </w:rPr>
        <w:t>MEDICAL MANAGEMENT</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mission is to improve the health and lives of our members by delivering high-quality health care. We believe our singular focus on government-sponsored health care enables us to identify and implement efficiencies that distinguish us as the low-cost, high-quality health plan of choice. We emphasize primary care physicians as the central point of delivery for routine and preventive care, coordination of referrals to specialists, and appropriate assessment of the need for hospital care. This model has proved to be an effective method of coordinating medical care for our members.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Management</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goal is to optimize access to low-cost, high-quality care. This is achieved by sound clinical policy based on current evidence-based practices. Additionally, we continuously monitor utilization patterns and strive to identify new opportunities to reduce cost and improve quality of care. Our utilization management process serves as a bridge to identify at-risk members for referral into internally developed case management programs such as “</w:t>
      </w:r>
      <w:r>
        <w:rPr>
          <w:rFonts w:ascii="Arial" w:cs="Arial" w:eastAsia="Arial" w:hAnsi="Arial"/>
          <w:sz w:val="18"/>
          <w:szCs w:val="18"/>
          <w:i w:val="1"/>
          <w:iCs w:val="1"/>
          <w:color w:val="auto"/>
        </w:rPr>
        <w:t>Transitions of Care</w:t>
      </w:r>
      <w:r>
        <w:rPr>
          <w:rFonts w:ascii="Arial" w:cs="Arial" w:eastAsia="Arial" w:hAnsi="Arial"/>
          <w:sz w:val="18"/>
          <w:szCs w:val="18"/>
          <w:color w:val="auto"/>
        </w:rPr>
        <w:t>,” which facilitates post-discharge safety and appropriate outcomes.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13</w:t>
      </w:r>
    </w:p>
    <w:p>
      <w:pPr>
        <w:sectPr>
          <w:pgSz w:w="11900" w:h="16838" w:orient="portrait"/>
          <w:cols w:equalWidth="0" w:num="1">
            <w:col w:w="11420"/>
          </w:cols>
          <w:pgMar w:left="240" w:top="6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Population Management</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high-quality, affordable care is achieved through a variety of programs tailored to our members’ emerging needs. Individuals are identified for interventions, and programs are customized, based on predictive analytics and our member assessment process. These tools ensure that the appropriate level of services and support are provided to address physical health, behavioral health, and social determinants of health. This comprehensive and customized approach is designed to help members achieve their goals and improve their overall quality of life.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Management</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pharmacy programs are designed to make us a trusted partner in improving member health and healthcare affordability. We strategically partner with physicians and other healthcare providers who treat our members. This collaboration results in drug formularies and clinical initiatives that promote improved patient care. We employ full-time pharmacists and pharmacy technicians who work closely with providers to educate them about our formulary products, clinical programs, and the importance of cost-effective care.</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INFORMATION TECHNOLOGY</w:t>
      </w:r>
    </w:p>
    <w:p>
      <w:pPr>
        <w:spacing w:after="0" w:line="2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business is dependent on effective and secure information systems that assist us in, among other things,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primary care and specialist physician roster access, membership verifications, claims status, and other information.</w:t>
      </w:r>
    </w:p>
    <w:p>
      <w:pPr>
        <w:spacing w:after="0" w:line="2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In February 2019, we entered into a master services agreement with a third party vendor who manages certain of our information technology infrastructure services including, among other things, our information technology operations, end-user services, and data centers. As a result of the agreement, we were able to reduce our administrative expenses, while improving the reliability of our information technology functions, and maintain targeted levels of service and operating performance. A segment of the infrastructure services is provided on our premises, while other portions of the infrastructure services are performed at the vendor’s facilities.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and increased security risks.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CENTRALIZED SERVICES</w:t>
      </w:r>
    </w:p>
    <w:p>
      <w:pPr>
        <w:spacing w:after="0" w:line="22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We provide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underwriting, finance, accounting, legal and public relations.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COMPETITIVE CONDITIONS AND ENVIRONMENT</w:t>
      </w:r>
    </w:p>
    <w:p>
      <w:pPr>
        <w:spacing w:after="0" w:line="25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face varying levels of competition. Healthcare reform proposals may cause organizations to enter or exit the market for government-sponsored health programs. However, the licensing requirements and bidding and contracting procedures in some states may present partial barriers to entry into our industry.</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14</w:t>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Medicaid</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Medicaid managed care industry is subject to ongoing changes as a result of healthcare reform, business consolidations and new strategic alliances. We compete with national, regional, and local Medicaid service providers, principally on the basis of size, location, quality of the provider network, quality of service, and reputation. Our primary competitors in the Medicaid managed care industry include Centene Corporation, UnitedHealth Group Incorporated, Anthem, Inc., Aetna Inc., and other large not-for-profit health care organizations. Competition can vary considerably from state to state.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Medicare market is highly competitive across the country, with large competitors, such as UnitedHealth Group Incorporated, Humana Inc., and Aetna Inc., holding significant market share.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Low-income members who receive government subsidies comprise the vast majority of Marketplace membership, which is served by a limited number of health plans. Our primary competitor for low-income Marketplace membership is Centene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REGULATION</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health plans are highly regulated by both state and federal government agencies. Regulation of managed care products and healthcare services varies from jurisdiction to jurisdiction, and changes in applicable laws and rules occur frequently. Regulatory agencies generally have discretion to issue regulations and interpret and enforce laws and rules. Such agencies have become increasingly active in recent years in their review and scrutiny of health insurers and managed care organizations, including those operating in the Medicaid and Medicare programs.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HIPAA AND THE HITECH ACT</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1996, Congress enacted the Health Insurance Portability and Accountability Act (“HIPAA”). All health plans are subject to HIPAA, including ours. HIPAA generally requires health plans to:</w:t>
      </w:r>
    </w:p>
    <w:p>
      <w:pPr>
        <w:spacing w:after="0" w:line="88" w:lineRule="exact"/>
        <w:rPr>
          <w:sz w:val="20"/>
          <w:szCs w:val="20"/>
          <w:color w:val="auto"/>
        </w:rPr>
      </w:pPr>
    </w:p>
    <w:p>
      <w:pPr>
        <w:ind w:left="660" w:right="1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the capability to receive and transmit electronically certain administrative health care transactions, such as claims payments, in a standardized format;</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Afford privacy to patient health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 the privacy of patient health information through physical and electronic security measures.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2009, the Health Information Technology for Economic and Clinical Health Act (“HITECH”) imposed requirements on uses and disclosures of health information; included requirements for HIPAA business associate agreements; extended parts of HIPAA privacy and security provisions to business associates; added data breach notification requirements for covered entities and business associates and reporting requirements to the U.S. Department of Health and Human Services (“HHS”) and, in some cases, to the media; strengthened enforcement; and imposed higher financial penalties for HIPAA violations. In the conduct of our business, depending on the circumstances, we may act as either a covered entity or a business associate. HIPAA privacy regulations do not preempt more stringent state laws and regulations that may apply to us.</w:t>
      </w:r>
    </w:p>
    <w:p>
      <w:pPr>
        <w:spacing w:after="0" w:line="20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maintain an internal HIPAA compliance program, which we believe complies with HIPAA privacy and security regulations, and have dedicated resources to monitor compliance with this program.</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Healthcare reform created additional tools for fraud prevention, including increased oversight of providers and suppliers participating or enrolling in Medicaid, CHIP, and Medicare. Those enhancements included mandatory licensure for all providers, and site visits, fingerprinting, and criminal background checks for higher risk providers.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FRAUD AND ABUSE LAWS AND THE FALSE CLAIMS ACT</w:t>
      </w:r>
    </w:p>
    <w:p>
      <w:pPr>
        <w:spacing w:after="0" w:line="2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 care programs, or the institution of corporate integrity agreements. Liability under such federal and state statutes and regulations may arise if we know, or it is determined that we should have</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15</w:t>
      </w:r>
    </w:p>
    <w:p>
      <w:pPr>
        <w:sectPr>
          <w:pgSz w:w="11900" w:h="16838" w:orient="portrait"/>
          <w:cols w:equalWidth="0" w:num="1">
            <w:col w:w="11420"/>
          </w:cols>
          <w:pgMar w:left="240" w:top="657" w:right="239" w:bottom="1440" w:gutter="0" w:footer="0" w:header="0"/>
        </w:sectPr>
      </w:pPr>
    </w:p>
    <w:bookmarkStart w:id="18" w:name="page19"/>
    <w:bookmarkEnd w:id="18"/>
    <w:p>
      <w:pPr>
        <w:ind w:right="20"/>
        <w:spacing w:after="0" w:line="262" w:lineRule="auto"/>
        <w:rPr>
          <w:sz w:val="20"/>
          <w:szCs w:val="20"/>
          <w:color w:val="auto"/>
        </w:rPr>
      </w:pPr>
      <w:r>
        <w:rPr>
          <w:rFonts w:ascii="Arial" w:cs="Arial" w:eastAsia="Arial" w:hAnsi="Arial"/>
          <w:sz w:val="18"/>
          <w:szCs w:val="18"/>
          <w:color w:val="auto"/>
        </w:rPr>
        <w:t>known, that information we provide to form the basis for a claim for government payment is false or fraudulent, and some courts have permitted False Claims Act suits to proceed if the claimant was out of compliance with program requirements.</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 The regulations and contractual requirements applicable to participants in these public-sector programs are complex and subject to change.</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can be brought by any individual on behalf of the government. </w:t>
      </w:r>
      <w:r>
        <w:rPr>
          <w:rFonts w:ascii="Arial" w:cs="Arial" w:eastAsia="Arial" w:hAnsi="Arial"/>
          <w:sz w:val="18"/>
          <w:szCs w:val="18"/>
          <w:i w:val="1"/>
          <w:iCs w:val="1"/>
          <w:color w:val="auto"/>
        </w:rPr>
        <w:t xml:space="preserve">Qui tam </w:t>
      </w:r>
      <w:r>
        <w:rPr>
          <w:rFonts w:ascii="Arial" w:cs="Arial" w:eastAsia="Arial" w:hAnsi="Arial"/>
          <w:sz w:val="18"/>
          <w:szCs w:val="18"/>
          <w:color w:val="auto"/>
        </w:rPr>
        <w:t>actions have increased significantly in recent years, causing greater numbers of healthcare companies to have to defend a false claim</w:t>
      </w:r>
      <w:r>
        <w:rPr>
          <w:rFonts w:ascii="Arial" w:cs="Arial" w:eastAsia="Arial" w:hAnsi="Arial"/>
          <w:sz w:val="18"/>
          <w:szCs w:val="18"/>
          <w:i w:val="1"/>
          <w:iCs w:val="1"/>
          <w:color w:val="auto"/>
        </w:rPr>
        <w:t xml:space="preserve"> </w:t>
      </w:r>
      <w:r>
        <w:rPr>
          <w:rFonts w:ascii="Arial" w:cs="Arial" w:eastAsia="Arial" w:hAnsi="Arial"/>
          <w:sz w:val="18"/>
          <w:szCs w:val="18"/>
          <w:color w:val="auto"/>
        </w:rPr>
        <w:t>action, pay fines, or be excluded from the Medicare, Medicaid, or other state or federal healthcare programs as a result of an investigation arising out of such action.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828282"/>
        </w:rPr>
        <w:t>LICENSING AND SOLVENCY</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health plans are generally licensed by the insurance departments in the states in which they operate, except our California health plan, which is licensed by the California Department of Managed Health Care, and our New York health plan, which is licensed as a prepaid health services plan by the New York State Department of Health.</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health plans are subject to stringent requirements to maintain a minimum amount of statutory capital determined by statute or regulation, and restrictions that limit their ability to pay dividends to us. For further information, refer to the Notes to Consolidated Financial Statements, Note 17, “Commitments and Contingencies—Regulatory Capital Requirements and Dividend Restrictions.”</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EMPLOYEES</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December 31, 2019, we had approximately 10,000 employees. Our employee base is multicultural and reflects the diverse membership we serve.</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AVAILABLE INFORMATION</w:t>
      </w:r>
    </w:p>
    <w:p>
      <w:pPr>
        <w:spacing w:after="0" w:line="22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principal executive offices are located at 200 Oceangate, Suite 100, Long Beach, California 90802, and our telephone number is (562) 435-3666. The Company also maintains corporate offices in New York City, New York.</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You can access our website at </w:t>
      </w:r>
      <w:r>
        <w:rPr>
          <w:rFonts w:ascii="Arial" w:cs="Arial" w:eastAsia="Arial" w:hAnsi="Arial"/>
          <w:sz w:val="18"/>
          <w:szCs w:val="18"/>
          <w:i w:val="1"/>
          <w:iCs w:val="1"/>
          <w:color w:val="auto"/>
        </w:rPr>
        <w:t>www.molinahealthcare.com</w:t>
      </w:r>
      <w:r>
        <w:rPr>
          <w:rFonts w:ascii="Arial" w:cs="Arial" w:eastAsia="Arial" w:hAnsi="Arial"/>
          <w:sz w:val="18"/>
          <w:szCs w:val="18"/>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and Code of Business Conduct and Ethics. We make periodic reports and amendments available, free of charge, as soon as reasonably practicable after we file or furnish these reports to the U.S. Securities and Exchange Commission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is neither part of nor incorporated by reference into this Form 10-K or any other SEC filings.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16</w:t>
      </w:r>
    </w:p>
    <w:p>
      <w:pPr>
        <w:sectPr>
          <w:pgSz w:w="11900" w:h="16838" w:orient="portrait"/>
          <w:cols w:equalWidth="0" w:num="1">
            <w:col w:w="11420"/>
          </w:cols>
          <w:pgMar w:left="240" w:top="679" w:right="2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0F7C7F"/>
        </w:rPr>
        <w:t>RISK FACTORS</w:t>
      </w:r>
    </w:p>
    <w:p>
      <w:pPr>
        <w:spacing w:after="0" w:line="23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Form 10-K or elsewhere, such as in press releases, presentations to securities analysts or investors, or other communications made by or with the approval of one of our executive officers. The risks described below are not the only risks facing our Company. Additional risks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uncertain political and judicial environment which creates uncertainties with regard to our future prospects.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ACA’s individual mandate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additional analysis and findings regarding severability and the consideration of additional arguments. Any decision by the District Court is expected to be appealed once again to the Fifth Circuit Court. In addition, the intervenor defendant states led by California have sought immediate appeal of the case to the U.S. Supreme Court. Any final, non-appealable determination that the ACA is unconstitutional could have a material adverse effect on our business, financial condition, cash flows, or results of operations.</w:t>
      </w:r>
    </w:p>
    <w:p>
      <w:pPr>
        <w:spacing w:after="0" w:line="1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Currently, there are a number of different legislative proposals being considered which would involve significantly reduced federal spending on the Medicaid program or would otherwise constitute a fundamental change in the federal role in health care. Changes to or the repeal of the ACA, or the adoption of new health care regulatory laws, could have a material adverse effect on our business, financial condition, cash flows, or results of operations.</w:t>
      </w:r>
    </w:p>
    <w:p>
      <w:pPr>
        <w:spacing w:after="0" w:line="74"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i w:val="1"/>
          <w:iCs w:val="1"/>
          <w:color w:val="auto"/>
        </w:rPr>
        <w:t>If the responsive bids of our health plans for new or renewed Medicaid contracts are not successful, or if our government contracts are terminated or are not renewed on favorable terms or at all, our premium revenues could be materially reduced and our operating results could be negatively impacted.</w:t>
      </w:r>
    </w:p>
    <w:p>
      <w:pPr>
        <w:spacing w:after="0" w:line="82"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We currently derive our premium revenues from health plans that operate in 14 states and the Commonwealth of Puerto Rico. Our premium revenues constituted 96% of our total revenue in the year ended December 31, 2019. Measured by premium revenue by health plan, our top four health plans were in California, Ohio, Texas, and Washington, with aggregate premium revenue of $ 10.5 billion, or approximately 65% of total premium revenue, in the year ended December 31, 2019. If we are unable to continue to operate in any of our existing jurisdictions, or if our current operations in those jurisdictions or any portions of those jurisdictions are significantly curtailed or terminated entirely, our revenues could decrease materially.</w:t>
      </w:r>
    </w:p>
    <w:p>
      <w:pPr>
        <w:spacing w:after="0" w:line="1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Many of our government contracts are effective only for a fixed period of time and will only be extended for an additional period of time if the contracting entity elects to do so. When such contracts expire, they may be opened for bidding by competing healthcare providers (many of which have greater financial resources and greater name recognition than us), and there is no guarantee that the contracts will be renewed or extended. Even if our contracts are renewed or extended, there can be no assurance that they will be renewed or extended on the same terms or without a reduction in the applicable service areas. For example, in October 2019, our Texas health plan was notified that its contract for the STAR+PLUS program was being renewed but with a significant reduction in the service areas covered by that contract, and our contract for the STAR/CHIP program in Texas is also subject to the outcome of a pending RFP. In addition, as stated above, our contracts in Ohio and California are expected to be subject to re-procurement later in 2020. Further, on January 15, 2020, the Florida District Court of Appeal held oral argument on the appeal brought by Best Care alleging that AHCA’s award of Region 8 to Molina Healthcare of Florida was illegal in that it allegedly exceeded the statutory cap of four health plan awardees. We expect a ruling from the appellate court in the first half of 2020. An adverse ruling could have a material adverse effect on the results of operations of our Florida health plan.</w:t>
      </w:r>
    </w:p>
    <w:p>
      <w:pPr>
        <w:spacing w:after="0" w:line="1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Even if our responsive bids are successful, the bids may be based upon assumptions regarding enrollment, utilization, medical costs, or other factors which could result in the contract being less profitable than we had expected or could result in a net loss. Furthermore, our contracts contain certain provisions regarding, among other</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17</w:t>
      </w:r>
    </w:p>
    <w:p>
      <w:pPr>
        <w:sectPr>
          <w:pgSz w:w="11900" w:h="16838" w:orient="portrait"/>
          <w:cols w:equalWidth="0" w:num="1">
            <w:col w:w="11420"/>
          </w:cols>
          <w:pgMar w:left="240" w:top="649" w:right="239" w:bottom="1440" w:gutter="0" w:footer="0" w:header="0"/>
        </w:sectPr>
      </w:pPr>
    </w:p>
    <w:bookmarkStart w:id="20" w:name="page21"/>
    <w:bookmarkEnd w:id="20"/>
    <w:p>
      <w:pPr>
        <w:jc w:val="both"/>
        <w:ind w:right="160"/>
        <w:spacing w:after="0" w:line="256" w:lineRule="auto"/>
        <w:rPr>
          <w:sz w:val="20"/>
          <w:szCs w:val="20"/>
          <w:color w:val="auto"/>
        </w:rPr>
      </w:pPr>
      <w:r>
        <w:rPr>
          <w:rFonts w:ascii="Arial" w:cs="Arial" w:eastAsia="Arial" w:hAnsi="Arial"/>
          <w:sz w:val="18"/>
          <w:szCs w:val="18"/>
          <w:color w:val="auto"/>
        </w:rPr>
        <w:t>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72"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b w:val="1"/>
          <w:bCs w:val="1"/>
          <w:i w:val="1"/>
          <w:iCs w:val="1"/>
          <w:color w:val="auto"/>
        </w:rPr>
        <w:t>If we lose contracts that constitute a significant amount of our revenue, we will lose the administrative cost efficiencies that are inherent in a larger revenue base. In such circumstances, we may not be able to reduce fixed costs proportionally with our lower revenue, and the financial impact of lost contracts may exceed the net income ascribed to those contracts.</w:t>
      </w:r>
    </w:p>
    <w:p>
      <w:pPr>
        <w:spacing w:after="0" w:line="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currently spread the cost of centralized services over a large revenue base. Many of our administrative costs are fixed in nature, and will be incurred at the same level regardless of the size of our revenue base. If we lose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 This loss of cost efficiency, and the resulting stranded administrative costs, could have a material and adverse impact on our business, financial condition, cash flows, or results of operations.</w:t>
      </w:r>
    </w:p>
    <w:p>
      <w:pPr>
        <w:spacing w:after="0" w:line="187" w:lineRule="exact"/>
        <w:rPr>
          <w:sz w:val="20"/>
          <w:szCs w:val="20"/>
          <w:color w:val="auto"/>
        </w:rPr>
      </w:pPr>
    </w:p>
    <w:p>
      <w:pPr>
        <w:jc w:val="both"/>
        <w:ind w:right="800"/>
        <w:spacing w:after="0" w:line="269" w:lineRule="auto"/>
        <w:rPr>
          <w:sz w:val="20"/>
          <w:szCs w:val="20"/>
          <w:color w:val="auto"/>
        </w:rPr>
      </w:pPr>
      <w:r>
        <w:rPr>
          <w:rFonts w:ascii="Arial" w:cs="Arial" w:eastAsia="Arial" w:hAnsi="Arial"/>
          <w:sz w:val="18"/>
          <w:szCs w:val="18"/>
          <w:b w:val="1"/>
          <w:bCs w:val="1"/>
          <w:i w:val="1"/>
          <w:iCs w:val="1"/>
          <w:color w:val="auto"/>
        </w:rPr>
        <w:t>If, in the interests of maintaining or improving longer term profitability, we decide to exit voluntarily certain state contractual arrangements, make changes to our provider networks, or make changes to our administrative infrastructure, we may incur disruptions to our business that could materially reduce our premium revenues and our net income.</w:t>
      </w:r>
    </w:p>
    <w:p>
      <w:pPr>
        <w:spacing w:after="0" w:line="8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Decisions that we make with regard to retaining or exiting our portfolio of state and federal contracts, and changes to the manner in which we serve the members attached to those contracts, could generate substantial expenses associated with the run out of existing operations and the restructuring of those operations that remain. Such expenses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 all of which could materially reduce our premium revenues and net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accurately estimate incurred but not paid medical care costs may negatively impact our results of operations.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Because of the time lag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incurred but not paid (“IBNP”) medical care costs are based on numerous assumptions. We estimate our medical claims liabilities using actuarial methods based on historical data adjusted for claims receipt and payment experience (and variations in that experience), changes in membership, provider billing practices, health care service utilization trends, cost trends, product mix, seasonality, prior authorization of medical services, benefit changes, known outbreaks of disease or increased incidence of illness such as influenza, 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newer lines of business or populations.</w:t>
      </w:r>
    </w:p>
    <w:p>
      <w:pPr>
        <w:spacing w:after="0" w:line="1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If our actual liability for claims payments is higher than previously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we fail to accurately predict and effectively manage our medical care costs, our operating results could be materially and adversely affected.</w:t>
      </w:r>
    </w:p>
    <w:p>
      <w:pPr>
        <w:spacing w:after="0" w:line="17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profitability depends to a significant degree on our ability to accurately predict and effectively manage our medical care costs. Historically, our medical care ratio, meaning our medical care costs as a percentage of our premium revenue, has fluctuated substantially, and has varied across our health plans. Because the premium</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18</w:t>
      </w:r>
    </w:p>
    <w:p>
      <w:pPr>
        <w:sectPr>
          <w:pgSz w:w="11900" w:h="16838" w:orient="portrait"/>
          <w:cols w:equalWidth="0" w:num="1">
            <w:col w:w="11420"/>
          </w:cols>
          <w:pgMar w:left="240" w:top="679" w:right="239" w:bottom="1440" w:gutter="0" w:footer="0" w:header="0"/>
        </w:sectPr>
      </w:pPr>
    </w:p>
    <w:bookmarkStart w:id="21" w:name="page22"/>
    <w:bookmarkEnd w:id="21"/>
    <w:p>
      <w:pPr>
        <w:ind w:right="60"/>
        <w:spacing w:after="0" w:line="254" w:lineRule="auto"/>
        <w:rPr>
          <w:sz w:val="20"/>
          <w:szCs w:val="20"/>
          <w:color w:val="auto"/>
        </w:rPr>
      </w:pPr>
      <w:r>
        <w:rPr>
          <w:rFonts w:ascii="Arial" w:cs="Arial" w:eastAsia="Arial" w:hAnsi="Arial"/>
          <w:sz w:val="18"/>
          <w:szCs w:val="18"/>
          <w:color w:val="auto"/>
        </w:rPr>
        <w:t>payments we receive are generally fixed in advance and we operate with a narrow profit margin, relatively small changes in our medical care ratio can create significant changes in our overall financial results. For example, if our overall medical care ratio of 85.8% for the year ended December 31, 2019, had been one percentage point higher, or 86.8%, our net income per diluted share for the year ended December 31, 2019 would have been approximately $9.52 rather than our actual net income per diluted share of $11.47, a difference of $1.95.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Many factors may affect our medical care costs, including:</w:t>
      </w:r>
    </w:p>
    <w:p>
      <w:pPr>
        <w:spacing w:after="0" w:line="117" w:lineRule="exact"/>
        <w:rPr>
          <w:sz w:val="20"/>
          <w:szCs w:val="20"/>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utilization of health care services,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underlying risk acuity of our membership,</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patterns in the annual flu season,</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hospital costs,</w:t>
      </w:r>
    </w:p>
    <w:p>
      <w:pPr>
        <w:spacing w:after="0" w:line="9" w:lineRule="exact"/>
        <w:rPr>
          <w:rFonts w:ascii="Arial" w:cs="Arial" w:eastAsia="Arial" w:hAnsi="Arial"/>
          <w:sz w:val="18"/>
          <w:szCs w:val="18"/>
          <w:color w:val="auto"/>
        </w:rPr>
      </w:pPr>
    </w:p>
    <w:p>
      <w:pPr>
        <w:ind w:left="720" w:right="320" w:hanging="334"/>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incidences or acuity of high dollar claims related to catastrophic illnesses or medical conditions for which we do not have adequate reinsurance coverage,</w:t>
      </w: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maternity costs,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state eligibility certification methodologies,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relatively low levels of hospital and specialty provider competition in certain geographic areas,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pharmaceutical products and services,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health care regulations and practices,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epidemics,</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medical technologies, and</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various external factors.</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Many of these factors are beyond our control. The inability to forecast and manage our medical care costs or to establish and maintain a satisfactory medical care ratio, either with respect to a particular health plan or across the consolidated entity, could have a material adverse effect on our business, financial condition, cash flows,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changes in health care laws, and in the health care industry, make it difficult to develop actuarially sound rates.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Comprehensive changes to the U.S. healthcare system make it more difficult for us to manage our business, and increase the likelihood that the assumptions we make with respect to our future operations and results will prove to be inaccurate. The continuing pace of change has made it difficult for us to develop actuarially sound rates because we have limited historical information on which to develop these rates. In the absence of significant historical information to develop actuarial rates, we must make certain assumptions. These assumptions may subsequently prove to be inaccurate. For example, rates of utilization could be significantly higher than we projected, or the assumptions of policymakers about the amount of savings that could be achieved through the use of utilization management in managed care could be flawed. Moreover, our lack of actuarial experience for a particular program, region, or population, could cause us to set our reserves at an inadequate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significantly impacted by volatility associated with the November 2020 election.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Health care is expected to be a central issue in the November 2020 Presidential and Congressional elections. Several Presidential and Congressional candidates are advocating significant changes and reforms in the U.S. health care system, including changes with regard to the Medicaid and Medicare programs, the ACA, and how health care is funded. Other proposed legislation relates to surprising medical billing and drug pricing. The focus among Democratic presidential candidates on Medicare for All, a single payer system that would eliminate reliance on private health care companies, or other health care reforms and associated legislative and programmatic uncertainty tends to create significant price volatility among health care stocks, including the trading price of the stock of the Company. Such volatility may become especially acute as the November election draws closer and perceptions emerge as to how the election of a particular candidate, or how the control of the U.S Senate or the House of Representatives, will impact the chances of adoption in 2021 of reform legislation pertaining to healthcare.</w:t>
      </w:r>
    </w:p>
    <w:p>
      <w:pPr>
        <w:spacing w:after="0" w:line="1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If we are unable to collect the health insurer fee (“HIF”) reimbursement for 2020 from our state partners, our business, financial condition, cash flows, or results of operations could be materially and adversely affected.</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Because Medicaid is a government funded program, Medicaid health plans must request reimbursement for the HIF from respective state partners to offset the impact of this tax. When states reimburse us for the amount of the HIF, that reimbursement is itself subject to income tax, the HIF, and applicable state premium taxes. Because the HIF is not deductible for income tax purposes, our net income is reduced by the full amount of the assessment. The 2020 HIF assessment, related to our Medicaid business, is currently estimated to be $217 million, with an expected tax</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19</w:t>
      </w:r>
    </w:p>
    <w:p>
      <w:pPr>
        <w:sectPr>
          <w:pgSz w:w="11900" w:h="16838" w:orient="portrait"/>
          <w:cols w:equalWidth="0" w:num="1">
            <w:col w:w="11420"/>
          </w:cols>
          <w:pgMar w:left="240" w:top="679" w:right="239" w:bottom="1440" w:gutter="0" w:footer="0" w:header="0"/>
        </w:sectPr>
      </w:pPr>
    </w:p>
    <w:bookmarkStart w:id="22" w:name="page23"/>
    <w:bookmarkEnd w:id="22"/>
    <w:p>
      <w:pPr>
        <w:jc w:val="both"/>
        <w:ind w:right="20"/>
        <w:spacing w:after="0" w:line="254" w:lineRule="auto"/>
        <w:rPr>
          <w:sz w:val="20"/>
          <w:szCs w:val="20"/>
          <w:color w:val="auto"/>
        </w:rPr>
      </w:pPr>
      <w:r>
        <w:rPr>
          <w:rFonts w:ascii="Arial" w:cs="Arial" w:eastAsia="Arial" w:hAnsi="Arial"/>
          <w:sz w:val="18"/>
          <w:szCs w:val="18"/>
          <w:color w:val="auto"/>
        </w:rPr>
        <w:t>gross-up effect from the reimbursement of the assessment of approximately $63 million. Therefore, the total reimbursement needed as a result of the Medicaid-related HIF is currently estimated to be approximately $280 million. The delay or failure of our state partners to reimburse us in full for the 2020 HIF and its related tax effects could have a material adverse effect on our business, financial condition, cash flows, or results of operations.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 impairment charge with respect to our recorded goodwill, or our finite-lived intangible assets, could have a material impact on our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carrying amounts of goodwill and intangible assets, net, amounted to $143 million, and $29 million, respectively.</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and more frequently if impairment indicators are present. Such events or circumstances may include experienced or expected operating cash-flow deterioration or losses, significant losses of membership, loss of state funding, loss of state contracts, and other factors. Goodwill is impaired if the carrying amount of the reporting unit (one of our state health plans) exceeds its estimated fair value. This excess is recorded as an impairment loss and adjusted if necessary for the impact of tax-deductible goodwill. The loss recognized may not exceed the total goodwill allocated to the reporting unit.</w:t>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Finite-lived, separately-identified intangible assets acquired in business combinations are assets that represent future expected benefits but lack physical substance (such as purchased contract rights and provider contracts).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 event or events could occur that would cause us to revise our estimates and assumptions used in analyzing the value of our goodwill, and intangible assets, net. For example, if the responsive bid of one or more of our health plans is not successful, we will lose our Medicaid contract in the applicable state or states. If such state health plans have recorded goodwill and intangible assets, net, the contract loss would result in a non-cash impairment charge. Such a non-cash impairment charge could have a material adverse impact on our financial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reversal of the Medicaid Expansion would have a negative impact on our business.</w:t>
      </w:r>
    </w:p>
    <w:p>
      <w:pPr>
        <w:spacing w:after="0" w:line="13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the states that have elected to participate, the ACA provided for the expansion of the Medicaid program to offer eligibility to nearly all individuals under age 65 with incomes at or below 138% of the federal poverty line. Since January 1, 2014, several of our health plans have participated in the Medicaid Expansion program under the ACA. At December 31, 2019, our membership included approximately 605,000 Medicaid Expansion members, or 18% of our total membership. If the Medicaid Expansion is reversed by repeal of the ACA or otherwise, we could lose this membership, which could have a material adverse effect on our business, financial condition, cash flows, or results of operations.</w:t>
      </w:r>
    </w:p>
    <w:p>
      <w:pPr>
        <w:spacing w:after="0" w:line="7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participation in the Marketplace creates certain risks which could adversely impact our business, financial position, and results of operations.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ACA authorized the creation of state insurance marketplaces (the “Marketplace”), allowing individuals and small groups to purchase federally subsidized health insurance. As of December 31, 2019, we participated in the individual Marketplace in nine states, which represented approximately 8% of our total membership.</w:t>
      </w:r>
    </w:p>
    <w:p>
      <w:pPr>
        <w:spacing w:after="0" w:line="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described above, challenges to the constitutionality of the ACA are currently being litigated. The perceived instability and impending changes in the Marketplace could further promote reduced participation among the uninsured. Further, the withdrawal of cost sharing subsidies and/or premium tax credits, the elimination of the individual mandate to purchase health insurance, the use of special enrollment periods, or any announcement that some or all of our health plans will be leaving the Marketplace, could additionally impact Marketplace enrollment. These market and political dynamics may increase the risk that our Marketplace products will be selected by individuals who have a higher risk profile or utilization rate than we anticipated when we established the pricing for our Marketplace products, leading to financial losses. In addition, because of the immaturity and volatility of the Marketplace markets, it is difficult to predict the full effect of pricing changes. For 2020, we had lowered our Marketplace pricing in an effort to gain market share, but fewer members enrolled with our health plans than we had expected.</w:t>
      </w:r>
    </w:p>
    <w:p>
      <w:pPr>
        <w:spacing w:after="0" w:line="21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20</w:t>
      </w:r>
    </w:p>
    <w:p>
      <w:pPr>
        <w:sectPr>
          <w:pgSz w:w="11900" w:h="16838" w:orient="portrait"/>
          <w:cols w:equalWidth="0" w:num="1">
            <w:col w:w="11420"/>
          </w:cols>
          <w:pgMar w:left="240" w:top="679" w:right="239" w:bottom="1440" w:gutter="0" w:footer="0" w:header="0"/>
        </w:sectPr>
      </w:pPr>
    </w:p>
    <w:bookmarkStart w:id="23" w:name="page24"/>
    <w:bookmarkEnd w:id="23"/>
    <w:p>
      <w:pPr>
        <w:ind w:right="740"/>
        <w:spacing w:after="0" w:line="287" w:lineRule="auto"/>
        <w:rPr>
          <w:sz w:val="20"/>
          <w:szCs w:val="20"/>
          <w:color w:val="auto"/>
        </w:rPr>
      </w:pPr>
      <w:r>
        <w:rPr>
          <w:rFonts w:ascii="Arial" w:cs="Arial" w:eastAsia="Arial" w:hAnsi="Arial"/>
          <w:sz w:val="18"/>
          <w:szCs w:val="18"/>
          <w:b w:val="1"/>
          <w:bCs w:val="1"/>
          <w:i w:val="1"/>
          <w:iCs w:val="1"/>
          <w:color w:val="auto"/>
        </w:rPr>
        <w:t>The Medicare-Medicaid Duals Demonstration Pilot Programs could be discontinued or altered, resulting in a loss of premium revenue.</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coordinate care for those who qualify to receive both Medicare and Medicaid services (the “dual eligibles”), and to deliver services to these individuals in a more financially efficient manner, under the direction of CMS some states implemented demonstration pilot programs to integrate Medicare and Medicaid services for the dual eligibles. The health plans participating in such demonstrations are referred to as Medicare-Medicaid Plans (“MMPs”). We operate MMPs in six states: California, Illinois, Michigan, Ohio, South Carolina, and Texas. At December 31, 2019, our membership included approximately 58,000 integrated MMP members, representing approximately 2% of our total membership. However, the capitation paid to us for dual eligibles is significantly higher than the capitation paid for other members, representing 10% of our total premium revenues in 2019. If the states running the MMP pilot programs conclude that the demonstration pilot programs are not delivering better coordinated care and reduced costs, they could decide to discontinue or substantially alter such programs, resulting in a reduction to our premium revenues.</w:t>
      </w:r>
    </w:p>
    <w:p>
      <w:pPr>
        <w:spacing w:after="0" w:line="8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Our health plans operate with very low profit margins, and small changes in operating performance or slight changes to our accounting estimates will have a disproportionate impact on our reported net income.</w:t>
      </w:r>
    </w:p>
    <w:p>
      <w:pPr>
        <w:spacing w:after="0" w:line="6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substantial portion of our premium revenue is subject to contract provisions pertaining to medical cost expenditure floors and corridors, administrative cost and profit ceilings, premium stabilization programs, and cost-plus and performance-based reimbursement programs. Many of these contract provisions are complex, or are poorly or ambiguously drafted, and thus are subject to differing interpretations by us and the relevant government agency with whom we contract. If the applicable government agency disagrees with our interpretation or implementation of a particular contract provision, we could be required to adjust the amount of our obligation under that provision. Any such adjustment could have a material adverse effect on our business, financial condition, cash flows, or results of operations.</w:t>
      </w:r>
    </w:p>
    <w:p>
      <w:pPr>
        <w:spacing w:after="0" w:line="10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In addition, many of our contracts contain provisions pertaining to at-risk premiums that require us to meet certain quality performance measures to earn all of our contract revenues. If we are unsuccessful in achieving the stated performance measure, we will be unable to recognize the revenue associated with that measure, which could have a material adverse effect on our business, financial condition, cash flows, or results of operations.</w:t>
      </w:r>
    </w:p>
    <w:p>
      <w:pPr>
        <w:spacing w:after="0" w:line="74"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b w:val="1"/>
          <w:bCs w:val="1"/>
          <w:i w:val="1"/>
          <w:iCs w:val="1"/>
          <w:color w:val="auto"/>
        </w:rPr>
        <w:t>We are subject to retroactive adjustment to our Medicaid premium revenue as a result of retroactive risk adjustment; retroactive changes to contract terms and the resolution of differing interpretations of those terms; the difficulty of estimating performance-based premium; and retroactive adjustments to “blended” premium rates to reflect the actual mix of members captured in those blended rates.</w:t>
      </w:r>
    </w:p>
    <w:p>
      <w:pPr>
        <w:spacing w:after="0" w:line="9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 Any circumstance such as those described above could have a material adverse effect on our business, financial condition, cash flows, or results of operations.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contract with physicians, hospitals, and other providers as a means to ensure access to healthcare services for our members, to manage medical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There can be no assurance that we will be able to successfully attract and retain providers to maintain a competitive network in the geographic areas we serve. In addition, in any particular market, providers could refuse to contract with us, demand higher payments, or take other actions which could result in higher medical care costs, disruption to provider access for current members, a decline in our growth rate, or difficulty in meeting regulatory or accreditation requirements.</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20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21</w:t>
      </w:r>
    </w:p>
    <w:p>
      <w:pPr>
        <w:sectPr>
          <w:pgSz w:w="11900" w:h="16838" w:orient="portrait"/>
          <w:cols w:equalWidth="0" w:num="1">
            <w:col w:w="11420"/>
          </w:cols>
          <w:pgMar w:left="240" w:top="657" w:right="239" w:bottom="1440" w:gutter="0" w:footer="0" w:header="0"/>
        </w:sectPr>
      </w:pPr>
    </w:p>
    <w:bookmarkStart w:id="24" w:name="page25"/>
    <w:bookmarkEnd w:id="24"/>
    <w:p>
      <w:pPr>
        <w:jc w:val="both"/>
        <w:ind w:right="80"/>
        <w:spacing w:after="0" w:line="256" w:lineRule="auto"/>
        <w:rPr>
          <w:sz w:val="20"/>
          <w:szCs w:val="20"/>
          <w:color w:val="auto"/>
        </w:rPr>
      </w:pPr>
      <w:r>
        <w:rPr>
          <w:rFonts w:ascii="Arial" w:cs="Arial" w:eastAsia="Arial" w:hAnsi="Arial"/>
          <w:sz w:val="18"/>
          <w:szCs w:val="18"/>
          <w:color w:val="auto"/>
        </w:rPr>
        <w:t>In some markets, certain providers, particularly hospitals, physician/hospital organizations, and some specialists, may have significant market positions or even monopolies. If these providers refuse to contract with us or utilize their market position to negotiate favorable contracts which are disadvantageous to us, our profitability in those areas could be adversely affected.</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Some providers that render services to our members are not contracted with our health plans. In those cases, there is no pre-established understanding between the provider and our health plan about the amount of compensation that is due to the provider. In some states, the amount of compensation is defined by law or regulation, but in most instances it is either not defined or it is established by a standard that is not clearly translatable into dollars. In such instances, providers may claim they are underpaid for their services and may either litigate or arbitrate their dispute with our health plan. The uncertainty of the amount to pay to such providers and the possibility of subsequent adjustment of the payment could adversely affect our business, financial condition, cash flows, or results of operations.</w:t>
      </w:r>
    </w:p>
    <w:p>
      <w:pPr>
        <w:spacing w:after="0" w:line="7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The exorbitant cost of specialty drugs and new generic drugs could have a material adverse effect on the level of our medical costs and our results of operations.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Introduction of new high cost specialty drugs and sudden costs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has an adverse impact on our financial condition and results of operations. In addition,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geographic variation in utilization of new and existing pharmaceuticals, and changes in discounts. Although we will continue to work with state Medicaid agencies in an effort to ensure that we receive appropriate and actuarially sound reimbursement for all new drug therapies and pharmaceuticals trends, there can be no assurance that we will be successful in this regard.</w:t>
      </w:r>
    </w:p>
    <w:p>
      <w:pPr>
        <w:spacing w:after="0" w:line="19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rely on the accuracy of eligibility lists provided by state governments. Inaccuracies in those lists would negatively affect our results of operations.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 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 Further, when a state implements new programs to determine eligibility, establishes new processes to assign or enroll eligible members into health plans, or chooses new subcontractors, there is an increased potential for an unanticipated impact on the overall number of members assigned to managed care health plans. Whenever a state effects an eligibility redetermination for any reason, there is generally an associated reduction in Medicaid membership, which could have an adverse effect on our premium revenues and results of operations.</w:t>
      </w:r>
    </w:p>
    <w:p>
      <w:pPr>
        <w:spacing w:after="0" w:line="8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insolvency of a delegated provider could obligate us to pay its referral claims, which could have a material adverse effect on our business, financial condition, cash flows, or results of operations.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Many of our primary care physicians and a small portion of our specialists and hospitals are paid on a capitated basis. Under capitation arrangements, we pay a fixed amount per member per month to the provider without regard to the frequency, extent, or nature of the medical services actually furnished. Due to insolvency or other circumstances, such providers may be unable or unwilling to pay claims they have incurred with third parties in connection with referral services provided to our members. The inability or unwillingness of delegated providers to pay referral claims presents us with both immediate financial risk and potential disruption to member care, as well as potential loss of members. Depending on states’ laws, we may be held liable for such unpaid referral claims even though the delegated provider has contractually assumed such risk. Additionally, competitive pressures or practical regulatory considerations may force us to pay such claims even when we have no legal obligation to do so; or we have already paid claims to a delegated provider and such payments cannot be recouped when the delegated provider becomes insolvent. Liabilities incurred or losses suffered as a result of provider insolvency or other circumstances could have a material adverse effect on our business, financial condition, cash flows, or results of operations.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22</w:t>
      </w:r>
    </w:p>
    <w:p>
      <w:pPr>
        <w:sectPr>
          <w:pgSz w:w="11900" w:h="16838" w:orient="portrait"/>
          <w:cols w:equalWidth="0" w:num="1">
            <w:col w:w="11420"/>
          </w:cols>
          <w:pgMar w:left="240" w:top="679" w:right="239" w:bottom="1440" w:gutter="0" w:footer="0" w:header="0"/>
        </w:sectPr>
      </w:pPr>
    </w:p>
    <w:bookmarkStart w:id="25" w:name="page26"/>
    <w:bookmarkEnd w:id="25"/>
    <w:p>
      <w:pPr>
        <w:ind w:right="200"/>
        <w:spacing w:after="0" w:line="287" w:lineRule="auto"/>
        <w:rPr>
          <w:sz w:val="20"/>
          <w:szCs w:val="20"/>
          <w:color w:val="auto"/>
        </w:rPr>
      </w:pPr>
      <w:r>
        <w:rPr>
          <w:rFonts w:ascii="Arial" w:cs="Arial" w:eastAsia="Arial" w:hAnsi="Arial"/>
          <w:sz w:val="18"/>
          <w:szCs w:val="18"/>
          <w:b w:val="1"/>
          <w:bCs w:val="1"/>
          <w:i w:val="1"/>
          <w:iCs w:val="1"/>
          <w:color w:val="auto"/>
        </w:rPr>
        <w:t>State and federal budget deficits may result in Medicaid, CHIP, or Medicare funding cuts which could have a material adverse effect on our business, financial condition, cash flows, or results of operations.</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Nearly all of our premium revenues come from the joint federal and state funding of the Medicaid, Medicare, and CHIP programs. The states in which we operate regularly face significant budgetary pressures. As discussed below, such budgetary pressures are particularly intense in the Commonwealth of Puerto Rico. State budgetary pressures may result in unexpected Medicaid, CHIP, or Medicare rate cuts which could reduce our revenues and profit margins. Moreover, some federal deficit reduction or entitlement reform proposals would fundamentally change the structure and financing of the Medicaid program. A number of these proposals include both tax increases and spending reductions in discretionary programs and mandatory programs, such as Social Security, Medicare, and Medicaid.</w:t>
      </w:r>
    </w:p>
    <w:p>
      <w:pPr>
        <w:spacing w:after="0" w:line="10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are unable to determine how any future congressional spending cuts will affect Medicare and Medicaid reimbursement. We believe there will continue to be legislative and regulatory proposals at the federal and state levels directed at containing or lowering the cost of health care that, if adopted, could have a material adverse effect on our business, financial condition, cash flows, or results of operations.</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The Commonwealth of Puerto Rico may fail to pay the premiums of our Puerto Rico health plan, which could negatively impact our business, financial condition, cash flows, or results of operations.</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government of Puerto Rico continues to struggle with major fiscal and liquidity challenges. The extreme financial difficulties faced by the Commonwealth may make it very difficult for ASES, the Puerto Rico Medicaid agency, to pay our Puerto Rico health plan under the terms of the parties’ Medicaid contract. As of December 31, 2019, our Puerto Rico health plan served approximately 176,000 members, and had recognized premium revenue of approximately $133 million in the fourth quarter of 2019. A default by ASES on its payment obligations under our Medicaid contract, or a determination by ASES to terminate our contract based on insufficient funds available, could result in our having paid, or in our having to pay, provider claims in amounts for which we are not paid reimbursement, and could make it unfeasible for our Puerto Rico health plan to continue to operate. A default by ASES or termination of our Puerto Rico Medicaid contract could have a material adverse effect on our business, financial condition, cash flows, or results of operations.</w:t>
      </w:r>
    </w:p>
    <w:p>
      <w:pPr>
        <w:spacing w:after="0" w:line="7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Receipt of inadequate or significantly delayed premiums could negatively affect our business, financial condition, cash flows, or results of operations.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premium revenues consist of fixed monthly payments per member, and supplemental payments for other services such as maternity deliveries. These premiums are fixed by contract, and we are obligated during the contract periods to provide healthcare services as established by the state governments. We use a large portion of our revenues to pay the costs of healthcare services delivered to our members. If premiums do not increase when expenses related to healthcare services rise, our medical margins will be compressed, and our earnings will be negatively affected. A state could increase hospital or other provider rates without making a commensurate increase in the rates paid to us, or could lower our rates without making a commensurate reduction in the rates paid to hospitals or other providers. In addition, if the actuarial assumptions made by a state in implementing a rate or benefit change are incorrect or are at variance with the particular utilization patterns of the members of one or more of our health plans, our medical margins could be reduced. Any of these rate adjustments in one or more of the states in which we operate could have a material adverse effect on our business, financial condition, cash flows, or results of operations.</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Furthermore, a state or commonwealth undergoing a budget crisis may significantly delay the premiums paid to one of our health plans. Any significant delay in the monthly payment of premiums to any of our health plans could have a material adverse effect on our business, financial condition, cash flows, or results of operations.</w:t>
      </w:r>
    </w:p>
    <w:p>
      <w:pPr>
        <w:spacing w:after="0" w:line="7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does not renew its mandated program or the federal government denies the state’s application for renewal, our business would suffer as a result of a likely decrease in membership.</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23</w:t>
      </w:r>
    </w:p>
    <w:p>
      <w:pPr>
        <w:sectPr>
          <w:pgSz w:w="11900" w:h="16838" w:orient="portrait"/>
          <w:cols w:equalWidth="0" w:num="1">
            <w:col w:w="11420"/>
          </w:cols>
          <w:pgMar w:left="240" w:top="657" w:right="239" w:bottom="1440" w:gutter="0" w:footer="0" w:header="0"/>
        </w:sectPr>
      </w:pPr>
    </w:p>
    <w:bookmarkStart w:id="26" w:name="page27"/>
    <w:bookmarkEnd w:id="26"/>
    <w:p>
      <w:pPr>
        <w:ind w:right="160"/>
        <w:spacing w:after="0" w:line="287" w:lineRule="auto"/>
        <w:rPr>
          <w:sz w:val="20"/>
          <w:szCs w:val="20"/>
          <w:color w:val="auto"/>
        </w:rPr>
      </w:pPr>
      <w:r>
        <w:rPr>
          <w:rFonts w:ascii="Arial" w:cs="Arial" w:eastAsia="Arial" w:hAnsi="Arial"/>
          <w:sz w:val="18"/>
          <w:szCs w:val="18"/>
          <w:b w:val="1"/>
          <w:bCs w:val="1"/>
          <w:i w:val="1"/>
          <w:iCs w:val="1"/>
          <w:color w:val="auto"/>
        </w:rPr>
        <w:t>Large-scale medical emergencies in one or more states in which we operate our health plans could significantly increase utilization rates and medical costs.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Large-scale medical emergencies can take many forms and be associated with widespread illness or medical conditions. For example, natural disasters, such as a major earthquake or wildfire in California, or a major hurricane affecting Florida, Puerto Rico, South Carolina or Texas, could have a significant impact on the health of a large number of our covered members. Other conditions that could impact our members include a virulent influenza season or epidemic, newly emergent mosquito-borne illnesses, such as the Zika virus, the West Nile virus, or the Chikungunya virus, or new viruses such as the coronavirus, conditions for which vaccines may not exist, are not effective, or have not been widely administered.</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We seek to set our IBNP reserves appropriately to account for anticipatable spikes in utilization, such as for the flu season. However, if one of the states in which we operate were to experience a large-scale natural disaster, a viral epidemic or pandemic, a significant terrorism attack, or some other large-scale event affecting the health of a large number of our members, our covered medical expenses in that state would rise, which could have a material adverse effect on our business, financial condition, cash flows, or results of operations.</w:t>
      </w:r>
    </w:p>
    <w:p>
      <w:pPr>
        <w:spacing w:after="0" w:line="18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If state regulators do not approve payments of dividends and distributions by our subsidiaries, it may negatively affect our ability to meet our debt service and other obligations.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will depend on their operating results and will be subject to applicable laws and restrictions contained in agreements governing the debt of such subsidiaries. In addition, our health plan subsidiaries are subject to laws and regulations that limit the amount of ordinary dividends and distributions that they can pay to us without prior approval of, or notification to, state regulators. In California, our health plan may dividend, without notice to or approval of the California Department of Managed Health Care, amounts by which its tangible net equity exceeds 130% of the tangible net equity requirement. In general, our other health plans must give thirty days’ advance notice and the opportunity to disapprove “extraordinary” dividends to the respective state departments of insurance for amounts that exceed either (a) ten percent of surplus or net worth at the prior year end or (b) the net income for the prior year, depending on the respective state statute. The discretion of the state regulators, if any, in approving or disapproving a dividend is not clearly defined. Our health plans generally must provide notice to the applicable state regulator prior to paying a dividend or other distribution to us. Our parent company received $1,373 million, $288 million, and $245 million in dividends from its regulated health plan subsidiaries during 2019, 2018 and 2017, respectively. The aggregate additional amounts our health plan subsidiaries could have paid us at December 31, 2019 and 2018, without approval of the regulatory authorities, were approximately $41 million and $126 million, respectively. If the regulators were to deny or significantly restrict our subsidiaries’ requests to pay dividends to us, the funds available to our Company as a whole would be limited, which could have a material adverse effect on our business, financial condition, cash flows, or results of operations. For example, we could be hindered in our ability to make debt service payments under our senior notes or credit agreement.</w:t>
      </w:r>
    </w:p>
    <w:p>
      <w:pPr>
        <w:spacing w:after="0" w:line="79"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i w:val="1"/>
          <w:iCs w:val="1"/>
          <w:color w:val="auto"/>
        </w:rPr>
        <w:t>Our use and disclosure of personally identifiable information and other non-public information, including protected health information, is subject to federal and state privacy and security regulations, and our failure to comply with those regulations or to adequately secure the information we hold could result in significant liability or reputational harm.</w:t>
      </w:r>
    </w:p>
    <w:p>
      <w:pPr>
        <w:spacing w:after="0" w:line="82"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State and federal laws and regulations including, but not limited to, HIPAA and the Gramm-Leach-Bliley Act, govern the collection, dissemination, use, privacy, confidentiality, security, availability, and integrity of personally identifiable information (“PII”), including protected health information (“PHI”). HIPAA establishes basic national privacy and security standards for protection of PHI by covered entities and business associates, including health plans such as ours. HIPAA requires covered entities like us to develop and maintain policies and procedures for PHI that is used or disclosed, and to adopt administrative, physical, and technical safeguards to protect PHI. HIPAA also implemented the use of standard transaction code sets and standard identifiers that covered entities must use when submitting or receiving certain electronic health care transactions, including activities associated with the billing and collection of health care claims.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24</w:t>
      </w:r>
    </w:p>
    <w:p>
      <w:pPr>
        <w:sectPr>
          <w:pgSz w:w="11900" w:h="16838" w:orient="portrait"/>
          <w:cols w:equalWidth="0" w:num="1">
            <w:col w:w="11420"/>
          </w:cols>
          <w:pgMar w:left="240" w:top="657" w:right="239" w:bottom="1440" w:gutter="0" w:footer="0" w:header="0"/>
        </w:sectPr>
      </w:pPr>
    </w:p>
    <w:bookmarkStart w:id="27" w:name="page28"/>
    <w:bookmarkEnd w:id="27"/>
    <w:p>
      <w:pPr>
        <w:ind w:right="40"/>
        <w:spacing w:after="0" w:line="269" w:lineRule="auto"/>
        <w:rPr>
          <w:sz w:val="20"/>
          <w:szCs w:val="20"/>
          <w:color w:val="auto"/>
        </w:rPr>
      </w:pPr>
      <w:r>
        <w:rPr>
          <w:rFonts w:ascii="Arial" w:cs="Arial" w:eastAsia="Arial" w:hAnsi="Arial"/>
          <w:sz w:val="17"/>
          <w:szCs w:val="17"/>
          <w:color w:val="auto"/>
        </w:rPr>
        <w:t>Mandatory penalties for HIPAA violations range from $100 to $50,000 per violation, and up to $1.5 million per violation of the same standard per calendar year. A single breach incident can result in violations of multiple standards, resulting in penalties in excess of $1.5 million. If a person knowingly or intentionally obtains or discloses PHI in violation of HIPAA requirements, criminal penalties may also be imposed. HIPAA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in state civil suits such as those for negligence or recklessness in the misuse or breach of PHI. We have experienced HIPAA breaches in the past, including breaches affecting over 500 individuals.</w:t>
      </w:r>
    </w:p>
    <w:p>
      <w:pPr>
        <w:spacing w:after="0" w:line="8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New health information standards, whether implemented pursuant to HIPAA, congressional action, or otherwise, could have a significant effect on the manner in which we must handle healthcare related data, and the cost of complying with these standards could be significant. If we do not comply with existing or new laws and regulations related to PHI, PII, or non-public information, we could be subject to criminal or civil sanctions. Any security breach involving the misappropriation, loss, or other unauthorized disclosure or use of confidential member information, whether by us or a third party, such as our vendors, could subject us to civil and criminal penalties, divert management’s time and energy, and have a material adverse effect on our business, financial condition, cash flows, or results of operations.</w:t>
      </w:r>
    </w:p>
    <w:p>
      <w:pPr>
        <w:spacing w:after="0" w:line="7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 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 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 The regulations and contractual requirements applicable to participants in these public-sector programs are complex and subject to change. 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can be brought by any individual on behalf of the government.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have to defend a false claim action, pay fines, or be excluded from the Medicare, Medicaid, or other state or federal healthcare programs as a result of an investigation arising out of such action. We have been the subject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in the past and other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may be filed against us in the future. If we are subject to liability under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other actions, our business, financial condition, cash flows, or results of operations could be adversely affected.</w:t>
      </w:r>
    </w:p>
    <w:p>
      <w:pPr>
        <w:spacing w:after="0" w:line="7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Failure to attain profitability in any newly acquired health plans or new start-up operations could negatively affect our results of operations.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Start-up costs associated with a new business can be substantial. For example, to obtain a certificate of authority to operate as a health maintenance organization in most jurisdictions, we must first establish a provider network, have infrastructure and required systems in place, and demonstrate our ability to obtain a state contract and process claims. Often, we are also required to contribute significant capital to fund mandated net worth requirements, performance bonds or escrows, or contingency guaranties. If we are unsuccessful in obtaining the certificate of</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25</w:t>
      </w:r>
    </w:p>
    <w:p>
      <w:pPr>
        <w:sectPr>
          <w:pgSz w:w="11900" w:h="16838" w:orient="portrait"/>
          <w:cols w:equalWidth="0" w:num="1">
            <w:col w:w="11420"/>
          </w:cols>
          <w:pgMar w:left="240" w:top="679" w:right="239" w:bottom="1440" w:gutter="0" w:footer="0" w:header="0"/>
        </w:sectPr>
      </w:pPr>
    </w:p>
    <w:bookmarkStart w:id="28" w:name="page29"/>
    <w:bookmarkEnd w:id="28"/>
    <w:p>
      <w:pPr>
        <w:ind w:right="40"/>
        <w:spacing w:after="0" w:line="256" w:lineRule="auto"/>
        <w:rPr>
          <w:sz w:val="20"/>
          <w:szCs w:val="20"/>
          <w:color w:val="auto"/>
        </w:rPr>
      </w:pPr>
      <w:r>
        <w:rPr>
          <w:rFonts w:ascii="Arial" w:cs="Arial" w:eastAsia="Arial" w:hAnsi="Arial"/>
          <w:sz w:val="18"/>
          <w:szCs w:val="18"/>
          <w:color w:val="auto"/>
        </w:rPr>
        <w:t>authority, winning the bid to provide services, or attracting members in sufficient numbers to cover our costs, the new business could fail. We also could be required by the state or commonwealth to continue to provide services for some period of time without sufficient revenue to cover our ongoing costs or to recover our start-up costs.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Even if we are successful in acquiring or establishing a profitable health plan in a new jurisdiction, increasing membership, revenues, and medical costs would trigger increased mandated net worth requirements which could substantially exceed the net income generated by the health plan. Rapid growth in an existing jurisdiction will also result in increased net worth requirements. In such circumstances, we may not be able to fund on a timely basis, or at all, the increased net worth requirements with our available cash resources. The expenses associated with starting up a health plan in a new jurisdiction, expanding a health plan in an existing jurisdiction, or acquiring a new health plan, could have a material adverse effect on our business, financial condition, cash flows, or results of operations.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Failure to maintain effective internal controls over financial reporting could have a material adverse effect on our business, operating results, and stock price, and could subject us to sanctions by regulatory authorities.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have identified material weaknesses in our internal control over financial reporting in the past, which have subsequently been remediated. If additional material weaknesses in our internal control over financial reporting are discovered or occur in the future, our consolidated financial statements may contain material misstatements and we could be required to restate our financial results.</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Sarbanes-Oxley Act of 2002 requires, among other things, that we maintain effective internal control over financial reporting. In particular, we must perform system and process evaluation and testing of our internal controls over financial reporting to allow management to report on, and our independent registered public accounting firm to attest to, our internal controls over financial reporting as required by Section 404 of the Sarbanes-Oxley Act of 2002. Our future testing, or the subsequent testing by our independent registered public accounting firm, may reveal deficiencies in our internal controls over financial reporting that are deemed to be material weaknesses. If we are unable to comply with the requirements of Section 404 in a timely manner, or if we or our independent registered public accounting firm identify deficiencies in our internal controls over financial reporting that are deemed to be material weaknesses, the market price of our stock could decline and we could be subject to sanctions or investigations by the New York Stock Exchange, SEC, or other regulatory authorities which could have a material adverse effect on our business, financial condition, cash flows,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leadership of our chief executive officer and other executive officers and key employees.</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late 2017, the board hired Joe Zubretsky as our chief executive officer. Mr. Zubretsky, in turn, has hired other senior level executives. Under the leadership and direction of Mr. Zubretsky, our executive team launched a vigorous turnaround plan, including many profit improvement initiatives. Our turnaround plan and operational improvements are highly dependent on the efforts of Mr. Zubretsky and our other key executive officers and employees. The loss of their leadership, expertise, and experience could negatively impact our operations. Our ability to replace them or any other key employee may be difficult and may take an extended period of time because of the limited number of individuals in the healthcare industry who have the breadth and depth of skills and experience necessary to operate and lead a business such as ours. Competition to hire from this limited pool is intense, and we may be unable to hire, train, retain, or motivate these personnel. If we are unsuccessful in recruiting, retaining, managing, and motivating such personnel, our business, financial condition, cash flows, or results of operations could be adversely affected.</w:t>
      </w:r>
    </w:p>
    <w:p>
      <w:pPr>
        <w:spacing w:after="0" w:line="19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or contract provisions governing our operations, or changes in interpretations of those laws and regulations,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26</w:t>
      </w:r>
    </w:p>
    <w:p>
      <w:pPr>
        <w:sectPr>
          <w:pgSz w:w="11900" w:h="16838" w:orient="portrait"/>
          <w:cols w:equalWidth="0" w:num="1">
            <w:col w:w="11420"/>
          </w:cols>
          <w:pgMar w:left="240" w:top="679" w:right="239" w:bottom="1440" w:gutter="0" w:footer="0" w:header="0"/>
        </w:sectPr>
      </w:pPr>
    </w:p>
    <w:bookmarkStart w:id="29" w:name="page30"/>
    <w:bookmarkEnd w:id="29"/>
    <w:p>
      <w:pPr>
        <w:ind w:right="180"/>
        <w:spacing w:after="0" w:line="256" w:lineRule="auto"/>
        <w:rPr>
          <w:sz w:val="20"/>
          <w:szCs w:val="20"/>
          <w:color w:val="auto"/>
        </w:rPr>
      </w:pPr>
      <w:r>
        <w:rPr>
          <w:rFonts w:ascii="Arial" w:cs="Arial" w:eastAsia="Arial" w:hAnsi="Arial"/>
          <w:sz w:val="18"/>
          <w:szCs w:val="18"/>
          <w:color w:val="auto"/>
        </w:rPr>
        <w:t>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72"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If we sustain a cyber-attack or suffer privacy or data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part of our normal operations, we routinely collect, process, store, and transmit large amounts of data, including sensitive personal information as well as proprietary or confidential information relating to our business or third parties. To ensure information security, we have implemented controls designed to protect the confidentiality, integrity and availability of this data and the systems that store and transmit such data. However, our information technology systems and safety control systems are subject to a growing number of threats from computer programmers, hackers, and other adversaries that may be able to penetrate our network security and misappropriate our confidential information or that of third parties, create system disruptions, or cause damage, security issues, or shutdowns. They also may be able to develop and deploy viruses, worms, and other malicious software programs that attack our systems or otherwise exploit security vulnerabilities. Because the techniques used to circumvent, gain access to, or sabotage security systems can be highly sophisticated and change frequently, they often are not recognized until launched against a target, and may originate from less regulated and remote areas around the world. We may be unable to anticipate these techniques or implement adequate preventive measures, resulting in potential data loss and damage to our systems. Our systems are also subject to compromise from internal threats such as improper action by employees, including malicious insiders, or by vendors, counterparties, and other third parties with otherwise legitimate access to our systems. Our policies, employee training (including phishing prevention training), procedures and technical safeguards may not prevent all improper access to our network or proprietary or confidential information by employees, vendors, counterparties, or other third parties. Our facilities may also be vulnerable to security incidents or security attacks, acts of vandalism or theft, misplaced or lost data, human errors, or other similar events that could negatively affect our systems and our and our members’ data.</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we face the ongoing challenge of managing access controls in a complex environment. The process of enhancing our protective measures can itself create a risk of systems disruptions and security issues. Given the breadth of our operations and the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 identified vulnerabilities, previously identified vulnerabilities must also be updated. We are at risk that cyber attackers exploit these known vulnerabilities before they have been addressed. The complexity of our systems and platforms, the increased frequency at which vendors are issuing security patches to their products, our need to test patches, and in some instances, coordinate with third-parties before they can be deployed, all could further increase our risks.</w:t>
      </w:r>
    </w:p>
    <w:p>
      <w:pPr>
        <w:spacing w:after="0" w:line="8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business is dependent on effective and secure information systems that assist us in, among other things,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primary care and specialist physician roster access, membership verifications, claims status, and other information. If we experience a reduction in the performance, reliability, or availability of our information and medical management systems, our operations, ability to pay claims, ability to produce timely and accurate reports, and ability to maintain proper security measures could be adversely affected.</w:t>
      </w:r>
    </w:p>
    <w:p>
      <w:pPr>
        <w:spacing w:after="0" w:line="1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For example, in February 2019, we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27</w:t>
      </w:r>
    </w:p>
    <w:p>
      <w:pPr>
        <w:sectPr>
          <w:pgSz w:w="11900" w:h="16838" w:orient="portrait"/>
          <w:cols w:equalWidth="0" w:num="1">
            <w:col w:w="11420"/>
          </w:cols>
          <w:pgMar w:left="240" w:top="679" w:right="239" w:bottom="1440" w:gutter="0" w:footer="0" w:header="0"/>
        </w:sectPr>
      </w:pPr>
    </w:p>
    <w:bookmarkStart w:id="30" w:name="page31"/>
    <w:bookmarkEnd w:id="30"/>
    <w:p>
      <w:pPr>
        <w:ind w:right="180"/>
        <w:spacing w:after="0" w:line="254" w:lineRule="auto"/>
        <w:rPr>
          <w:sz w:val="20"/>
          <w:szCs w:val="20"/>
          <w:color w:val="auto"/>
        </w:rPr>
      </w:pPr>
      <w:r>
        <w:rPr>
          <w:rFonts w:ascii="Arial" w:cs="Arial" w:eastAsia="Arial" w:hAnsi="Arial"/>
          <w:sz w:val="18"/>
          <w:szCs w:val="18"/>
          <w:color w:val="auto"/>
        </w:rPr>
        <w:t>entered into a master services agreement with a third party vendor who manages certain of our information technology infrastructure services including, among other things, our information technology operations, end-user services, and data centers. If any licensor or vendor of any technology which is integral to our operations were to become insolvent or otherwise fail to support the technology sufficiently, our operations could be negatively affected.</w:t>
      </w:r>
    </w:p>
    <w:p>
      <w:pPr>
        <w:spacing w:after="0" w:line="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and increased security risks. Any inability or failure by us or our vendors to properly maintain our information management systems could result in operational disruptions, loss of existing members, providers, and customers, difficulty in attracting new members, providers, and customers, disputes with members, providers, and customers, regulatory or other legal or compliance problems, and significant increases in administrative expenses and/or other adverse consequences.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outsourcing services and functions to third parties.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contract with third party vendors and service providers who provide services to us and our subsidiaries or to whom we delegate selected functions. Some of these third-parties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In addition, we may have disagreements with our third party vendors or service providers regarding relative responsibilities for any such failures or incidents under applicable business associate agreements or other applicable outsourcing agreements. Any contractual remedies and/or indemnification obligations we may have for vendor or service provider failures or incidents may not be adequate to fully compensate us for any losses suffered as a result of any vendor’s failure to satisfy its obligations to us or under applicable law. Our outsourcing arrangements could be adversely impacted by changes in vendors’ or service providers’ operations or financial condition or other matters outside of our control. Violations of, or noncompliance with, laws and/or regulations governing our business or noncompliance with contract terms by third party vendors and service providers could increase our exposure to liability to our members, providers, or other third parties, or could result in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and may incur significant costs and/or experience significant disruption to our operations in connection with any such vendor or service provider transition. As a result, we may not be able to meet the full demands of our members or customers and, in turn, our business, financial condition, and results of operations may be harmed. In addition, we may not fully realize the anticipated economic and other benefits from our outsourcing projects or other relationships we enter into with third party vendors and service providers, as a result of regulatory restrictions on outsourcing, unanticipated delays in transitioning our operations to the third party, vendor or service provider noncompliance with contract terms, unanticipated costs or expenses, or violations of laws and/or regulations, or otherwise. This could result in substantial costs or other operational or financial problems that could have a material adverse effect on our business, financial condition, cash flows, or results of operations.</w:t>
      </w:r>
    </w:p>
    <w:p>
      <w:pPr>
        <w:spacing w:after="0" w:line="7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Any changes to the laws and regulations governing our business, or the interpretation and enforcement of those laws or regulations, could require us to modify our operations and could negatively impact our operating results.</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These laws and regulations, along with the terms of our government contracts, regulate how we do business, what services we offer, and how we interact with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may also change. Changes in existing laws or regulations, or their interpretations, or the enactment of new laws or regulations, could reduce our profitability by imposing additional capital requirements, increasing our liability, increasing our administrative and</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28</w:t>
      </w:r>
    </w:p>
    <w:p>
      <w:pPr>
        <w:sectPr>
          <w:pgSz w:w="11900" w:h="16838" w:orient="portrait"/>
          <w:cols w:equalWidth="0" w:num="1">
            <w:col w:w="11420"/>
          </w:cols>
          <w:pgMar w:left="240" w:top="679" w:right="239" w:bottom="1440" w:gutter="0" w:footer="0" w:header="0"/>
        </w:sectPr>
      </w:pPr>
    </w:p>
    <w:bookmarkStart w:id="31" w:name="page32"/>
    <w:bookmarkEnd w:id="31"/>
    <w:p>
      <w:pPr>
        <w:jc w:val="both"/>
        <w:ind w:right="360"/>
        <w:spacing w:after="0" w:line="256" w:lineRule="auto"/>
        <w:rPr>
          <w:sz w:val="20"/>
          <w:szCs w:val="20"/>
          <w:color w:val="auto"/>
        </w:rPr>
      </w:pPr>
      <w:r>
        <w:rPr>
          <w:rFonts w:ascii="Arial" w:cs="Arial" w:eastAsia="Arial" w:hAnsi="Arial"/>
          <w:sz w:val="18"/>
          <w:szCs w:val="18"/>
          <w:color w:val="auto"/>
        </w:rPr>
        <w:t>other costs, increasing mandated benefits, forcing us to restructure our relationships with providers, requiring us to implement additional or different programs and systems, or making it more difficult to predict future results. Changes in the interpretation of our contracts could also reduce our profitability if we have detrimentally relied on a prior interpretation.</w:t>
      </w:r>
    </w:p>
    <w:p>
      <w:pPr>
        <w:spacing w:after="0" w:line="7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encounter data may be inaccurate or incomplete, which could have a material adverse effect on our results of operations, financial condition, cash flows and ability to bid for, and continue to participate in, certain programs.</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expended and may continue to expend additional effort and incur significant additional costs to collect or correct inaccurate or incomplete encounter data and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w:t>
      </w:r>
    </w:p>
    <w:p>
      <w:pPr>
        <w:spacing w:after="0" w:line="9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 adversely affect the premium rates we receive and how membership is assigned to us and subject us to financial penalties, which could have a material adverse effect on our business, financial condition, cash flows, or results of operations, and on our ability to bid for, and continue to participate in, certain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by activist stockholders or others could divert management’s time and energy</w:t>
      </w:r>
      <w:r>
        <w:rPr>
          <w:rFonts w:ascii="Arial" w:cs="Arial" w:eastAsia="Arial" w:hAnsi="Arial"/>
          <w:sz w:val="18"/>
          <w:szCs w:val="18"/>
          <w:color w:val="auto"/>
        </w:rPr>
        <w:t>.</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be subject to actions or proposals from activist stockholders or others that may not align with our business strategies or the interests of our other stockholders. Responding to such actions could be costly and time-consuming, and divert the attention of our senior management team. In addition, such actions may cause periods of fluctuation in our stock price based on temporary or speculative market perceptions or other factors that do not necessarily reflect the underlying fundamentals and prospects of our business, which could also increase our cost of capital.</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Because our corporate headquarters are located in Southern California, our business operations may be significantly disrupted as a result of a major earthquake or wildfire.</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corporate headquarters are located in Long Beach, California. In addition, some of our health plans’ claims are processed in Long Beach, California. Southern California is exposed to a statistically greater risk of a major earthquake and wildfires than most other parts of the United States. If a major earthquake or wildfire were to strike Southern California, our corporate functions and claims processing could be significantly impaired for a substantial period of time. If there is a major Southern California earthquake or wildfire, there can be no assurances that our disaster recovery plan will be successful or that the business operations of our health plans, including those that are remote from any such event, would not be substantially impacted.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claims related to litigation which could result in substantial monetary damages.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We are subject to a variety of legal actions, including provider claims, employment related disputes, healthcare regulatory law-based litigation, breach of contract actions,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False Claims Act actions, and securities class actions. If we incur liability materially in excess of the amount for which we have insurance coverage, our profitability would suffer. Even if any claims brought against us are unsuccessful or without merit, we may have to defend ourselves against such claims. The defense of any such actions may be time-consuming and costly, and may distract our management’s attention. Such legal actions could have a material adverse effect on our business, financial condition, results of operations, and cash flows.</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29</w:t>
      </w:r>
    </w:p>
    <w:p>
      <w:pPr>
        <w:sectPr>
          <w:pgSz w:w="11900" w:h="16838" w:orient="portrait"/>
          <w:cols w:equalWidth="0" w:num="1">
            <w:col w:w="11420"/>
          </w:cols>
          <w:pgMar w:left="240" w:top="679" w:right="239" w:bottom="1440" w:gutter="0" w:footer="0" w:header="0"/>
        </w:sectPr>
      </w:pPr>
    </w:p>
    <w:bookmarkStart w:id="32" w:name="page33"/>
    <w:bookmarkEnd w:id="32"/>
    <w:p>
      <w:pPr>
        <w:spacing w:after="0"/>
        <w:rPr>
          <w:sz w:val="20"/>
          <w:szCs w:val="20"/>
          <w:color w:val="auto"/>
        </w:rPr>
      </w:pPr>
      <w:r>
        <w:rPr>
          <w:rFonts w:ascii="Arial" w:cs="Arial" w:eastAsia="Arial" w:hAnsi="Arial"/>
          <w:sz w:val="25"/>
          <w:szCs w:val="25"/>
          <w:b w:val="1"/>
          <w:bCs w:val="1"/>
          <w:color w:val="0F7C7F"/>
        </w:rPr>
        <w:t>PROPERTIES</w:t>
      </w:r>
    </w:p>
    <w:p>
      <w:pPr>
        <w:spacing w:after="0" w:line="25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own and lease certain real properties to support the business operations of our reportable segments. While we believe our current and anticipated facilities are adequate to meet our operational needs in the near term, we continually evaluate the adequacy of our properties for our anticipated future needs.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25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Refer to the Notes to Consolidated Financial Statements, Note 17, “Commitments and Contingencies—Legal Proceedings,” for a discussion of legal proceedings.</w:t>
      </w:r>
    </w:p>
    <w:p>
      <w:pPr>
        <w:spacing w:after="0" w:line="200" w:lineRule="exact"/>
        <w:rPr>
          <w:sz w:val="20"/>
          <w:szCs w:val="20"/>
          <w:color w:val="auto"/>
        </w:rPr>
      </w:pPr>
    </w:p>
    <w:p>
      <w:pPr>
        <w:spacing w:after="0" w:line="399" w:lineRule="exact"/>
        <w:rPr>
          <w:sz w:val="20"/>
          <w:szCs w:val="20"/>
          <w:color w:val="auto"/>
        </w:rPr>
      </w:pPr>
    </w:p>
    <w:p>
      <w:pPr>
        <w:ind w:left="60" w:right="300"/>
        <w:spacing w:after="0" w:line="288" w:lineRule="auto"/>
        <w:rPr>
          <w:sz w:val="20"/>
          <w:szCs w:val="20"/>
          <w:color w:val="auto"/>
        </w:rPr>
      </w:pPr>
      <w:r>
        <w:rPr>
          <w:rFonts w:ascii="Arial" w:cs="Arial" w:eastAsia="Arial" w:hAnsi="Arial"/>
          <w:sz w:val="25"/>
          <w:szCs w:val="25"/>
          <w:b w:val="1"/>
          <w:bCs w:val="1"/>
          <w:color w:val="0F7C7F"/>
        </w:rPr>
        <w:t>MARKET FOR REGISTRANT’S COMMON EQUITY, RELATED STOCKHOLDER MATTERS AND ISSUER PURCHASES OF EQUITY SECURITIES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25"/>
          <w:szCs w:val="25"/>
          <w:color w:val="828282"/>
        </w:rPr>
        <w:t>STOCK REPURCHASE PROGRAMS</w:t>
      </w:r>
    </w:p>
    <w:p>
      <w:pPr>
        <w:spacing w:after="0" w:line="22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Purchases of common stock made by us, or on our behalf during the quarter ended December 31, 2019, including shares withheld by us to satisfy our employees’ income tax obligations, are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3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6"/>
                <w:szCs w:val="16"/>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Dollar Value of Shares</w:t>
            </w:r>
          </w:p>
        </w:tc>
      </w:tr>
      <w:tr>
        <w:trPr>
          <w:trHeight w:val="189"/>
        </w:trPr>
        <w:tc>
          <w:tcPr>
            <w:tcW w:w="36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 Price Paid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That May Yet Be</w:t>
            </w:r>
          </w:p>
        </w:tc>
      </w:tr>
      <w:tr>
        <w:trPr>
          <w:trHeight w:val="189"/>
        </w:trPr>
        <w:tc>
          <w:tcPr>
            <w:tcW w:w="36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Announced Plans or</w:t>
            </w:r>
          </w:p>
        </w:tc>
        <w:tc>
          <w:tcPr>
            <w:tcW w:w="10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34"/>
        </w:trPr>
        <w:tc>
          <w:tcPr>
            <w:tcW w:w="366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Programs </w:t>
            </w:r>
            <w:r>
              <w:rPr>
                <w:rFonts w:ascii="Arial" w:cs="Arial" w:eastAsia="Arial" w:hAnsi="Arial"/>
                <w:sz w:val="21"/>
                <w:szCs w:val="21"/>
                <w:b w:val="1"/>
                <w:bCs w:val="1"/>
                <w:color w:val="auto"/>
                <w:w w:val="95"/>
                <w:vertAlign w:val="superscript"/>
              </w:rPr>
              <w:t>(2)</w:t>
            </w:r>
          </w:p>
        </w:tc>
        <w:tc>
          <w:tcPr>
            <w:tcW w:w="1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2"/>
          </w:tcPr>
          <w:p>
            <w:pPr>
              <w:jc w:val="center"/>
              <w:spacing w:after="0" w:line="234" w:lineRule="exact"/>
              <w:rPr>
                <w:sz w:val="20"/>
                <w:szCs w:val="20"/>
                <w:color w:val="auto"/>
              </w:rPr>
            </w:pPr>
            <w:r>
              <w:rPr>
                <w:rFonts w:ascii="Arial" w:cs="Arial" w:eastAsia="Arial" w:hAnsi="Arial"/>
                <w:sz w:val="16"/>
                <w:szCs w:val="16"/>
                <w:b w:val="1"/>
                <w:bCs w:val="1"/>
                <w:color w:val="auto"/>
                <w:w w:val="98"/>
              </w:rPr>
              <w:t xml:space="preserve">Plans or Programs </w:t>
            </w:r>
            <w:r>
              <w:rPr>
                <w:rFonts w:ascii="Arial" w:cs="Arial" w:eastAsia="Arial" w:hAnsi="Arial"/>
                <w:sz w:val="21"/>
                <w:szCs w:val="21"/>
                <w:b w:val="1"/>
                <w:bCs w:val="1"/>
                <w:color w:val="auto"/>
                <w:w w:val="98"/>
                <w:vertAlign w:val="superscript"/>
              </w:rPr>
              <w:t>(2)</w:t>
            </w:r>
          </w:p>
        </w:tc>
      </w:tr>
      <w:tr>
        <w:trPr>
          <w:trHeight w:val="25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78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3660" w:type="dxa"/>
            <w:vAlign w:val="bottom"/>
          </w:tcPr>
          <w:p>
            <w:pPr>
              <w:ind w:left="40"/>
              <w:spacing w:after="0"/>
              <w:rPr>
                <w:sz w:val="20"/>
                <w:szCs w:val="20"/>
                <w:color w:val="auto"/>
              </w:rPr>
            </w:pPr>
            <w:r>
              <w:rPr>
                <w:rFonts w:ascii="Arial" w:cs="Arial" w:eastAsia="Arial" w:hAnsi="Arial"/>
                <w:sz w:val="16"/>
                <w:szCs w:val="16"/>
                <w:color w:val="auto"/>
              </w:rPr>
              <w:t>November 1 — November 30</w:t>
            </w:r>
          </w:p>
        </w:tc>
        <w:tc>
          <w:tcPr>
            <w:tcW w:w="1780" w:type="dxa"/>
            <w:vAlign w:val="bottom"/>
          </w:tcPr>
          <w:p>
            <w:pPr>
              <w:ind w:left="15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1 — December 31</w:t>
            </w:r>
          </w:p>
        </w:tc>
        <w:tc>
          <w:tcPr>
            <w:tcW w:w="178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399,761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446,000,000</w:t>
            </w:r>
          </w:p>
        </w:tc>
      </w:tr>
      <w:tr>
        <w:trPr>
          <w:trHeight w:val="240"/>
        </w:trPr>
        <w:tc>
          <w:tcPr>
            <w:tcW w:w="3660" w:type="dxa"/>
            <w:vAlign w:val="bottom"/>
          </w:tcPr>
          <w:p>
            <w:pPr>
              <w:spacing w:after="0"/>
              <w:rPr>
                <w:sz w:val="20"/>
                <w:szCs w:val="20"/>
                <w:color w:val="auto"/>
              </w:rPr>
            </w:pPr>
          </w:p>
        </w:tc>
        <w:tc>
          <w:tcPr>
            <w:tcW w:w="178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340" w:right="120" w:hanging="332"/>
        <w:spacing w:after="0" w:line="25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December 31, 2019, we withheld a nominal number of shares of common stock to settle employee income tax obligations for releases of awards granted under the Molina Healthcare, Inc. 2011 Equity Incentive Plan. In 2019, this plan was amended, restated and merged into the Molina Healthcare, Inc. 2019 Equity Incentive Plan. For further information refer to Notes to Consolidated Financial Statements, Note 14, “Stockholders' Equity.”</w:t>
      </w:r>
    </w:p>
    <w:p>
      <w:pPr>
        <w:spacing w:after="0" w:line="202" w:lineRule="exact"/>
        <w:rPr>
          <w:rFonts w:ascii="Arial" w:cs="Arial" w:eastAsia="Arial" w:hAnsi="Arial"/>
          <w:sz w:val="16"/>
          <w:szCs w:val="16"/>
          <w:color w:val="auto"/>
        </w:rPr>
      </w:pPr>
    </w:p>
    <w:p>
      <w:pPr>
        <w:ind w:left="340" w:right="160" w:hanging="332"/>
        <w:spacing w:after="0" w:line="25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early December 2019, our board of directors authorized the purchase of up to $500 million, in the aggregate, of our common stock. This program is funded by existing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400,000 shares of our common stock for $54 million in December 2019 (average cost of $135.30 per share).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828282"/>
        </w:rPr>
        <w:t>STOCK PERFORMANCE GRAPH</w:t>
      </w:r>
    </w:p>
    <w:p>
      <w:pPr>
        <w:spacing w:after="0" w:line="23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The following graph and related discussion are being furnished solely to accompany this Annual Report on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line graph compares the percentage change in the cumulative total return on our common stock against the cumulative total return of the Standard &amp; Poor’s Corporation Composite 500 Index (the “S&amp;P 500”) and a peer group index for the five-year period from December 31, 2014 to December 31, 2019. The comparison assumes $100 was invested on December 31, 2014, in our common stock and in each of the foregoing indices and assumes reinvestment of dividends. The stock performance shown on the graph below represents historical stock performance and is not necessarily indicative of future stock price performance.</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30</w:t>
      </w:r>
    </w:p>
    <w:p>
      <w:pPr>
        <w:sectPr>
          <w:pgSz w:w="11900" w:h="16838" w:orient="portrait"/>
          <w:cols w:equalWidth="0" w:num="1">
            <w:col w:w="11420"/>
          </w:cols>
          <w:pgMar w:left="240" w:top="649"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448945</wp:posOffset>
            </wp:positionV>
            <wp:extent cx="4673600" cy="3713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67360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peer group index consists of Centene Corporation (CNC), Cigna Corporation (CI), DaVita HealthCare Partners, Inc. (DVA), Humana Inc. (HUM), Magellan Health, Inc. (MGLN), Team Health Holdings, Inc. (TMH), Tenet Healthcare Corporation (THC), Triple-S Management Corporation (GTS), Universal American Corporation (UAM), Universal Health Services, Inc. (UHS) and WellCare Health Plans, Inc. (WCG).</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STOCK TRADING SYMBOL AND DIVIDENDS</w:t>
      </w:r>
    </w:p>
    <w:p>
      <w:pPr>
        <w:spacing w:after="0" w:line="22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common stock is listed on the New York Stock Exchange under the trading symbol “MOH.” As of February 7, 2020, there were 12 registered holders of record of our common stock, including Cede &amp; Co. To date we have not paid cash dividends on our common stock. We currently intend to retain any future earnings to fund our projected business operations. However, we intend to periodically evaluate our cash position to determine whether to pay a cash dividend in the future. Our ability to pay dividends is partially dependent on, among other things, our receipt of cash dividends from our regulated subsidiaries. The ability of our regulated subsidiaries to pay dividends to us is limited by the state departments of insurance in the states in which we operate or may operate, as well as requirements of the government-sponsored health programs in which we participate. Additionally, the indentures governing our outstanding senior notes and credit agreement contain various covenants that limit our ability to pay dividends on our common stock. 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17, “Commitments and Contingencies—Regulatory Capital Requirements and Dividend Restrictions.”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31</w:t>
      </w:r>
    </w:p>
    <w:p>
      <w:pPr>
        <w:sectPr>
          <w:pgSz w:w="11900" w:h="16838" w:orient="portrait"/>
          <w:cols w:equalWidth="0" w:num="1">
            <w:col w:w="11420"/>
          </w:cols>
          <w:pgMar w:left="240" w:top="1440" w:right="239" w:bottom="1440" w:gutter="0" w:footer="0" w:header="0"/>
        </w:sectPr>
      </w:pPr>
    </w:p>
    <w:bookmarkStart w:id="34" w:name="page35"/>
    <w:bookmarkEnd w:id="34"/>
    <w:p>
      <w:pPr>
        <w:spacing w:after="0"/>
        <w:rPr>
          <w:sz w:val="20"/>
          <w:szCs w:val="20"/>
          <w:color w:val="auto"/>
        </w:rPr>
      </w:pPr>
      <w:r>
        <w:rPr>
          <w:rFonts w:ascii="Arial" w:cs="Arial" w:eastAsia="Arial" w:hAnsi="Arial"/>
          <w:sz w:val="25"/>
          <w:szCs w:val="25"/>
          <w:b w:val="1"/>
          <w:bCs w:val="1"/>
          <w:color w:val="0F7C7F"/>
        </w:rPr>
        <w:t>SELECTED FINANCIAL DATA</w:t>
      </w:r>
    </w:p>
    <w:p>
      <w:pPr>
        <w:spacing w:after="0" w:line="179"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28575</wp:posOffset>
            </wp:positionV>
            <wp:extent cx="4408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80" w:type="dxa"/>
            <w:vAlign w:val="bottom"/>
            <w:gridSpan w:val="12"/>
          </w:tcPr>
          <w:p>
            <w:pPr>
              <w:jc w:val="right"/>
              <w:spacing w:after="0"/>
              <w:rPr>
                <w:sz w:val="20"/>
                <w:szCs w:val="20"/>
                <w:color w:val="auto"/>
              </w:rPr>
            </w:pPr>
            <w:r>
              <w:rPr>
                <w:rFonts w:ascii="Arial" w:cs="Arial" w:eastAsia="Arial" w:hAnsi="Arial"/>
                <w:sz w:val="16"/>
                <w:szCs w:val="16"/>
                <w:b w:val="1"/>
                <w:bCs w:val="1"/>
                <w:color w:val="auto"/>
              </w:rPr>
              <w:t>(In millions, except per-share data, percentages and membership)</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Operating Results: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Premium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16,208</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17,612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18,854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16,445</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13,261</w:t>
            </w: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18,890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19,883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14,178</w:t>
            </w: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(loss) per share - Basic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 xml:space="preserve">Net income (loss) per share - Diluted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 Basic</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Weighted average shares - Diluted</w:t>
            </w:r>
          </w:p>
        </w:tc>
        <w:tc>
          <w:tcPr>
            <w:tcW w:w="26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 xml:space="preserve">Medical care ratio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90.6 %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Pre-tax margin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8"/>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Ending Membership by Government Program (as of</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Medicaid</w:t>
            </w:r>
          </w:p>
        </w:tc>
        <w:tc>
          <w:tcPr>
            <w:tcW w:w="26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2,956,000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3,361,000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3,537,000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3,605,000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w w:val="98"/>
              </w:rPr>
              <w:t>3,235,000</w:t>
            </w: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101,000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96,000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93,000</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Marketplace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274,000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362,000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815,000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526,000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205,000</w:t>
            </w:r>
          </w:p>
        </w:tc>
        <w:tc>
          <w:tcPr>
            <w:tcW w:w="0" w:type="dxa"/>
            <w:vAlign w:val="bottom"/>
          </w:tcPr>
          <w:p>
            <w:pPr>
              <w:spacing w:after="0"/>
              <w:rPr>
                <w:sz w:val="1"/>
                <w:szCs w:val="1"/>
                <w:color w:val="auto"/>
              </w:rPr>
            </w:pPr>
          </w:p>
        </w:tc>
      </w:tr>
      <w:tr>
        <w:trPr>
          <w:trHeight w:val="254"/>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3,331,000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3,821,000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4,227,000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98"/>
              </w:rPr>
              <w:t>3,533,000</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 (in millions, as of December 31):</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8,471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7,449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1,929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 xml:space="preserve">Long-term debt, including current portion </w:t>
            </w:r>
            <w:r>
              <w:rPr>
                <w:rFonts w:ascii="Arial" w:cs="Arial" w:eastAsia="Arial" w:hAnsi="Arial"/>
                <w:sz w:val="21"/>
                <w:szCs w:val="21"/>
                <w:color w:val="auto"/>
                <w:vertAlign w:val="superscript"/>
              </w:rPr>
              <w:t>(5)</w:t>
            </w:r>
          </w:p>
        </w:tc>
        <w:tc>
          <w:tcPr>
            <w:tcW w:w="26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(5),(6)</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7,134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51"/>
        </w:trPr>
        <w:tc>
          <w:tcPr>
            <w:tcW w:w="4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Pre-tax margin represents income (loss) before income taxes as a percentage of total revenue. After-tax margin represents net income (loss) as a percentage of total revenue.</w:t>
      </w: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operating and finance lease right-of-use assets in 2019, with no comparable amounts presented in prior years. Refer to the Notes to Consolidated Financial Statements, Note 2, “Significant Accounting Policies,” for a discussion of the adoption of the new leasing standard and location of related disclosures.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finance lease liabilities in 2019, and lease financing obligations in the years 2015 through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operating lease liabilities in 2019, with no comparable amounts presented in prior years.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32</w:t>
      </w:r>
    </w:p>
    <w:p>
      <w:pPr>
        <w:sectPr>
          <w:pgSz w:w="11900" w:h="16838" w:orient="portrait"/>
          <w:cols w:equalWidth="0" w:num="1">
            <w:col w:w="11420"/>
          </w:cols>
          <w:pgMar w:left="240" w:top="541" w:right="239" w:bottom="1440" w:gutter="0" w:footer="0" w:header="0"/>
        </w:sectPr>
      </w:pPr>
    </w:p>
    <w:bookmarkStart w:id="35" w:name="page36"/>
    <w:bookmarkEnd w:id="35"/>
    <w:p>
      <w:pPr>
        <w:ind w:right="180"/>
        <w:spacing w:after="0" w:line="260"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as of and for the years ended December 31, 2019 and 2018, are presented in the sections that follow. Our MD&amp;A as of and for the year ended December 31, 2017, may be found in our 2018 Annual Report on Form 10-K, which prior disclosure is incorporated by reference herein.</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Through our locally operated health plans in 14 states and the Commonwealth of Puerto Rico, we served approximately 3.3 million members as of December 31, 2019. These health plans are generally operated by our respective wholly owned subsidiaries in those states, each of which is licensed as a health maintenance organization (“HMO”).</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2019 HIGHLIGHTS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2019, we met or exceeded our expectations:</w:t>
      </w:r>
    </w:p>
    <w:p>
      <w:pPr>
        <w:spacing w:after="0" w:line="225" w:lineRule="exact"/>
        <w:rPr>
          <w:sz w:val="20"/>
          <w:szCs w:val="20"/>
          <w:color w:val="auto"/>
        </w:rPr>
      </w:pPr>
    </w:p>
    <w:p>
      <w:pPr>
        <w:ind w:left="1300" w:right="60" w:hanging="968"/>
        <w:spacing w:after="0" w:line="262"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Premium revenue was $16.2 billion in 2019, down from $17.6 billion in 2018, and was in line with our expectations given the previously announced losses of Medicaid membership in New Mexico and Florida.</w:t>
      </w:r>
    </w:p>
    <w:p>
      <w:pPr>
        <w:spacing w:after="0" w:line="196" w:lineRule="exact"/>
        <w:rPr>
          <w:rFonts w:ascii="Arial" w:cs="Arial" w:eastAsia="Arial" w:hAnsi="Arial"/>
          <w:sz w:val="18"/>
          <w:szCs w:val="18"/>
          <w:color w:val="auto"/>
        </w:rPr>
      </w:pPr>
    </w:p>
    <w:p>
      <w:pPr>
        <w:ind w:left="1300" w:right="240" w:hanging="968"/>
        <w:spacing w:after="0" w:line="262"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medical care ratio (“MCR”) was 85.8% in 2019, compared to 85.9% in 2018, as our cost containment efforts continued to control medical care costs while ensuring the highest quality of care for our members.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improved our Medicaid and Medicare margins, and earned exceptionally high Marketplace margins.</w:t>
      </w:r>
    </w:p>
    <w:p>
      <w:pPr>
        <w:spacing w:after="0" w:line="225" w:lineRule="exact"/>
        <w:rPr>
          <w:rFonts w:ascii="Arial" w:cs="Arial" w:eastAsia="Arial" w:hAnsi="Arial"/>
          <w:sz w:val="18"/>
          <w:szCs w:val="18"/>
          <w:color w:val="auto"/>
        </w:rPr>
      </w:pPr>
    </w:p>
    <w:p>
      <w:pPr>
        <w:ind w:left="1300" w:right="100" w:hanging="968"/>
        <w:spacing w:after="0" w:line="262"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G&amp;A expense ratio was 7.7% in 2019 compared to 7.1% in 2018, as we leveraged our fixed cost base while beginning to invest in growth.</w:t>
      </w:r>
    </w:p>
    <w:p>
      <w:pPr>
        <w:spacing w:after="0" w:line="1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All in, this performance resulted in net income of $737 million and earnings per diluted share of $11.47 in 2019, compared to net income of $707 million and earnings per diluted share of $10.61 in 2018.</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 year when premium revenue decreased by 8% due to legacy contract losses, we were able to deliver a 4.4% after-tax margin and earnings per diluted share growth of 8% in 2019, a testament to our early-stage focus on margins.</w:t>
      </w:r>
    </w:p>
    <w:p>
      <w:pPr>
        <w:spacing w:after="0" w:line="19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During the year, we improved an already strong balance sheet and capital structure, while the business continued to generate significant excess cash flow.</w:t>
      </w:r>
    </w:p>
    <w:p>
      <w:pPr>
        <w:spacing w:after="0" w:line="196" w:lineRule="exact"/>
        <w:rPr>
          <w:sz w:val="20"/>
          <w:szCs w:val="20"/>
          <w:color w:val="auto"/>
        </w:rPr>
      </w:pPr>
    </w:p>
    <w:p>
      <w:pPr>
        <w:ind w:left="660" w:right="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fourth quarter of 2019, we harvested an additional $305 million of dividends from our operating subsidiaries, bringing the total for 2019 to $1,373 million. As of December 31, 2019, unrestricted cash and investments at the parent company was $997 million.</w:t>
      </w:r>
    </w:p>
    <w:p>
      <w:pPr>
        <w:spacing w:after="0" w:line="196"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early December 2019, our board of directors authorized a share repurchase program of up to $500 million. Through February 7, 2019, under a Rule 10b5-1 trading plan, we have purchased approximately 1.9 million shares for $257 million, in the aggregate, under this program.</w:t>
      </w:r>
    </w:p>
    <w:p>
      <w:pPr>
        <w:spacing w:after="0" w:line="202"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We made progress in the second half of 2019 on our pivot to growth strategy. In the past few months, we announced two acquisitions, YourCare in New York, and NextLevel Health in Illinois. These acquisitions of financially under-performing health plans have stable membership and revenue, but provide opportunity for margin improvement, operating leverage, and membership growth.</w:t>
      </w:r>
    </w:p>
    <w:p>
      <w:pPr>
        <w:spacing w:after="0" w:line="202" w:lineRule="exact"/>
        <w:rPr>
          <w:sz w:val="20"/>
          <w:szCs w:val="20"/>
          <w:color w:val="auto"/>
        </w:rPr>
      </w:pPr>
    </w:p>
    <w:p>
      <w:pPr>
        <w:ind w:left="660" w:right="30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YourCare acquisition, we will serve approximately 46,000 Medicaid members in seven counties in the western New York, with premium revenue for the full year 2019 of approximately $285 million. The purchase price is approximately $40 million.</w:t>
      </w:r>
    </w:p>
    <w:p>
      <w:pPr>
        <w:spacing w:after="0" w:line="196" w:lineRule="exact"/>
        <w:rPr>
          <w:rFonts w:ascii="Arial" w:cs="Arial" w:eastAsia="Arial" w:hAnsi="Arial"/>
          <w:sz w:val="18"/>
          <w:szCs w:val="18"/>
          <w:color w:val="auto"/>
        </w:rPr>
      </w:pPr>
    </w:p>
    <w:p>
      <w:pPr>
        <w:jc w:val="both"/>
        <w:ind w:left="660" w:right="38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NextLevel Health acquisition, we will serve approximately 50,000 Medicaid and Managed Long-Term Services and Supports members in Cook County, Illinois, with premium revenue for the full year 2019 of approximately $270 million. The purchase price is approximately $50 million.</w:t>
      </w:r>
    </w:p>
    <w:p>
      <w:pPr>
        <w:spacing w:after="0" w:line="20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expect to fund these acquisitions with available cash, and both are expected to close in the first half of 2020, enhancing our premium revenue growth rate for 2020.</w:t>
      </w:r>
    </w:p>
    <w:p>
      <w:pPr>
        <w:sectPr>
          <w:pgSz w:w="11900" w:h="16838" w:orient="portrait"/>
          <w:cols w:equalWidth="0" w:num="1">
            <w:col w:w="11420"/>
          </w:cols>
          <w:pgMar w:left="240" w:top="5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33</w:t>
      </w:r>
    </w:p>
    <w:p>
      <w:pPr>
        <w:sectPr>
          <w:pgSz w:w="11900" w:h="16838" w:orient="portrait"/>
          <w:cols w:equalWidth="0" w:num="1">
            <w:col w:w="11420"/>
          </w:cols>
          <w:pgMar w:left="240" w:top="541"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5"/>
          <w:szCs w:val="25"/>
          <w:b w:val="1"/>
          <w:bCs w:val="1"/>
          <w:color w:val="0F7C7F"/>
        </w:rPr>
        <w:t>FINANCIAL SUMMARY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178"/>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3"/>
          </w:tcPr>
          <w:p>
            <w:pPr>
              <w:jc w:val="center"/>
              <w:ind w:right="119"/>
              <w:spacing w:after="0"/>
              <w:rPr>
                <w:sz w:val="20"/>
                <w:szCs w:val="20"/>
                <w:color w:val="auto"/>
              </w:rPr>
            </w:pPr>
            <w:r>
              <w:rPr>
                <w:rFonts w:ascii="Arial" w:cs="Arial" w:eastAsia="Arial" w:hAnsi="Arial"/>
                <w:sz w:val="14"/>
                <w:szCs w:val="14"/>
                <w:b w:val="1"/>
                <w:bCs w:val="1"/>
                <w:i w:val="1"/>
                <w:iCs w:val="1"/>
                <w:color w:val="auto"/>
              </w:rPr>
              <w:t>(Dollars in millions, except per-share</w:t>
            </w:r>
          </w:p>
        </w:tc>
      </w:tr>
      <w:tr>
        <w:trPr>
          <w:trHeight w:val="194"/>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left="820"/>
              <w:spacing w:after="0"/>
              <w:rPr>
                <w:sz w:val="20"/>
                <w:szCs w:val="20"/>
                <w:color w:val="auto"/>
              </w:rPr>
            </w:pPr>
            <w:r>
              <w:rPr>
                <w:rFonts w:ascii="Arial" w:cs="Arial" w:eastAsia="Arial" w:hAnsi="Arial"/>
                <w:sz w:val="14"/>
                <w:szCs w:val="14"/>
                <w:b w:val="1"/>
                <w:bCs w:val="1"/>
                <w:i w:val="1"/>
                <w:iCs w:val="1"/>
                <w:color w:val="auto"/>
              </w:rPr>
              <w:t>amounts)</w:t>
            </w:r>
          </w:p>
        </w:tc>
        <w:tc>
          <w:tcPr>
            <w:tcW w:w="1100" w:type="dxa"/>
            <w:vAlign w:val="bottom"/>
          </w:tcPr>
          <w:p>
            <w:pPr>
              <w:spacing w:after="0"/>
              <w:rPr>
                <w:sz w:val="16"/>
                <w:szCs w:val="16"/>
                <w:color w:val="auto"/>
              </w:rPr>
            </w:pPr>
          </w:p>
        </w:tc>
      </w:tr>
      <w:tr>
        <w:trPr>
          <w:trHeight w:val="27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16,208</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17,612</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Premium tax revenue</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489</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417</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 reimbursed</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329</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Investment income and other revenue</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132</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125</w:t>
            </w:r>
          </w:p>
        </w:tc>
      </w:tr>
      <w:tr>
        <w:trPr>
          <w:trHeight w:val="30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Medical care costs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13,905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15,137</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1,296</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1,333</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Premium tax expenses</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489</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417</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348</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46</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sales of subsidiaries, net of gain</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1,044</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1,131</w:t>
            </w:r>
          </w:p>
        </w:tc>
      </w:tr>
      <w:tr>
        <w:trPr>
          <w:trHeight w:val="30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87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115</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expenses, net</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972</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999</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235</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292</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2"/>
                <w:szCs w:val="22"/>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737</w:t>
            </w:r>
          </w:p>
        </w:tc>
        <w:tc>
          <w:tcPr>
            <w:tcW w:w="5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707</w:t>
            </w:r>
          </w:p>
        </w:tc>
      </w:tr>
      <w:tr>
        <w:trPr>
          <w:trHeight w:val="30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Net income per diluted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11.47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10.61</w:t>
            </w:r>
          </w:p>
        </w:tc>
      </w:tr>
      <w:tr>
        <w:trPr>
          <w:trHeight w:val="30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total membership</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3,331,000</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3,821,000</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 xml:space="preserve">MCR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85.8%</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69"/>
        </w:trPr>
        <w:tc>
          <w:tcPr>
            <w:tcW w:w="8240" w:type="dxa"/>
            <w:vAlign w:val="bottom"/>
          </w:tcPr>
          <w:p>
            <w:pPr>
              <w:ind w:left="4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8240" w:type="dxa"/>
            <w:vAlign w:val="bottom"/>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56" w:lineRule="exact"/>
        <w:rPr>
          <w:sz w:val="20"/>
          <w:szCs w:val="20"/>
          <w:color w:val="auto"/>
        </w:rPr>
      </w:pPr>
    </w:p>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right="2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After-tax margin represents net income as a percentage of total revenue.</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34</w:t>
      </w:r>
    </w:p>
    <w:p>
      <w:pPr>
        <w:sectPr>
          <w:pgSz w:w="11900" w:h="16838" w:orient="portrait"/>
          <w:cols w:equalWidth="0" w:num="1">
            <w:col w:w="11420"/>
          </w:cols>
          <w:pgMar w:left="240" w:top="649" w:right="239" w:bottom="1440" w:gutter="0" w:footer="0" w:header="0"/>
        </w:sectPr>
      </w:pPr>
    </w:p>
    <w:bookmarkStart w:id="37" w:name="page38"/>
    <w:bookmarkEnd w:id="37"/>
    <w:p>
      <w:pPr>
        <w:spacing w:after="0"/>
        <w:rPr>
          <w:sz w:val="20"/>
          <w:szCs w:val="20"/>
          <w:color w:val="auto"/>
        </w:rPr>
      </w:pPr>
      <w:r>
        <w:rPr>
          <w:rFonts w:ascii="Arial" w:cs="Arial" w:eastAsia="Arial" w:hAnsi="Arial"/>
          <w:sz w:val="25"/>
          <w:szCs w:val="25"/>
          <w:b w:val="1"/>
          <w:bCs w:val="1"/>
          <w:color w:val="0F7C7F"/>
        </w:rPr>
        <w:t>CONSOLIDATED RESULTS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income amounted to $737 million, or $11.47 per diluted share in 2019, compared with net income of $707 million, or $10.61 per diluted share in 2018. The year over year comparison for net income is impacted by significantly higher costs in 2018 relating to restructuring activities, interest expense, debt repayment and the loss on sales of subsidiaries, as well as the non-deductible HIF incurred in 2018 and the moratorium of the HIF in 2019. Operating income was lower in 2019 compared with 2018, mainly due to the impact of a year-over-year decline in premium revenue.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22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Premium revenue decreased $1,404 million, or 8%, in 2019, when compared with 2018. Member months declined 18%, partially offset by a per-member per-month (“PMPM”) revenue increase of 10%. The premium revenue decline was primarily in the Medicaid and Marketplace programs.</w:t>
      </w:r>
    </w:p>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decline in Medicaid premium revenue was driven primarily by membership losses resulting from the loss of our New Mexico Medicaid contract, along with the resizing of the Florida Medicaid contract, as reported throughout 2018. This was partially offset by Medicaid premium rate increases, and the impact of the $81 million reduction in premium revenue relating to retroactive California Medicaid Expansion risk corridor adjustments that were recognized in 2018.</w:t>
      </w:r>
    </w:p>
    <w:p>
      <w:pPr>
        <w:spacing w:after="0" w:line="204"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decline in Marketplace premium revenue was primarily due to lower membership, and a relatively smaller benefit from prior year Marketplace risk adjustment in 2019 compared with 2018, partially offset by premium rate increases.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22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consolidated MCR decreased slightly to 85.8% in 2019, from 85.9% in 2018. The improvement was due to a decrease in the Medicaid MCR, partially offset by increases in the Medicare and Marketplace MCRs.</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consolidated MCR in the year ended December 31, 2018, would have been 86.3%, excluding the retroactive California Medicaid Expansion risk corridor adjustment noted above, and the combined $137 million impact of the favorable Marketplace risk adjustment and cost sharing reimbursement (“CSR”) settlements related to 2017 dates of service.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22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increased to 2.9% in 2019 from 2.3% in 2018. The increase is mainly attributed to the state of Michigan’s implementation of an insurance provider assessment in 2019, and the state of Illinois’ implementation of a managed care organization provider assessment in the third quarter of 2019.</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Investment income and other revenue increased to $132 million in 2019, compared with $125 million in 2018, mainly due to gains realized on the sale of certain investments and improved annualized portfolio yields in 2019.</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GENERAL AND ADMINISTRATIVE (“G&amp;A”)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G&amp;A expense ratio increased to 7.7% in 2019 compared with 7.1% in 2018, due mainly to the year-over-year decline in total revenues.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There are no health insurer fees (“HIF”) expensed or reimbursed in 2019 due to the moratorium under Public Law No. 115-120. In 2018, the HIF amounted to $348 million, and HIF reimbursements amounted to $329 million.</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828282"/>
        </w:rPr>
        <w:t>RESTRUCTURING COSTS</w:t>
      </w:r>
    </w:p>
    <w:p>
      <w:pPr>
        <w:spacing w:after="0" w:line="22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 2019, we incurred restructuring costs of $6 million, mainly due to increases in estimated costs related to lease terminations recorded in connection with the implementation of our restructuring and profit improvement plan in 2017 (the “2017 Restructuring Plan”).</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35</w:t>
      </w:r>
    </w:p>
    <w:p>
      <w:pPr>
        <w:sectPr>
          <w:pgSz w:w="11900" w:h="16838" w:orient="portrait"/>
          <w:cols w:equalWidth="0" w:num="1">
            <w:col w:w="11420"/>
          </w:cols>
          <w:pgMar w:left="240" w:top="649" w:right="239" w:bottom="1440" w:gutter="0" w:footer="0" w:header="0"/>
        </w:sectPr>
      </w:pPr>
    </w:p>
    <w:bookmarkStart w:id="38" w:name="page39"/>
    <w:bookmarkEnd w:id="38"/>
    <w:p>
      <w:pPr>
        <w:ind w:right="200"/>
        <w:spacing w:after="0" w:line="262" w:lineRule="auto"/>
        <w:rPr>
          <w:sz w:val="20"/>
          <w:szCs w:val="20"/>
          <w:color w:val="auto"/>
        </w:rPr>
      </w:pPr>
      <w:r>
        <w:rPr>
          <w:rFonts w:ascii="Arial" w:cs="Arial" w:eastAsia="Arial" w:hAnsi="Arial"/>
          <w:sz w:val="18"/>
          <w:szCs w:val="18"/>
          <w:color w:val="auto"/>
        </w:rPr>
        <w:t>In 2018, we incurred restructuring costs of $46 million, including $37 million of additional costs related to the 2017 Restructuring Plan, and $9 million related to the IT restructuring plan that commenced in 2018.</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LOSS ON SALES OF SUBSIDIARIES, NET OF GAIN</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2018, we recognized a $15 million loss in connection with the sales of our Medicaid management information systems (“MMIS”) subsidiary, which produced a pretax gain of $37 million, and our behavioral health subsidiary, which produced a pretax loss of $52 million.</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declined to $87 million in 2019, compared with $115 million in 2018. As further described below in “Liquidity,” we reduced the principal amount outstanding of our convertible senior notes by $240 million in 2019, and reduced total debt by $759 million in 2018. The decrease in interest expense in 2019 was partially offset by interest expense attributable to $220 million borrowed under our Term Loan Facility in 2019.</w:t>
      </w:r>
    </w:p>
    <w:p>
      <w:pPr>
        <w:spacing w:after="0" w:line="20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Interest expense includes non-cash interest expense relating to the amortization of the discount on our long-term debt obligations, which amounted to $5 million and $22 million in 2019 and 2018, respectively. The decline in 2019 is due to repayment of our convertible senior notes throughout 2018 and 2019. See further discussion in Notes to Consolidated Financial Statements, Note 11, “Debt.”</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OTHER (INCOME) EXPENSES, NET</w:t>
      </w:r>
    </w:p>
    <w:p>
      <w:pPr>
        <w:spacing w:after="0" w:line="11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2019, we recognized a gain on debt repayment of $15 million, and in 2018, we recognized losses on debt repayment of $22 million, in connection with convertible senior notes repayment transactions. In 2018, the losses included a $12 million loss on repayment of the 1.125% convertible senior notes due 2020, and a $10 million loss on repayment of the 1.625% convertible senior notes due 2044 that were settled in 2018. The impact of the 1.125% convertible senior notes in both years was due to mark-to-market valuations on the partial terminations of the Call Spread Overlay executed in connection with the related debt repayments. These transactions are described further in Notes to Consolidated Financial Statements, Note 11, “Debt.”</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amounted to $235 million in 2019, or 24.2% of pretax income, compared with an income tax expense of $292 million in 2018, or 29.2% of the pretax income. The effective tax rate was higher in 2018 due to higher non-deductible expenses in 2018, primarily related to the non-deductible HIF.</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223"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key metrics used to assess the performance of our Health Plans segment are premium revenue,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9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Margin for our Health Plans segment is referred to as “Medical Margin.” Medical Margin amounted to $2.3 billion and $2.5 billion in 2019 and 2018, respectively. Management’s discussion and analysis of the changes in the individual components of Medical Margin is presented below under “Financial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18, “Segments,” for more information.</w:t>
      </w: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Health Plans segment consists of health plans operating in 14 states and the Commonwealth of Puerto Rico.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36</w:t>
      </w:r>
    </w:p>
    <w:p>
      <w:pPr>
        <w:sectPr>
          <w:pgSz w:w="11900" w:h="16838" w:orient="portrait"/>
          <w:cols w:equalWidth="0" w:num="1">
            <w:col w:w="11420"/>
          </w:cols>
          <w:pgMar w:left="240" w:top="679" w:right="239" w:bottom="1440" w:gutter="0" w:footer="0" w:header="0"/>
        </w:sectPr>
      </w:pPr>
    </w:p>
    <w:bookmarkStart w:id="39" w:name="page40"/>
    <w:bookmarkEnd w:id="39"/>
    <w:p>
      <w:pPr>
        <w:ind w:right="200"/>
        <w:spacing w:after="0" w:line="256" w:lineRule="auto"/>
        <w:rPr>
          <w:sz w:val="20"/>
          <w:szCs w:val="20"/>
          <w:color w:val="auto"/>
        </w:rPr>
      </w:pPr>
      <w:r>
        <w:rPr>
          <w:rFonts w:ascii="Arial" w:cs="Arial" w:eastAsia="Arial" w:hAnsi="Arial"/>
          <w:sz w:val="18"/>
          <w:szCs w:val="18"/>
          <w:color w:val="auto"/>
        </w:rPr>
        <w:t>As of December 31, 2019, these health plans served approximately 3.3 million members eligible for Medicaid, Medicare, and other government-sponsored health care programs for low-income families and individuals, including Marketplace members, most of whom receive government premium subsidies.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a discussion of Health Plans segment’s trends, uncertainties and other developments, refer to “Item 1. Business—Our Business,” and “— Legislative and Political Environment.”</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w:t>
      </w:r>
    </w:p>
    <w:p>
      <w:pPr>
        <w:spacing w:after="0" w:line="11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tables below summarize premium revenue, Medical Margin, and MCR by state health plan and by government program for the periods indicated (in millions, except percentages):</w:t>
      </w:r>
    </w:p>
    <w:p>
      <w:pPr>
        <w:spacing w:after="0" w:line="252" w:lineRule="exact"/>
        <w:rPr>
          <w:sz w:val="20"/>
          <w:szCs w:val="20"/>
          <w:color w:val="auto"/>
        </w:rPr>
      </w:pPr>
    </w:p>
    <w:tbl>
      <w:tblPr>
        <w:tblLayout w:type="fixed"/>
        <w:tblInd w:w="1120" w:type="dxa"/>
        <w:tblCellMar>
          <w:top w:w="0" w:type="dxa"/>
          <w:left w:w="0" w:type="dxa"/>
          <w:bottom w:w="0" w:type="dxa"/>
          <w:right w:w="0" w:type="dxa"/>
        </w:tblCellMar>
      </w:tblPr>
      <w:tr>
        <w:trPr>
          <w:trHeight w:val="236"/>
        </w:trPr>
        <w:tc>
          <w:tcPr>
            <w:tcW w:w="2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80"/>
              <w:spacing w:after="0"/>
              <w:rPr>
                <w:sz w:val="20"/>
                <w:szCs w:val="20"/>
                <w:color w:val="auto"/>
              </w:rPr>
            </w:pPr>
            <w:r>
              <w:rPr>
                <w:rFonts w:ascii="Arial" w:cs="Arial" w:eastAsia="Arial" w:hAnsi="Arial"/>
                <w:sz w:val="17"/>
                <w:szCs w:val="17"/>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64"/>
        </w:trPr>
        <w:tc>
          <w:tcPr>
            <w:tcW w:w="2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325"/>
        </w:trPr>
        <w:tc>
          <w:tcPr>
            <w:tcW w:w="296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7"/>
                <w:szCs w:val="17"/>
                <w:b w:val="1"/>
                <w:bCs w:val="1"/>
                <w:color w:val="auto"/>
              </w:rPr>
              <w:t>Premium</w:t>
            </w:r>
          </w:p>
        </w:tc>
        <w:tc>
          <w:tcPr>
            <w:tcW w:w="140" w:type="dxa"/>
            <w:vAlign w:val="bottom"/>
          </w:tcPr>
          <w:p>
            <w:pPr>
              <w:spacing w:after="0"/>
              <w:rPr>
                <w:sz w:val="24"/>
                <w:szCs w:val="24"/>
                <w:color w:val="auto"/>
              </w:rPr>
            </w:pPr>
          </w:p>
        </w:tc>
        <w:tc>
          <w:tcPr>
            <w:tcW w:w="80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Medical</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7"/>
                <w:szCs w:val="17"/>
                <w:b w:val="1"/>
                <w:bCs w:val="1"/>
                <w:color w:val="auto"/>
              </w:rPr>
              <w:t>Premium</w:t>
            </w:r>
          </w:p>
        </w:tc>
        <w:tc>
          <w:tcPr>
            <w:tcW w:w="140" w:type="dxa"/>
            <w:vAlign w:val="bottom"/>
          </w:tcPr>
          <w:p>
            <w:pPr>
              <w:spacing w:after="0"/>
              <w:rPr>
                <w:sz w:val="24"/>
                <w:szCs w:val="24"/>
                <w:color w:val="auto"/>
              </w:rPr>
            </w:pPr>
          </w:p>
        </w:tc>
        <w:tc>
          <w:tcPr>
            <w:tcW w:w="82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Medical</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6"/>
        </w:trPr>
        <w:tc>
          <w:tcPr>
            <w:tcW w:w="29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Revenue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rPr>
              <w:t>Margin</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MCR</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98"/>
              </w:rPr>
              <w:t>Revenue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Margin</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MCR</w:t>
            </w:r>
          </w:p>
        </w:tc>
      </w:tr>
      <w:tr>
        <w:trPr>
          <w:trHeight w:val="257"/>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California</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86.0%</w:t>
            </w:r>
          </w:p>
        </w:tc>
      </w:tr>
      <w:tr>
        <w:trPr>
          <w:trHeight w:val="261"/>
        </w:trPr>
        <w:tc>
          <w:tcPr>
            <w:tcW w:w="2960" w:type="dxa"/>
            <w:vAlign w:val="bottom"/>
          </w:tcPr>
          <w:p>
            <w:pPr>
              <w:ind w:left="20"/>
              <w:spacing w:after="0"/>
              <w:rPr>
                <w:sz w:val="20"/>
                <w:szCs w:val="20"/>
                <w:color w:val="auto"/>
              </w:rPr>
            </w:pPr>
            <w:r>
              <w:rPr>
                <w:rFonts w:ascii="Arial" w:cs="Arial" w:eastAsia="Arial" w:hAnsi="Arial"/>
                <w:sz w:val="17"/>
                <w:szCs w:val="17"/>
                <w:color w:val="auto"/>
              </w:rPr>
              <w:t>Florida</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144</w:t>
            </w: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80.4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277</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rPr>
              <w:t>84.5</w:t>
            </w:r>
          </w:p>
        </w:tc>
      </w:tr>
      <w:tr>
        <w:trPr>
          <w:trHeight w:val="27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Illinois</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87.0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84.4</w:t>
            </w:r>
          </w:p>
        </w:tc>
      </w:tr>
      <w:tr>
        <w:trPr>
          <w:trHeight w:val="261"/>
        </w:trPr>
        <w:tc>
          <w:tcPr>
            <w:tcW w:w="2960" w:type="dxa"/>
            <w:vAlign w:val="bottom"/>
          </w:tcPr>
          <w:p>
            <w:pPr>
              <w:ind w:left="20"/>
              <w:spacing w:after="0"/>
              <w:rPr>
                <w:sz w:val="20"/>
                <w:szCs w:val="20"/>
                <w:color w:val="auto"/>
              </w:rPr>
            </w:pPr>
            <w:r>
              <w:rPr>
                <w:rFonts w:ascii="Arial" w:cs="Arial" w:eastAsia="Arial" w:hAnsi="Arial"/>
                <w:sz w:val="17"/>
                <w:szCs w:val="17"/>
                <w:color w:val="auto"/>
              </w:rPr>
              <w:t>Michigan</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293</w:t>
            </w: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82.0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267</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rPr>
              <w:t>83.3</w:t>
            </w:r>
          </w:p>
        </w:tc>
      </w:tr>
      <w:tr>
        <w:trPr>
          <w:trHeight w:val="27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New Mexico </w:t>
            </w:r>
            <w:r>
              <w:rPr>
                <w:rFonts w:ascii="Arial" w:cs="Arial" w:eastAsia="Arial" w:hAnsi="Arial"/>
                <w:sz w:val="14"/>
                <w:szCs w:val="14"/>
                <w:color w:val="auto"/>
              </w:rPr>
              <w:t>(1)</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89.6</w:t>
            </w:r>
          </w:p>
        </w:tc>
      </w:tr>
      <w:tr>
        <w:trPr>
          <w:trHeight w:val="261"/>
        </w:trPr>
        <w:tc>
          <w:tcPr>
            <w:tcW w:w="2960" w:type="dxa"/>
            <w:vAlign w:val="bottom"/>
          </w:tcPr>
          <w:p>
            <w:pPr>
              <w:ind w:left="20"/>
              <w:spacing w:after="0"/>
              <w:rPr>
                <w:sz w:val="20"/>
                <w:szCs w:val="20"/>
                <w:color w:val="auto"/>
              </w:rPr>
            </w:pPr>
            <w:r>
              <w:rPr>
                <w:rFonts w:ascii="Arial" w:cs="Arial" w:eastAsia="Arial" w:hAnsi="Arial"/>
                <w:sz w:val="17"/>
                <w:szCs w:val="17"/>
                <w:color w:val="auto"/>
              </w:rPr>
              <w:t>Ohio</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267</w:t>
            </w: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89.6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309</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rPr>
              <w:t>87.1</w:t>
            </w:r>
          </w:p>
        </w:tc>
      </w:tr>
      <w:tr>
        <w:trPr>
          <w:trHeight w:val="27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Puerto Rico</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88.8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91.4</w:t>
            </w:r>
          </w:p>
        </w:tc>
      </w:tr>
      <w:tr>
        <w:trPr>
          <w:trHeight w:val="261"/>
        </w:trPr>
        <w:tc>
          <w:tcPr>
            <w:tcW w:w="2960" w:type="dxa"/>
            <w:vAlign w:val="bottom"/>
          </w:tcPr>
          <w:p>
            <w:pPr>
              <w:ind w:left="20"/>
              <w:spacing w:after="0"/>
              <w:rPr>
                <w:sz w:val="20"/>
                <w:szCs w:val="20"/>
                <w:color w:val="auto"/>
              </w:rPr>
            </w:pPr>
            <w:r>
              <w:rPr>
                <w:rFonts w:ascii="Arial" w:cs="Arial" w:eastAsia="Arial" w:hAnsi="Arial"/>
                <w:sz w:val="17"/>
                <w:szCs w:val="17"/>
                <w:color w:val="auto"/>
              </w:rPr>
              <w:t>South Carolina</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w:t>
            </w: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87.6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66</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rPr>
              <w:t>86.8</w:t>
            </w:r>
          </w:p>
        </w:tc>
      </w:tr>
      <w:tr>
        <w:trPr>
          <w:trHeight w:val="27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Texas</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0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82.8</w:t>
            </w:r>
          </w:p>
        </w:tc>
      </w:tr>
      <w:tr>
        <w:trPr>
          <w:trHeight w:val="261"/>
        </w:trPr>
        <w:tc>
          <w:tcPr>
            <w:tcW w:w="2960" w:type="dxa"/>
            <w:vAlign w:val="bottom"/>
          </w:tcPr>
          <w:p>
            <w:pPr>
              <w:ind w:left="20"/>
              <w:spacing w:after="0"/>
              <w:rPr>
                <w:sz w:val="20"/>
                <w:szCs w:val="20"/>
                <w:color w:val="auto"/>
              </w:rPr>
            </w:pPr>
            <w:r>
              <w:rPr>
                <w:rFonts w:ascii="Arial" w:cs="Arial" w:eastAsia="Arial" w:hAnsi="Arial"/>
                <w:sz w:val="17"/>
                <w:szCs w:val="17"/>
                <w:color w:val="auto"/>
              </w:rPr>
              <w:t>Washington</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305</w:t>
            </w: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88.7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rPr>
              <w:t>90.6</w:t>
            </w:r>
          </w:p>
        </w:tc>
      </w:tr>
      <w:tr>
        <w:trPr>
          <w:trHeight w:val="27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(1)(2)</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4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82.0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79.6</w:t>
            </w:r>
          </w:p>
        </w:tc>
      </w:tr>
      <w:tr>
        <w:trPr>
          <w:trHeight w:val="239"/>
        </w:trPr>
        <w:tc>
          <w:tcPr>
            <w:tcW w:w="2960" w:type="dxa"/>
            <w:vAlign w:val="bottom"/>
          </w:tcPr>
          <w:p>
            <w:pPr>
              <w:ind w:left="16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16,208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2,303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85.8%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17,612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2,475</w:t>
            </w:r>
          </w:p>
        </w:tc>
        <w:tc>
          <w:tcPr>
            <w:tcW w:w="1060" w:type="dxa"/>
            <w:vAlign w:val="bottom"/>
            <w:gridSpan w:val="2"/>
          </w:tcPr>
          <w:p>
            <w:pPr>
              <w:ind w:left="520"/>
              <w:spacing w:after="0"/>
              <w:rPr>
                <w:sz w:val="20"/>
                <w:szCs w:val="20"/>
                <w:color w:val="auto"/>
              </w:rPr>
            </w:pPr>
            <w:r>
              <w:rPr>
                <w:rFonts w:ascii="Arial" w:cs="Arial" w:eastAsia="Arial" w:hAnsi="Arial"/>
                <w:sz w:val="17"/>
                <w:szCs w:val="17"/>
                <w:color w:val="auto"/>
              </w:rPr>
              <w:t>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2540</wp:posOffset>
            </wp:positionV>
            <wp:extent cx="12865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2603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2540</wp:posOffset>
            </wp:positionV>
            <wp:extent cx="12693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936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40" w:right="1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2019, “Other” includes the New Mexico health plan. The New Mexico health plan’s Medicaid contract terminated on December 31, 2018, and therefore its 2019 results are not individually significant to our consolidated operating results.</w:t>
      </w:r>
    </w:p>
    <w:p>
      <w:pPr>
        <w:ind w:left="340" w:right="460" w:hanging="332"/>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whose results are not individually significant to our consolidated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 Performance</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summary, we believe our health plan portfolio continued to perform well in 2019, despite headwinds from lower membership from contract losses in Florida and New Mexico, and cost pressures in certain Medicaid markets. Comments relating to California, Ohio, Texas and Washington, our largest health plans from a premium revenue standpoint, follow:</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California health plan continues to perform well in its diversified book of business in one of the more complex network environments in the country, and the MCR is performing in the low 80s as a result of a stable premium rate environment and effective medical cost management. Medical Margin in 2018 was unfavorably impacted by the $81 million reduction in premium revenue relating to retroactive California Medicaid Expansion risk corridor adjustments.</w:t>
      </w:r>
    </w:p>
    <w:p>
      <w:pPr>
        <w:spacing w:after="0" w:line="20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Ohio, we have meaningful market share at approximately 12%, and are generating solid Medical Margins. However, the Medical Margin decreased and the MCR increased in 2019 due to higher medical care costs from the carve in of the behavioral health benefit and a higher acuity mix of members due to redetermination efforts by the state. We expect that these higher medical care costs will eventually be factored into future premium rate considerations by the state.</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Texas health plan experienced a decline in both premium revenues and Medical Margin in 2019, due to the overall decline in Marketplace membership, and a higher Marketplace MCR due to higher medical care costs.</w:t>
      </w:r>
    </w:p>
    <w:p>
      <w:pPr>
        <w:spacing w:after="0" w:line="1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Washington, premium revenues increased in 2019 due to significant membership growth following our successful re-procurement, and the introduction of the new integrated behavioral health benefit. We have a well-diversified portfolio of products and our Medical Margin performance improved year-over-year due to the premium growth and</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37</w:t>
      </w:r>
    </w:p>
    <w:p>
      <w:pPr>
        <w:sectPr>
          <w:pgSz w:w="11900" w:h="16838" w:orient="portrait"/>
          <w:cols w:equalWidth="0" w:num="1">
            <w:col w:w="11420"/>
          </w:cols>
          <w:pgMar w:left="240" w:top="57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improved MCR. The MCR improved, despite some pressure in medical costs, due to the increased focus on medical care management.</w:t>
      </w:r>
    </w:p>
    <w:p>
      <w:pPr>
        <w:spacing w:after="0" w:line="200" w:lineRule="exact"/>
        <w:rPr>
          <w:sz w:val="20"/>
          <w:szCs w:val="20"/>
          <w:color w:val="auto"/>
        </w:rPr>
      </w:pPr>
    </w:p>
    <w:p>
      <w:pPr>
        <w:spacing w:after="0" w:line="297" w:lineRule="exact"/>
        <w:rPr>
          <w:sz w:val="20"/>
          <w:szCs w:val="20"/>
          <w:color w:val="auto"/>
        </w:rPr>
      </w:pPr>
    </w:p>
    <w:tbl>
      <w:tblPr>
        <w:tblLayout w:type="fixed"/>
        <w:tblInd w:w="1120" w:type="dxa"/>
        <w:tblCellMar>
          <w:top w:w="0" w:type="dxa"/>
          <w:left w:w="0" w:type="dxa"/>
          <w:bottom w:w="0" w:type="dxa"/>
          <w:right w:w="0" w:type="dxa"/>
        </w:tblCellMar>
      </w:tblPr>
      <w:tr>
        <w:trPr>
          <w:trHeight w:val="236"/>
        </w:trPr>
        <w:tc>
          <w:tcPr>
            <w:tcW w:w="3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64"/>
        </w:trPr>
        <w:tc>
          <w:tcPr>
            <w:tcW w:w="3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325"/>
        </w:trPr>
        <w:tc>
          <w:tcPr>
            <w:tcW w:w="3000" w:type="dxa"/>
            <w:vAlign w:val="bottom"/>
          </w:tcPr>
          <w:p>
            <w:pPr>
              <w:spacing w:after="0"/>
              <w:rPr>
                <w:sz w:val="24"/>
                <w:szCs w:val="24"/>
                <w:color w:val="auto"/>
              </w:rPr>
            </w:pPr>
          </w:p>
        </w:tc>
        <w:tc>
          <w:tcPr>
            <w:tcW w:w="1060" w:type="dxa"/>
            <w:vAlign w:val="bottom"/>
            <w:gridSpan w:val="3"/>
          </w:tcPr>
          <w:p>
            <w:pPr>
              <w:ind w:left="120"/>
              <w:spacing w:after="0"/>
              <w:rPr>
                <w:sz w:val="20"/>
                <w:szCs w:val="20"/>
                <w:color w:val="auto"/>
              </w:rPr>
            </w:pPr>
            <w:r>
              <w:rPr>
                <w:rFonts w:ascii="Arial" w:cs="Arial" w:eastAsia="Arial" w:hAnsi="Arial"/>
                <w:sz w:val="17"/>
                <w:szCs w:val="17"/>
                <w:b w:val="1"/>
                <w:bCs w:val="1"/>
                <w:color w:val="auto"/>
              </w:rPr>
              <w:t>Premium</w:t>
            </w:r>
          </w:p>
        </w:tc>
        <w:tc>
          <w:tcPr>
            <w:tcW w:w="140" w:type="dxa"/>
            <w:vAlign w:val="bottom"/>
          </w:tcPr>
          <w:p>
            <w:pPr>
              <w:spacing w:after="0"/>
              <w:rPr>
                <w:sz w:val="24"/>
                <w:szCs w:val="24"/>
                <w:color w:val="auto"/>
              </w:rPr>
            </w:pPr>
          </w:p>
        </w:tc>
        <w:tc>
          <w:tcPr>
            <w:tcW w:w="80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Medical</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7"/>
                <w:szCs w:val="17"/>
                <w:b w:val="1"/>
                <w:bCs w:val="1"/>
                <w:color w:val="auto"/>
              </w:rPr>
              <w:t>Premium</w:t>
            </w:r>
          </w:p>
        </w:tc>
        <w:tc>
          <w:tcPr>
            <w:tcW w:w="140" w:type="dxa"/>
            <w:vAlign w:val="bottom"/>
          </w:tcPr>
          <w:p>
            <w:pPr>
              <w:spacing w:after="0"/>
              <w:rPr>
                <w:sz w:val="24"/>
                <w:szCs w:val="24"/>
                <w:color w:val="auto"/>
              </w:rPr>
            </w:pPr>
          </w:p>
        </w:tc>
        <w:tc>
          <w:tcPr>
            <w:tcW w:w="80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Medical</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6"/>
        </w:trPr>
        <w:tc>
          <w:tcPr>
            <w:tcW w:w="30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Revenue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rPr>
              <w:t>Margin</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MCR</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rPr>
              <w:t>Margin</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MCR</w:t>
            </w: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Medicaid</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88.0%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90.0%</w:t>
            </w:r>
          </w:p>
        </w:tc>
      </w:tr>
      <w:tr>
        <w:trPr>
          <w:trHeight w:val="261"/>
        </w:trPr>
        <w:tc>
          <w:tcPr>
            <w:tcW w:w="3000" w:type="dxa"/>
            <w:vAlign w:val="bottom"/>
          </w:tcPr>
          <w:p>
            <w:pPr>
              <w:ind w:left="40"/>
              <w:spacing w:after="0"/>
              <w:rPr>
                <w:sz w:val="20"/>
                <w:szCs w:val="20"/>
                <w:color w:val="auto"/>
              </w:rPr>
            </w:pPr>
            <w:r>
              <w:rPr>
                <w:rFonts w:ascii="Arial" w:cs="Arial" w:eastAsia="Arial" w:hAnsi="Arial"/>
                <w:sz w:val="17"/>
                <w:szCs w:val="17"/>
                <w:color w:val="auto"/>
              </w:rPr>
              <w:t>Medicare</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330</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322</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84.5</w:t>
            </w:r>
          </w:p>
        </w:tc>
      </w:tr>
      <w:tr>
        <w:trPr>
          <w:trHeight w:val="272"/>
        </w:trPr>
        <w:tc>
          <w:tcPr>
            <w:tcW w:w="3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Marketplace</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58.9</w:t>
            </w:r>
          </w:p>
        </w:tc>
      </w:tr>
      <w:tr>
        <w:trPr>
          <w:trHeight w:val="241"/>
        </w:trPr>
        <w:tc>
          <w:tcPr>
            <w:tcW w:w="3000" w:type="dxa"/>
            <w:vAlign w:val="bottom"/>
          </w:tcPr>
          <w:p>
            <w:pPr>
              <w:ind w:left="18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16,208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2,303</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17,612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2,475</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85.9%</w:t>
            </w:r>
          </w:p>
        </w:tc>
      </w:tr>
      <w:tr>
        <w:trPr>
          <w:trHeight w:val="20"/>
        </w:trPr>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 Program</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Medicaid premium revenue decreased $1,157 million in 2019, mainly due to membership losses resulting from the termination of our Medicaid contracts in New Mexico and in all but two regions in Florida in late 2018 and early 2019, respectively, partially offset by net rate increases in certain other markets.</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Medical Margin of our Medicaid program increased $132 million, or 10%, in 2019 when compared with 2018, despite the decrease in premium revenues. The increase was due to improvement in the overall Medicaid MCR, which more than offset the impact of lower premium revenue.</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Medicaid MCR decreased to 88.0% in 2019, from 90.0% in 2018, or 200 basis points. The decrease in the Medicaid MCR in 2019 was due to improvements across all programs. The MCR for TANF and CHIP improved due to PMPM premium revenue increases. The improved MCR for the ABD program was principally driven by increases in premium revenue PMPM, lower pharmacy costs from re-contracted pharmacy benefits management, and our continued focus on medical cost management.</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decrease in the Medicaid Expansion MCR in 2019, when compared with 2018, was mainly due to the impact of the $81 million reduction in premium revenue recognized in 2018, relating to retroactive California Medicaid Expansion risk corridor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Program</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Medicare premium revenue increased by $169 million in 2019, primarily due to an 8% increase in premium revenue PMPM. PMPMs improved due to increased revenue resulting from risk scores that are more commensurate with the acuity of our population. Member months were essentially flat in 2019 compared to 2018.</w:t>
      </w:r>
    </w:p>
    <w:p>
      <w:pPr>
        <w:spacing w:after="0" w:line="20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Medical Margin for Medicare increased $8 million, or 2%, in 2019 when compared with 2018, primarily due to the increase in premium revenue discussed above.</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Medicare MCR increase was primarily due to the increase in medical care costs PMPM, which was partially offset by the increase in the premium revenue PMPM discussed above. The increase in medical care costs PMPM is mainly attributed to fluctuations of medical care costs in certain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Program</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Marketplace premium revenue decreased $416 million in 2019, driven by lower membership, partially offset by premium rate increases and increased premiums tied to risk scores. Marketplace membership declined from 362,000 at December 31, 2018, to 274,000 at December 31, 2019. Additionally, the decrease in premiums in 2019 reflects a relatively smaller benefit from prior year Marketplace risk adjustment settlements in 2019, when compared with 2018.</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Marketplace Medical Margin decreased $312 million in 2019, when compared with 2018, primarily due to a decrease in premium revenues, and the increase in the Marketplace MCR. Additionally, the decrease in Medical Margin in 2019 was partially driven by the impact of the $81 million CSR reimbursement recognized in 2018. The CSR benefit related to 2017 dates of service and was recognized following the federal government’s confirmation that the reconciliation would be performed on an annual basis. In the fourth quarter of 2017, we had assumed a nine-month reconciliation of this item pending confirmation of the time period to which the 2017 reconciliation would be applied.</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38</w:t>
      </w:r>
    </w:p>
    <w:p>
      <w:pPr>
        <w:sectPr>
          <w:pgSz w:w="11900" w:h="16838" w:orient="portrait"/>
          <w:cols w:equalWidth="0" w:num="1">
            <w:col w:w="11420"/>
          </w:cols>
          <w:pgMar w:left="240" w:top="679" w:right="239" w:bottom="1440" w:gutter="0" w:footer="0" w:header="0"/>
        </w:sectPr>
      </w:pPr>
    </w:p>
    <w:bookmarkStart w:id="41" w:name="page42"/>
    <w:bookmarkEnd w:id="41"/>
    <w:p>
      <w:pPr>
        <w:jc w:val="both"/>
        <w:ind w:right="340"/>
        <w:spacing w:after="0" w:line="256" w:lineRule="auto"/>
        <w:rPr>
          <w:sz w:val="20"/>
          <w:szCs w:val="20"/>
          <w:color w:val="auto"/>
        </w:rPr>
      </w:pPr>
      <w:r>
        <w:rPr>
          <w:rFonts w:ascii="Arial" w:cs="Arial" w:eastAsia="Arial" w:hAnsi="Arial"/>
          <w:sz w:val="18"/>
          <w:szCs w:val="18"/>
          <w:color w:val="auto"/>
        </w:rPr>
        <w:t>The Marketplace MCR increased 930 basis points in 2019, which is mainly attributable to the impact of the $81 million CSR reimbursement recognized in 2018, and the relatively smaller benefit from prior year Marketplace risk adjustment settlements in 2019, when compared with 2018, as discussed above.</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Other segment includes the historical results of the MMIS and behavioral health subsidiaries we sold in late 2018, as well as certain corporate amounts not allocated to the Health Plans segment. Beginning in 2019, we no longer report service revenue or cost of service revenue as a result of the sales of the MMIS and behavioral health subsidiaries noted above. In 2019 and 2018, the Other segment margin was insignificant to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health plan subsidiaries generate significant cash flows from premium revenue. Such cash flows are our primary source of liquidity. Thus, any future decline in our profitability may have a negative impact on our liquidity. We generally receive premium revenue a short time before we pay for the related health care services. The majority of the assets held by our regulated health plan subsidiaries is in the form of cash, cash equivalents, and investments.</w:t>
      </w:r>
    </w:p>
    <w:p>
      <w:pPr>
        <w:spacing w:after="0" w:line="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dividends to the parent company amounting to $1,373 million in 2019, and $288 million in 2018. The parent company contributed capital of $43 million and $145 million in 2019 and 2018, respectively, to our regulated health plan subsidiaries to satisfy statutory net worth requirements.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cash equivalents and investments at the parent company amounted to $997 million and $170 million as of December 31, 2019, and 2018, respectively. The increase in 2019 was mainly due to the dividends received from regulated health plan subsidiaries, as described above, and proceeds from borrowings under the Term Loan Facility. These cash inflows were partially offset by principal repayments of our outstanding 1.125% Convertible Notes and common stock purchases, as described further below in “Cash Flow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generally invest cash of our regulated subsidiaries that exceeds our expected short-term obligations in longer term, investment-grade, marketable debt securities to improve our overall investment return. These investments are purchased pursuant to board approved investment policies which conform to applicable state laws and regulations.</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20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39</w:t>
      </w:r>
    </w:p>
    <w:p>
      <w:pPr>
        <w:sectPr>
          <w:pgSz w:w="11900" w:h="16838" w:orient="portrait"/>
          <w:cols w:equalWidth="0" w:num="1">
            <w:col w:w="11420"/>
          </w:cols>
          <w:pgMar w:left="240" w:top="67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51"/>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(1,436)</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Net decrease in cash, cash equivalents, and restricted cash and cash equivalents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agencies may adjust their payment schedules, positively or negatively impacting our reported cash flows from operating activities in any given period. For example, government agencies may delay our premium payments, or they may prepay the following month’s premium payment.</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operations was $427 million in 2019, compared with $314 million of net cash used in 2018. The $741 million increase in cash flow was mainly due to the impact of timing of premium receipts and settlements with government agencies, the latter being primarily related to the final 2017 CSR settlement paid in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Net cash used in investing activities was $293 million in 2019, compared with $1,143 million of net cash provided in 2018, a decrease in cash flow of $1,436 million. The year over year decline was primarily due to increased purchases of investments, net of lower proceeds from sales and maturities of investments, in the year ended December 31,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used in financing activities was $552 million in 2019, compared with $1,193 million in 2018. In 2019, net cash paid for the aggregate 1.125% Convertible Notes-related transactions amounted to $730 million, and we paid $47 million for common stock purchases, partially offset by proceeds of $220 million borrowed under the Term Loan Facility. In 2018, net cash used in financing activities included net cash paid for the aggregate 1.125% Convertible Notes-related transactions of $837 million, a $300 million repayment of the Credit Facility, and $64 million repayment of the 1.625% Convertible Notes.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25"/>
          <w:szCs w:val="25"/>
          <w:color w:val="828282"/>
        </w:rPr>
        <w:t>FINANCIAL CONDITION</w:t>
      </w:r>
    </w:p>
    <w:p>
      <w:pPr>
        <w:spacing w:after="0" w:line="223" w:lineRule="exact"/>
        <w:rPr>
          <w:sz w:val="20"/>
          <w:szCs w:val="20"/>
          <w:color w:val="auto"/>
        </w:rPr>
      </w:pPr>
    </w:p>
    <w:p>
      <w:pPr>
        <w:ind w:left="60" w:right="180"/>
        <w:spacing w:after="0" w:line="256"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a consolidated basis, as of December 31, 2019, our working capital was $2,698 million compared with $ 2,216 million as of December 31, 2018. At December 31, 2019, our cash and investments amounted to $4,477 million, compared with $4,629 million of cash and investments at December 31, 2018.</w:t>
      </w:r>
    </w:p>
    <w:p>
      <w:pPr>
        <w:spacing w:after="0" w:line="9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Because of the statutory restrictions that inhibit the ability of our health plans to transfer net assets to us, the amount of retained earnings readily available to pay dividends to our stockholders is generally limited to cash, cash equivalents and investments held by our unregulated parent. For more information, see the “Liquidity” discussion presented earlier in this section of the MD&amp;A.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of our regulated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estimated to be approximately $1,110 million at December 31, 2019,</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40</w:t>
      </w:r>
    </w:p>
    <w:p>
      <w:pPr>
        <w:sectPr>
          <w:pgSz w:w="11900" w:h="16838" w:orient="portrait"/>
          <w:cols w:equalWidth="0" w:num="1">
            <w:col w:w="11420"/>
          </w:cols>
          <w:pgMar w:left="240" w:top="657" w:right="239" w:bottom="1440" w:gutter="0" w:footer="0" w:header="0"/>
        </w:sectPr>
      </w:pPr>
    </w:p>
    <w:bookmarkStart w:id="43" w:name="page44"/>
    <w:bookmarkEnd w:id="43"/>
    <w:p>
      <w:pPr>
        <w:ind w:right="40"/>
        <w:spacing w:after="0" w:line="262" w:lineRule="auto"/>
        <w:rPr>
          <w:sz w:val="20"/>
          <w:szCs w:val="20"/>
          <w:color w:val="auto"/>
        </w:rPr>
      </w:pPr>
      <w:r>
        <w:rPr>
          <w:rFonts w:ascii="Arial" w:cs="Arial" w:eastAsia="Arial" w:hAnsi="Arial"/>
          <w:sz w:val="18"/>
          <w:szCs w:val="18"/>
          <w:color w:val="auto"/>
        </w:rPr>
        <w:t>compared with $1,040 million at December 31, 2018. Our HMO subsidiaries were in compliance with these minimum capital requirements as of both dates.</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HMO subsidiaries without prior approval by regulatory authorities as of December 31, 2019, is approximately $41 million in the aggregate. Our HMO subsidiaries may pay dividends over this amount, but only after approval is granted by the regulatory authorities.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5.375% Notes and 4.875% Notes are rated “BB-” by Standard &amp; Poor’s, and “B2” by Moody’s Investor Service, Inc. A downgrade in our ratings could adversely affect our borrowing capacity and increase our borrowing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Credit Agreement contains customary non-financial and financial covenants, including a net leverage ratio and an interest coverage ratio.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ratios, presented below, are computed as defined by the terms of the Credit Agreement.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396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9"/>
              </w:rPr>
              <w:t>Required Per</w:t>
            </w:r>
          </w:p>
        </w:tc>
        <w:tc>
          <w:tcPr>
            <w:tcW w:w="1700" w:type="dxa"/>
            <w:vAlign w:val="bottom"/>
          </w:tcPr>
          <w:p>
            <w:pPr>
              <w:ind w:left="160"/>
              <w:spacing w:after="0"/>
              <w:rPr>
                <w:sz w:val="20"/>
                <w:szCs w:val="20"/>
                <w:color w:val="auto"/>
              </w:rPr>
            </w:pPr>
            <w:r>
              <w:rPr>
                <w:rFonts w:ascii="Arial" w:cs="Arial" w:eastAsia="Arial" w:hAnsi="Arial"/>
                <w:sz w:val="18"/>
                <w:szCs w:val="18"/>
                <w:b w:val="1"/>
                <w:bCs w:val="1"/>
                <w:color w:val="auto"/>
              </w:rPr>
              <w:t>As of December</w:t>
            </w:r>
          </w:p>
        </w:tc>
      </w:tr>
      <w:tr>
        <w:trPr>
          <w:trHeight w:val="246"/>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Credit Agreement Financial Covenants</w:t>
            </w:r>
          </w:p>
        </w:tc>
        <w:tc>
          <w:tcPr>
            <w:tcW w:w="3960" w:type="dxa"/>
            <w:vAlign w:val="bottom"/>
            <w:gridSpan w:val="2"/>
          </w:tcPr>
          <w:p>
            <w:pPr>
              <w:jc w:val="center"/>
              <w:ind w:left="1930"/>
              <w:spacing w:after="0"/>
              <w:rPr>
                <w:sz w:val="20"/>
                <w:szCs w:val="20"/>
                <w:color w:val="auto"/>
              </w:rPr>
            </w:pPr>
            <w:r>
              <w:rPr>
                <w:rFonts w:ascii="Arial" w:cs="Arial" w:eastAsia="Arial" w:hAnsi="Arial"/>
                <w:sz w:val="18"/>
                <w:szCs w:val="18"/>
                <w:b w:val="1"/>
                <w:bCs w:val="1"/>
                <w:color w:val="auto"/>
                <w:w w:val="99"/>
              </w:rPr>
              <w:t>Agreement</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31, 2019</w:t>
            </w:r>
          </w:p>
        </w:tc>
      </w:tr>
      <w:tr>
        <w:trPr>
          <w:trHeight w:val="297"/>
        </w:trPr>
        <w:tc>
          <w:tcPr>
            <w:tcW w:w="576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leverage ratio</w:t>
            </w:r>
          </w:p>
        </w:tc>
        <w:tc>
          <w:tcPr>
            <w:tcW w:w="3960" w:type="dxa"/>
            <w:vAlign w:val="bottom"/>
            <w:gridSpan w:val="2"/>
            <w:shd w:val="clear" w:color="auto" w:fill="CCEEFF"/>
          </w:tcPr>
          <w:p>
            <w:pPr>
              <w:jc w:val="center"/>
              <w:ind w:left="1950"/>
              <w:spacing w:after="0"/>
              <w:rPr>
                <w:sz w:val="20"/>
                <w:szCs w:val="20"/>
                <w:color w:val="auto"/>
              </w:rPr>
            </w:pPr>
            <w:r>
              <w:rPr>
                <w:rFonts w:ascii="Arial" w:cs="Arial" w:eastAsia="Arial" w:hAnsi="Arial"/>
                <w:sz w:val="18"/>
                <w:szCs w:val="18"/>
                <w:color w:val="auto"/>
                <w:w w:val="98"/>
              </w:rPr>
              <w:t>&lt;4.0x</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1.0x</w:t>
            </w:r>
          </w:p>
        </w:tc>
      </w:tr>
      <w:tr>
        <w:trPr>
          <w:trHeight w:val="257"/>
        </w:trPr>
        <w:tc>
          <w:tcPr>
            <w:tcW w:w="5760" w:type="dxa"/>
            <w:vAlign w:val="bottom"/>
          </w:tcPr>
          <w:p>
            <w:pPr>
              <w:ind w:left="40"/>
              <w:spacing w:after="0"/>
              <w:rPr>
                <w:sz w:val="20"/>
                <w:szCs w:val="20"/>
                <w:color w:val="auto"/>
              </w:rPr>
            </w:pPr>
            <w:r>
              <w:rPr>
                <w:rFonts w:ascii="Arial" w:cs="Arial" w:eastAsia="Arial" w:hAnsi="Arial"/>
                <w:sz w:val="18"/>
                <w:szCs w:val="18"/>
                <w:color w:val="auto"/>
              </w:rPr>
              <w:t>Interest coverage ratio</w:t>
            </w:r>
          </w:p>
        </w:tc>
        <w:tc>
          <w:tcPr>
            <w:tcW w:w="3960" w:type="dxa"/>
            <w:vAlign w:val="bottom"/>
            <w:gridSpan w:val="2"/>
          </w:tcPr>
          <w:p>
            <w:pPr>
              <w:jc w:val="center"/>
              <w:ind w:left="1950"/>
              <w:spacing w:after="0"/>
              <w:rPr>
                <w:sz w:val="20"/>
                <w:szCs w:val="20"/>
                <w:color w:val="auto"/>
              </w:rPr>
            </w:pPr>
            <w:r>
              <w:rPr>
                <w:rFonts w:ascii="Arial" w:cs="Arial" w:eastAsia="Arial" w:hAnsi="Arial"/>
                <w:sz w:val="18"/>
                <w:szCs w:val="18"/>
                <w:color w:val="auto"/>
                <w:w w:val="98"/>
              </w:rPr>
              <w:t>&gt;3.5x</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14.5x</w:t>
            </w:r>
          </w:p>
        </w:tc>
      </w:tr>
    </w:tbl>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the indentures governing the 4.875% Notes, the 5.375% Notes, and the 1.125% Convertible Notes contain cross-default provisions that are triggered upon default by us or any of our subsidiaries on any indebtedness in excess of the amount specified in the applicable indenture. As of December 31, 2019, we were in compliance with all covenants under the Credit Agreement and the indentures governing our outstanding notes.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24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we generally receive a short time before we pay for the related health care services. Such cash flows are our primary source of liquidity. Thus, any future decline in our profitability may have a negative impact on our liquidity.</w:t>
      </w:r>
    </w:p>
    <w:p>
      <w:pPr>
        <w:spacing w:after="0" w:line="18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For more information on our regulatory capital requirements and dividend restrictions, refer to Notes to Consolidated Financial Statements, Note 17, “Commitments and Contingencies—Regulatory Capital Requirements and Dividend Restrictions,” and Note 20, “Condensed Financial Information of Registrant—Note C - Dividends and Capital Contributions.”</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December 31, 2019, we had available borrowing capacity of $380 million under the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following our draw down of $ 220 million in the first half of 2019. Under the Term Loan Facility, we may request up to ten advances, each in a minimum principal amount of $50 million, until July 31, 2020. In addition, we have available borrowing capacity of $499 million under our Credit Facility. See further discussion in the Notes to Consolidated Financial Statements, Note 11, “Debt.”</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Savings from the IT Restructuring Plan. </w:t>
      </w:r>
      <w:r>
        <w:rPr>
          <w:rFonts w:ascii="Arial" w:cs="Arial" w:eastAsia="Arial" w:hAnsi="Arial"/>
          <w:sz w:val="18"/>
          <w:szCs w:val="18"/>
          <w:color w:val="auto"/>
        </w:rPr>
        <w:t>Management’s margin recovery plan identified and implemented various profit improvement initiatives.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included the plan to restructure our information technology department (the “IT Restructuring Plan”) in 2018, which is reported in the Other segment. In connection with this plan, in early 2019, we entered into services agreements with an outsourcing vendor who manages certain of our information technology services. The IT Restructuring Plan is substantially complete. We reduced annualized run-rate expenses by approximately $14 million in 2019, and expect to reduce such expenses by approximately $25 million to $30 million by the end of the fifth full year of the contract. Such savings, when achieved, reduce Other segment general and administrative expenses in our consolidated statements of operations. Further details of the restructuring plans, including costs associated with such plans, are described in the Notes to Consolidated Financial Statements, Note 15, “Restructuring Costs.”</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41</w:t>
      </w:r>
    </w:p>
    <w:p>
      <w:pPr>
        <w:sectPr>
          <w:pgSz w:w="11900" w:h="16838" w:orient="portrait"/>
          <w:cols w:equalWidth="0" w:num="1">
            <w:col w:w="11420"/>
          </w:cols>
          <w:pgMar w:left="240" w:top="67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Common Stock Purchases</w:t>
      </w:r>
      <w:r>
        <w:rPr>
          <w:rFonts w:ascii="Arial" w:cs="Arial" w:eastAsia="Arial" w:hAnsi="Arial"/>
          <w:sz w:val="18"/>
          <w:szCs w:val="18"/>
          <w:color w:val="auto"/>
        </w:rPr>
        <w:t>. In early December 2019, our board of directors authorized the purchase of up to $500 million, in the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This program is funded by existing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w:t>
      </w:r>
    </w:p>
    <w:p>
      <w:pPr>
        <w:spacing w:after="0" w:line="19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described in the Notes to Consolidated Financial Statements, Note 14, “Stockholders' Equity,” pursuant to a Rule 10b5-1 trading plan, we purchased approximately 400,000 shares of our common stock for $54 million in December 2019 (average cost of $ 135.30 per share), including approximately 55,000 shares purchased for $7 million in late December 2019, and settled in early January 2020. In January 2020 through February 7, 2020, we purchased 1,533,000 shares for $203 million (average cost of 132.69 per share).</w:t>
      </w:r>
    </w:p>
    <w:p>
      <w:pPr>
        <w:spacing w:after="0" w:line="18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Our strategic focus has shifted to a disciplined and steady approach to growth. Organic growth, which includes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health plan portfolio and winning new territories, is our highest priority. In addition to organic growth, we will consider targeted inorganic growth opportunities that provide a strategic fit, leverage operational synergies, and lead to incremental earnings accretion. This will include “bolt-on” membership opportunities in our current states and health plans in new states. As noted below, we entered into two acquisition agreements in the fourth quarter of 2019, pursuant to which we expect to add Medicaid membership in Illinois and New York in 2020.</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December 31, 2019, we entered into a definitive agreement to purchase NextLevel Health Partners, Inc., a Medicaid managed care organization. Upon the closing of this transaction, expected to occur in the first half of 2020, we will assume the right to serve approximately 50,000 Medicaid and Managed Long-Term Services and Supports members in Cook County, Illinois. The purchase price of approximately $50 million will be funded with available cash, and the closing is subject to customary closing conditions.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2019, we entered into a definitive agreement to acquire certain assets of YourCare Health Plan, Inc. Upon the closing of this transaction, expected to occur in the first half of 2020, we will serve approximately 46,000 Medicaid members in seven counties in western New York. The purchase price of approximately $40 million will be funded with available cash, and the closing is subject to customary closing conditions.</w:t>
      </w:r>
    </w:p>
    <w:p>
      <w:pPr>
        <w:spacing w:after="0" w:line="7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54"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i w:val="1"/>
          <w:iCs w:val="1"/>
          <w:color w:val="auto"/>
        </w:rPr>
        <w:t xml:space="preserve">1.125% Convertible Notes. </w:t>
      </w:r>
      <w:r>
        <w:rPr>
          <w:rFonts w:ascii="Arial" w:cs="Arial" w:eastAsia="Arial" w:hAnsi="Arial"/>
          <w:sz w:val="18"/>
          <w:szCs w:val="18"/>
          <w:color w:val="auto"/>
        </w:rPr>
        <w:t>On January 15, 2020, we repaid the 1.125% Convertible Notes for $39 million, which amount reflected final</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both the principal amount outstanding and the 1.125% Conversion Option. Refer to the Notes to Consolidated Financial Statements, Note 11, “Debt,” for a detailed discussion of our convertible notes, including recent transactions.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25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76" w:lineRule="exact"/>
        <w:rPr>
          <w:sz w:val="20"/>
          <w:szCs w:val="20"/>
          <w:color w:val="auto"/>
        </w:rPr>
      </w:pPr>
    </w:p>
    <w:p>
      <w:pPr>
        <w:ind w:left="660" w:right="400" w:hanging="328"/>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See discussion below, and refer to the Notes to Consolidated Financial Statements, Notes 2,</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Accounting Policies,” and 10, “Medical Claims and Benefits Payable” for more information.</w:t>
      </w:r>
    </w:p>
    <w:p>
      <w:pPr>
        <w:spacing w:after="0" w:line="53" w:lineRule="exact"/>
        <w:rPr>
          <w:rFonts w:ascii="Arial" w:cs="Arial" w:eastAsia="Arial" w:hAnsi="Arial"/>
          <w:sz w:val="18"/>
          <w:szCs w:val="18"/>
          <w:color w:val="auto"/>
        </w:rPr>
      </w:pPr>
    </w:p>
    <w:p>
      <w:pPr>
        <w:ind w:left="660" w:right="580" w:hanging="328"/>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Contractual provisions that may adjust or limit revenue or profit. </w:t>
      </w:r>
      <w:r>
        <w:rPr>
          <w:rFonts w:ascii="Arial" w:cs="Arial" w:eastAsia="Arial" w:hAnsi="Arial"/>
          <w:sz w:val="18"/>
          <w:szCs w:val="18"/>
          <w:color w:val="auto"/>
        </w:rPr>
        <w:t>For a comprehensive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the Notes to Consolidated Financial Statements, Note 2, “Significant Accounting Policies.”</w:t>
      </w:r>
    </w:p>
    <w:p>
      <w:pPr>
        <w:spacing w:after="0" w:line="68"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Quality incentives. </w:t>
      </w:r>
      <w:r>
        <w:rPr>
          <w:rFonts w:ascii="Arial" w:cs="Arial" w:eastAsia="Arial" w:hAnsi="Arial"/>
          <w:sz w:val="18"/>
          <w:szCs w:val="18"/>
          <w:color w:val="auto"/>
        </w:rPr>
        <w:t>For a comprehensive discussion of this topic, including amounts recorded in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the Notes to Consolidated Financial Statements, Note 2, “Significant Accounting Policies.”</w:t>
      </w:r>
    </w:p>
    <w:p>
      <w:pPr>
        <w:spacing w:after="0" w:line="53"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intangible assets, net. </w:t>
      </w:r>
      <w:r>
        <w:rPr>
          <w:rFonts w:ascii="Arial" w:cs="Arial" w:eastAsia="Arial" w:hAnsi="Arial"/>
          <w:sz w:val="18"/>
          <w:szCs w:val="18"/>
          <w:color w:val="auto"/>
        </w:rPr>
        <w:t>At December 31, 2019, goodwill and intangible assets, net, represented approximately 3%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9% of total stockholders’ equity, compared with 3% and</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42</w:t>
      </w:r>
    </w:p>
    <w:p>
      <w:pPr>
        <w:sectPr>
          <w:pgSz w:w="11900" w:h="16838" w:orient="portrait"/>
          <w:cols w:equalWidth="0" w:num="1">
            <w:col w:w="11420"/>
          </w:cols>
          <w:pgMar w:left="240" w:top="657" w:right="239" w:bottom="1440" w:gutter="0" w:footer="0" w:header="0"/>
        </w:sectPr>
      </w:pPr>
    </w:p>
    <w:bookmarkStart w:id="45" w:name="page46"/>
    <w:bookmarkEnd w:id="45"/>
    <w:p>
      <w:pPr>
        <w:ind w:left="660" w:right="240"/>
        <w:spacing w:after="0" w:line="256" w:lineRule="auto"/>
        <w:rPr>
          <w:sz w:val="20"/>
          <w:szCs w:val="20"/>
          <w:color w:val="auto"/>
        </w:rPr>
      </w:pPr>
      <w:r>
        <w:rPr>
          <w:rFonts w:ascii="Arial" w:cs="Arial" w:eastAsia="Arial" w:hAnsi="Arial"/>
          <w:sz w:val="18"/>
          <w:szCs w:val="18"/>
          <w:color w:val="auto"/>
        </w:rPr>
        <w:t>12%, respectively, at December 31, 2018. For a comprehensive discussion of this topic, including amounts recorded in our consolidated financial statements, refer to the Notes to Consolidated Financial Statements, Note 2, “Significant Accounting Policies,” and Note 9, “Goodwill and Intangible Assets, Net.”</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COSTS, MEDICAL CLAIMS AND BENEFITS PAYABLE</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(measures the cumulative percentage of claims expense that will ultimately be paid for a given month of service based on historical payment patterns) and the assumed healthcare cost trend (the year-over-year change in per-member per-month medical care costs)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20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claims incurred more than three months before the financial statement date, we mainly use estimated completion factors to estimate the ultimate cost of those claims. Completion factors measure the cumulative percentage of claims expense that will ultimately be paid for a given month of service based on historical claims payment patterns. We analyze historical claims payment patterns by comparing claim incurred dates to claim payment dates to estimate completion factors. The estimated completion factors are then applied to claims paid through the financial statement date to estimate the ultimate claims cost for a given month’s incurred claim activity. The difference between the estimated ultimate claims cost and the claims paid through the financial statement date represents our estimate of claims remaining to be paid as of the financial statement date and is included in our IBNP liability.</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claims incurred within three months before the financial statement date, actual claims paid are a less reliable measure of our ultimate cost since a large portion of medical claims are not submitted to us until several months after services have been submitted. Accordingly, we estimate our IBNP liability for claims incurred during these months based on a blend of estimated completion factors and assumed medical care cost trend. The assumed medical care cost trend represents the year-over-year change in per-member per-month medical care costs, which can be affected by many factors including, but not limited to, our ability and practices to manage medical and pharmaceutical costs, changes in level and mix of services utilized, mix of benefits offered, including the impact of co-pays and deductibles, changes in medical practices, changes in member demographics, catastrophes and epidemics, and other relevant factors.</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43</w:t>
      </w:r>
    </w:p>
    <w:p>
      <w:pPr>
        <w:sectPr>
          <w:pgSz w:w="11900" w:h="16838" w:orient="portrait"/>
          <w:cols w:equalWidth="0" w:num="1">
            <w:col w:w="11420"/>
          </w:cols>
          <w:pgMar w:left="240" w:top="679" w:right="239" w:bottom="1440" w:gutter="0" w:footer="0" w:header="0"/>
        </w:sectPr>
      </w:pPr>
    </w:p>
    <w:bookmarkStart w:id="46" w:name="page47"/>
    <w:bookmarkEnd w:id="46"/>
    <w:p>
      <w:pPr>
        <w:ind w:right="20"/>
        <w:spacing w:after="0" w:line="252" w:lineRule="auto"/>
        <w:rPr>
          <w:sz w:val="20"/>
          <w:szCs w:val="20"/>
          <w:color w:val="auto"/>
        </w:rPr>
      </w:pPr>
      <w:r>
        <w:rPr>
          <w:rFonts w:ascii="Arial" w:cs="Arial" w:eastAsia="Arial" w:hAnsi="Arial"/>
          <w:sz w:val="18"/>
          <w:szCs w:val="18"/>
          <w:color w:val="auto"/>
        </w:rPr>
        <w:t>Actuarial standards of practice generally require a level of confidence such that our overall best estimate of the IBNP liability has a greater probability of being adequate versus being insufficient, where the liability is sufficient to account for moderately adverse conditions. Adverse conditions are situations that may cause actual claims to be higher than the otherwise estimated value of such claims at the time of the estimate, such as changes in the magnitude or severity of claims, uncertainties related to our entry into new geographical markets or provision of services to new populations, changes in state-controlled fee schedules, and modifications or upgrades to our claims processing systems and practices. Therefore, in many situations, the claim amounts ultimately settled will be less than the estimate that satisfies the actuarial standards of practice.</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When subsequent actual claims payments are less than we estimated, we recognize a benefit for favorable prior period development that is reported as part of “Components of medical care costs related to: “Prior periods” in the table presented in Note 10, “Medical Claims and Benefits Payable.” Our reserving practice is to consistently recognize the actuarial best estimate including a provision for moderately adverse conditions for each current period. This provision is reported as part of “Components of medical care costs related to: Current period” in the table presented in Note 10. Assuming stability in the size of our membership, the use of this consistent methodology, during any given period, usually results in the replenishment of reserves at a level that generally offsets the benefit of favorable prior period development in that period. In the case of material growth or decline of membership, replenishment can exceed or fall short of the favorable development, assuming all other factors remain unchanged.</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The following table reflects the hypothetical change in our estimate of claims liability as of December 31, 2019 that would result if we change our completion factors for the fourth through the twelfth months preceding December 31, 2019, by the percentages indicated. A reduction in the completion factor results in an increase in medical claims liabilities. Dollar amounts are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rPr>
              <w:t>Increase</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99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Medical Claims</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and</w:t>
            </w:r>
          </w:p>
        </w:tc>
      </w:tr>
      <w:tr>
        <w:trPr>
          <w:trHeight w:val="22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Increase (Decrease) in Estimated Completion Factors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w:t>
            </w:r>
          </w:p>
        </w:tc>
      </w:tr>
    </w:tbl>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 reflects the hypothetical change in our estimate of claims liability as of December 31, 2019 that would result if we alter our assumed medical care cost trend factors by the percentages indicated. An increase in the PMPM costs results in an increase in medical claims liabilities. Dollar amounts are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Arial" w:cs="Arial" w:eastAsia="Arial" w:hAnsi="Arial"/>
                <w:sz w:val="16"/>
                <w:szCs w:val="16"/>
                <w:b w:val="1"/>
                <w:bCs w:val="1"/>
                <w:color w:val="auto"/>
              </w:rPr>
              <w:t>Increase</w:t>
            </w:r>
          </w:p>
        </w:tc>
      </w:tr>
      <w:tr>
        <w:trPr>
          <w:trHeight w:val="189"/>
        </w:trPr>
        <w:tc>
          <w:tcPr>
            <w:tcW w:w="99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Medical Claims</w:t>
            </w:r>
          </w:p>
        </w:tc>
      </w:tr>
      <w:tr>
        <w:trPr>
          <w:trHeight w:val="189"/>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and</w:t>
            </w:r>
          </w:p>
        </w:tc>
      </w:tr>
      <w:tr>
        <w:trPr>
          <w:trHeight w:val="228"/>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(Decrease) Increase in Trended Per Member Per Month Cost Estimates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Benefits Payable</w:t>
            </w: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159</w:t>
            </w:r>
          </w:p>
        </w:tc>
      </w:tr>
    </w:tbl>
    <w:p>
      <w:pPr>
        <w:spacing w:after="0" w:line="12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There are many related factors working in conjunction with one another that determine the accuracy of our estimates, some of which are qualitative in nature rather than quantitative. Therefore, we are seldom able to quantify the impact that any single factor has on a change in estimate. Given the variability inherent in the reserving</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44</w:t>
      </w:r>
    </w:p>
    <w:p>
      <w:pPr>
        <w:sectPr>
          <w:pgSz w:w="11900" w:h="16838" w:orient="portrait"/>
          <w:cols w:equalWidth="0" w:num="1">
            <w:col w:w="11420"/>
          </w:cols>
          <w:pgMar w:left="240" w:top="679" w:right="239" w:bottom="1440" w:gutter="0" w:footer="0" w:header="0"/>
        </w:sectPr>
      </w:pPr>
    </w:p>
    <w:bookmarkStart w:id="47" w:name="page48"/>
    <w:bookmarkEnd w:id="47"/>
    <w:p>
      <w:pPr>
        <w:ind w:right="20"/>
        <w:spacing w:after="0" w:line="262" w:lineRule="auto"/>
        <w:rPr>
          <w:sz w:val="20"/>
          <w:szCs w:val="20"/>
          <w:color w:val="auto"/>
        </w:rPr>
      </w:pPr>
      <w:r>
        <w:rPr>
          <w:rFonts w:ascii="Arial" w:cs="Arial" w:eastAsia="Arial" w:hAnsi="Arial"/>
          <w:sz w:val="18"/>
          <w:szCs w:val="18"/>
          <w:color w:val="auto"/>
        </w:rPr>
        <w:t>process, we will only be able to identify specific factors if they represent a significant departure from expectations. As a result, we do not expect to be able to fully quantify the impact of individual factors on changes in estimates.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828282"/>
        </w:rPr>
        <w:t>RECENTLY ISSUED ACCOUNTING STANDARDS</w:t>
      </w:r>
    </w:p>
    <w:p>
      <w:pPr>
        <w:spacing w:after="0" w:line="223" w:lineRule="exact"/>
        <w:rPr>
          <w:sz w:val="20"/>
          <w:szCs w:val="20"/>
          <w:color w:val="auto"/>
        </w:rPr>
      </w:pPr>
    </w:p>
    <w:p>
      <w:pPr>
        <w:ind w:left="60" w:right="560"/>
        <w:spacing w:after="0" w:line="262" w:lineRule="auto"/>
        <w:rPr>
          <w:sz w:val="20"/>
          <w:szCs w:val="20"/>
          <w:color w:val="auto"/>
        </w:rPr>
      </w:pPr>
      <w:r>
        <w:rPr>
          <w:rFonts w:ascii="Arial" w:cs="Arial" w:eastAsia="Arial" w:hAnsi="Arial"/>
          <w:sz w:val="18"/>
          <w:szCs w:val="18"/>
          <w:color w:val="auto"/>
        </w:rPr>
        <w:t>Refer to the Notes to Consolidated Financial Statements, Note 2, “Significant Accounting Policies,” for a discussion of recent accounting pronouncements that affect us.</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25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the table below, we present our contractual obligations as of December 31, 2019. Some of the amounts included in this table are based on management’s estimates and assumptions about these obligations, including their duration, the possibility of renewal, anticipated actions by third parties, and other factors. Because these estimates and assumptions are necessarily subjective, the contractual obligations we will actually pay in future periods may vary from those reflected in the table.</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Additionally, we have a variety of other contractual agreements related to acquiring services used in our operations. However, we believe these other agreements do not contain material non-cancelable commitments. We are not a party to off-balance sheet financing arrangements.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2021-2022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2023-2024</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 and after</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Principal amount of debt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government agencies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Finance leases</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8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color w:val="auto"/>
              </w:rPr>
              <w:t>Interest on long-term debt</w:t>
            </w:r>
          </w:p>
        </w:tc>
        <w:tc>
          <w:tcPr>
            <w:tcW w:w="3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40" w:right="8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December 31, 2019, we have recorded approximately $20 million of unrecognized tax benefits. The table does not contain this amount because we cannot reasonably estimate when or if such amount may be settled. For further information, refer to Notes to Consolidated Financial Statements, Note 13, “Income Taxes.”</w:t>
      </w:r>
    </w:p>
    <w:p>
      <w:pPr>
        <w:spacing w:after="0" w:line="1"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principal amounts due on the 1.125% Convertible Notes due 2020, 5.375% Notes due 2022, Term Loan Facility due 2024, and 4.875% Notes due 2025. The 1.125% Convertible Notes due 2020 were settled in January 2020. For further information, refer to Notes to Consolidated Financial Statements, Note 11, “Debt.”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INFLATION</w:t>
      </w:r>
    </w:p>
    <w:p>
      <w:pPr>
        <w:spacing w:after="0" w:line="25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use various strategies to mitigate the negative effects of healthcare cost inflation. Specifically, our health plans try to control medical care costs through contracts with independent providers of healthcare services. Through these contracted providers, our health plans emphasize preventive healthcare and appropriate use of specialty and hospital services. There can be no assurance, however, that our strategies to mitigate medical care cost inflation will be successful. Competitive pressures, new healthcare and pharmaceutical product introductions, demands from healthcare providers and customers, applicable regulations, or other factors may affect our ability to control medical care costs.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45</w:t>
      </w:r>
    </w:p>
    <w:p>
      <w:pPr>
        <w:sectPr>
          <w:pgSz w:w="11900" w:h="16838" w:orient="portrait"/>
          <w:cols w:equalWidth="0" w:num="1">
            <w:col w:w="11420"/>
          </w:cols>
          <w:pgMar w:left="240" w:top="679" w:right="239" w:bottom="1440" w:gutter="0" w:footer="0" w:header="0"/>
        </w:sectPr>
      </w:pPr>
    </w:p>
    <w:bookmarkStart w:id="48" w:name="page49"/>
    <w:bookmarkEnd w:id="48"/>
    <w:p>
      <w:pPr>
        <w:spacing w:after="0"/>
        <w:rPr>
          <w:sz w:val="20"/>
          <w:szCs w:val="20"/>
          <w:color w:val="auto"/>
        </w:rPr>
      </w:pPr>
      <w:r>
        <w:rPr>
          <w:rFonts w:ascii="Arial" w:cs="Arial" w:eastAsia="Arial" w:hAnsi="Arial"/>
          <w:sz w:val="25"/>
          <w:szCs w:val="25"/>
          <w:b w:val="1"/>
          <w:bCs w:val="1"/>
          <w:color w:val="0F7C7F"/>
        </w:rPr>
        <w:t>COMPLIANCE COSTS</w:t>
      </w:r>
    </w:p>
    <w:p>
      <w:pPr>
        <w:spacing w:after="0" w:line="25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health plans are regulated by both state and federal government agencies. Regulation of managed care products and healthcare services is an evolving area of law that varies from jurisdiction to jurisdiction. Regulatory agencies generally have discretion to issue regulations and interpret and enforce laws and rules. Changes in applicable laws and rules occur frequently. Compliance with such laws and rules may lead to additional costs related to the implementation of additional systems, procedures and programs that we have not yet identified.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255"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December 31, 2019, the fair value of our fixed income investments would decrease by approximately $49 million. Declines in interest rates over time will reduce our investment income.</w:t>
      </w:r>
    </w:p>
    <w:p>
      <w:pPr>
        <w:spacing w:after="0" w:line="94" w:lineRule="exact"/>
        <w:rPr>
          <w:sz w:val="20"/>
          <w:szCs w:val="20"/>
          <w:color w:val="auto"/>
        </w:rPr>
      </w:pPr>
    </w:p>
    <w:p>
      <w:pPr>
        <w:ind w:right="940"/>
        <w:spacing w:after="0" w:line="262" w:lineRule="auto"/>
        <w:rPr>
          <w:sz w:val="20"/>
          <w:szCs w:val="20"/>
          <w:color w:val="auto"/>
        </w:rPr>
      </w:pPr>
      <w:r>
        <w:rPr>
          <w:rFonts w:ascii="Arial" w:cs="Arial" w:eastAsia="Arial" w:hAnsi="Arial"/>
          <w:sz w:val="18"/>
          <w:szCs w:val="18"/>
          <w:color w:val="auto"/>
        </w:rPr>
        <w:t>For further information on fair value measurements and our investment portfolio, please refer to the Notes to Consolidated Financial Statements, Note 4, “Fair Value Measurements,” and Note 5, “Investments.”</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Borrowings under our Credit Agreement bear interest based, at our election, on a base rate or other defined rate, plus in each case the applicable margin. As of December 31, 2019, $220 million was outstanding under the Term Loan Facility. See Notes to Consolidated Financial Statements, Note 11, “Debt,” for more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46</w:t>
      </w:r>
    </w:p>
    <w:p>
      <w:pPr>
        <w:sectPr>
          <w:pgSz w:w="11900" w:h="16838" w:orient="portrait"/>
          <w:cols w:equalWidth="0" w:num="1">
            <w:col w:w="11420"/>
          </w:cols>
          <w:pgMar w:left="240" w:top="649" w:right="23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0F7C7F"/>
        </w:rPr>
        <w:t>MOLINA HEALTHCARE, INC.</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STATEMENTS AND SUPPLEMENTARY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820" w:type="dxa"/>
            <w:vAlign w:val="bottom"/>
            <w:gridSpan w:val="3"/>
          </w:tcPr>
          <w:p>
            <w:pPr>
              <w:jc w:val="center"/>
              <w:ind w:left="2156"/>
              <w:spacing w:after="0"/>
              <w:rPr>
                <w:sz w:val="20"/>
                <w:szCs w:val="20"/>
                <w:color w:val="auto"/>
              </w:rPr>
            </w:pPr>
            <w:r>
              <w:rPr>
                <w:rFonts w:ascii="Arial" w:cs="Arial" w:eastAsia="Arial" w:hAnsi="Arial"/>
                <w:sz w:val="14"/>
                <w:szCs w:val="14"/>
                <w:b w:val="1"/>
                <w:bCs w:val="1"/>
                <w:color w:val="auto"/>
              </w:rPr>
              <w:t>Page</w:t>
            </w:r>
          </w:p>
        </w:tc>
      </w:tr>
      <w:tr>
        <w:trPr>
          <w:trHeight w:val="209"/>
        </w:trPr>
        <w:tc>
          <w:tcPr>
            <w:tcW w:w="4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Consolidated Statements of Operations</w:t>
              </w:r>
            </w:hyperlink>
          </w:p>
        </w:tc>
        <w:tc>
          <w:tcPr>
            <w:tcW w:w="4420" w:type="dxa"/>
            <w:vAlign w:val="bottom"/>
            <w:gridSpan w:val="5"/>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70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48</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7560" w:type="dxa"/>
            <w:vAlign w:val="bottom"/>
            <w:gridSpan w:val="7"/>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Comprehensive Income (Loss)</w:t>
              </w:r>
            </w:hyperlink>
          </w:p>
        </w:tc>
        <w:tc>
          <w:tcPr>
            <w:tcW w:w="3820" w:type="dxa"/>
            <w:vAlign w:val="bottom"/>
            <w:gridSpan w:val="3"/>
          </w:tcPr>
          <w:p>
            <w:pPr>
              <w:jc w:val="center"/>
              <w:ind w:left="2136"/>
              <w:spacing w:after="0" w:line="20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48</w:t>
              </w:r>
            </w:hyperlink>
          </w:p>
        </w:tc>
      </w:tr>
      <w:tr>
        <w:trPr>
          <w:trHeight w:val="34"/>
        </w:trPr>
        <w:tc>
          <w:tcPr>
            <w:tcW w:w="40" w:type="dxa"/>
            <w:vAlign w:val="bottom"/>
          </w:tcPr>
          <w:p>
            <w:pPr>
              <w:spacing w:after="0"/>
              <w:rPr>
                <w:sz w:val="2"/>
                <w:szCs w:val="2"/>
                <w:color w:val="auto"/>
              </w:rPr>
            </w:pPr>
          </w:p>
        </w:tc>
        <w:tc>
          <w:tcPr>
            <w:tcW w:w="23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20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Consolidated Balance Sheets</w:t>
              </w:r>
            </w:hyperlink>
          </w:p>
        </w:tc>
        <w:tc>
          <w:tcPr>
            <w:tcW w:w="5200" w:type="dxa"/>
            <w:vAlign w:val="bottom"/>
            <w:gridSpan w:val="6"/>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700"/>
              <w:spacing w:after="0" w:line="20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49</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7560" w:type="dxa"/>
            <w:vAlign w:val="bottom"/>
            <w:gridSpan w:val="7"/>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Stockholders’ Equity</w:t>
              </w:r>
            </w:hyperlink>
          </w:p>
        </w:tc>
        <w:tc>
          <w:tcPr>
            <w:tcW w:w="3820" w:type="dxa"/>
            <w:vAlign w:val="bottom"/>
            <w:gridSpan w:val="3"/>
          </w:tcPr>
          <w:p>
            <w:pPr>
              <w:jc w:val="center"/>
              <w:ind w:left="2136"/>
              <w:spacing w:after="0" w:line="20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50</w:t>
              </w:r>
            </w:hyperlink>
          </w:p>
        </w:tc>
      </w:tr>
      <w:tr>
        <w:trPr>
          <w:trHeight w:val="34"/>
        </w:trPr>
        <w:tc>
          <w:tcPr>
            <w:tcW w:w="40" w:type="dxa"/>
            <w:vAlign w:val="bottom"/>
          </w:tcPr>
          <w:p>
            <w:pPr>
              <w:spacing w:after="0"/>
              <w:rPr>
                <w:sz w:val="2"/>
                <w:szCs w:val="2"/>
                <w:color w:val="auto"/>
              </w:rPr>
            </w:pPr>
          </w:p>
        </w:tc>
        <w:tc>
          <w:tcPr>
            <w:tcW w:w="23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3200" w:type="dxa"/>
            <w:vAlign w:val="bottom"/>
            <w:gridSpan w:val="3"/>
            <w:shd w:val="clear" w:color="auto" w:fill="CCEEFF"/>
          </w:tcPr>
          <w:p>
            <w:pPr>
              <w:spacing w:after="0" w:line="20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Statements of Cash Flows</w:t>
              </w:r>
            </w:hyperlink>
          </w:p>
        </w:tc>
        <w:tc>
          <w:tcPr>
            <w:tcW w:w="4360" w:type="dxa"/>
            <w:vAlign w:val="bottom"/>
            <w:gridSpan w:val="4"/>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700"/>
              <w:spacing w:after="0" w:line="20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51</w:t>
              </w:r>
            </w:hyperlink>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3500" w:type="dxa"/>
            <w:vAlign w:val="bottom"/>
            <w:gridSpan w:val="4"/>
          </w:tcPr>
          <w:p>
            <w:pPr>
              <w:spacing w:after="0" w:line="20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Notes to Consolidated Financial Statements</w:t>
              </w:r>
            </w:hyperlink>
          </w:p>
        </w:tc>
        <w:tc>
          <w:tcPr>
            <w:tcW w:w="4060" w:type="dxa"/>
            <w:vAlign w:val="bottom"/>
            <w:gridSpan w:val="3"/>
          </w:tcPr>
          <w:p>
            <w:pPr>
              <w:spacing w:after="0"/>
              <w:rPr>
                <w:sz w:val="17"/>
                <w:szCs w:val="17"/>
                <w:color w:val="auto"/>
              </w:rPr>
            </w:pPr>
          </w:p>
        </w:tc>
        <w:tc>
          <w:tcPr>
            <w:tcW w:w="2920" w:type="dxa"/>
            <w:vAlign w:val="bottom"/>
          </w:tcPr>
          <w:p>
            <w:pPr>
              <w:spacing w:after="0"/>
              <w:rPr>
                <w:sz w:val="17"/>
                <w:szCs w:val="17"/>
                <w:color w:val="auto"/>
              </w:rPr>
            </w:pPr>
          </w:p>
        </w:tc>
        <w:tc>
          <w:tcPr>
            <w:tcW w:w="900" w:type="dxa"/>
            <w:vAlign w:val="bottom"/>
            <w:gridSpan w:val="2"/>
          </w:tcPr>
          <w:p>
            <w:pPr>
              <w:jc w:val="center"/>
              <w:ind w:right="700"/>
              <w:spacing w:after="0" w:line="20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53</w:t>
              </w:r>
            </w:hyperlink>
          </w:p>
        </w:tc>
      </w:tr>
      <w:tr>
        <w:trPr>
          <w:trHeight w:val="20"/>
        </w:trPr>
        <w:tc>
          <w:tcPr>
            <w:tcW w:w="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47</w:t>
      </w:r>
    </w:p>
    <w:p>
      <w:pPr>
        <w:sectPr>
          <w:pgSz w:w="11900" w:h="16838" w:orient="portrait"/>
          <w:cols w:equalWidth="0" w:num="1">
            <w:col w:w="11420"/>
          </w:cols>
          <w:pgMar w:left="240" w:top="649" w:right="239" w:bottom="1440" w:gutter="0" w:footer="0" w:header="0"/>
        </w:sectPr>
      </w:pPr>
    </w:p>
    <w:bookmarkStart w:id="50" w:name="page51"/>
    <w:bookmarkEnd w:id="50"/>
    <w:p>
      <w:pPr>
        <w:spacing w:after="0"/>
        <w:rPr>
          <w:sz w:val="20"/>
          <w:szCs w:val="20"/>
          <w:color w:val="auto"/>
        </w:rPr>
      </w:pPr>
      <w:r>
        <w:rPr>
          <w:rFonts w:ascii="Arial" w:cs="Arial" w:eastAsia="Arial" w:hAnsi="Arial"/>
          <w:sz w:val="25"/>
          <w:szCs w:val="25"/>
          <w:b w:val="1"/>
          <w:bCs w:val="1"/>
          <w:color w:val="0F7C7F"/>
        </w:rPr>
        <w:t>CONSOLIDATED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24"/>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gridSpan w:val="6"/>
          </w:tcPr>
          <w:p>
            <w:pPr>
              <w:jc w:val="center"/>
              <w:ind w:left="599"/>
              <w:spacing w:after="0"/>
              <w:rPr>
                <w:sz w:val="20"/>
                <w:szCs w:val="20"/>
                <w:color w:val="auto"/>
              </w:rPr>
            </w:pPr>
            <w:r>
              <w:rPr>
                <w:rFonts w:ascii="Arial" w:cs="Arial" w:eastAsia="Arial" w:hAnsi="Arial"/>
                <w:sz w:val="14"/>
                <w:szCs w:val="14"/>
                <w:b w:val="1"/>
                <w:bCs w:val="1"/>
                <w:color w:val="auto"/>
              </w:rPr>
              <w:t>(In millions, except per-share data)</w:t>
            </w:r>
          </w:p>
        </w:tc>
        <w:tc>
          <w:tcPr>
            <w:tcW w:w="1020" w:type="dxa"/>
            <w:vAlign w:val="bottom"/>
          </w:tcPr>
          <w:p>
            <w:pPr>
              <w:spacing w:after="0"/>
              <w:rPr>
                <w:sz w:val="19"/>
                <w:szCs w:val="19"/>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16,208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17,612</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18,854</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Premium tax revenue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Health insurer fees reimbursed</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r>
      <w:tr>
        <w:trPr>
          <w:trHeight w:val="257"/>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16,829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18,890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19,883</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15,137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17,073</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1,594</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Premium tax expenses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Health insurer fees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64"/>
        </w:trPr>
        <w:tc>
          <w:tcPr>
            <w:tcW w:w="6740" w:type="dxa"/>
            <w:vAlign w:val="bottom"/>
          </w:tcPr>
          <w:p>
            <w:pPr>
              <w:ind w:left="280"/>
              <w:spacing w:after="0"/>
              <w:rPr>
                <w:sz w:val="20"/>
                <w:szCs w:val="20"/>
                <w:color w:val="auto"/>
              </w:rPr>
            </w:pPr>
            <w:r>
              <w:rPr>
                <w:rFonts w:ascii="Arial" w:cs="Arial" w:eastAsia="Arial" w:hAnsi="Arial"/>
                <w:sz w:val="16"/>
                <w:szCs w:val="16"/>
                <w:color w:val="auto"/>
              </w:rPr>
              <w:t>Impairment losses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470</w:t>
            </w:r>
          </w:p>
        </w:tc>
      </w:tr>
      <w:tr>
        <w:trPr>
          <w:trHeight w:val="250"/>
        </w:trPr>
        <w:tc>
          <w:tcPr>
            <w:tcW w:w="67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15,785</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17,744</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20,438</w:t>
            </w: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Loss on sales of subsidiaries, net of gain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1,131</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Other expenses, net:</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(income) expenses, net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50"/>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other expenses, net</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before income tax expense (benefit)</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8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173"/>
        </w:trPr>
        <w:tc>
          <w:tcPr>
            <w:tcW w:w="6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 per share:</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3"/>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9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r>
      <w:tr>
        <w:trPr>
          <w:trHeight w:val="22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4240" w:type="dxa"/>
            <w:vAlign w:val="bottom"/>
          </w:tcPr>
          <w:p>
            <w:pPr>
              <w:spacing w:after="0"/>
              <w:rPr>
                <w:sz w:val="22"/>
                <w:szCs w:val="22"/>
                <w:color w:val="auto"/>
              </w:rPr>
            </w:pPr>
          </w:p>
        </w:tc>
        <w:tc>
          <w:tcPr>
            <w:tcW w:w="3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24"/>
        </w:trPr>
        <w:tc>
          <w:tcPr>
            <w:tcW w:w="4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5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income (loss)</w:t>
            </w:r>
          </w:p>
        </w:tc>
        <w:tc>
          <w:tcPr>
            <w:tcW w:w="2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25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net of tax</w:t>
            </w:r>
          </w:p>
        </w:tc>
        <w:tc>
          <w:tcPr>
            <w:tcW w:w="25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42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5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4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4240" w:type="dxa"/>
            <w:vAlign w:val="bottom"/>
          </w:tcPr>
          <w:p>
            <w:pPr>
              <w:spacing w:after="0"/>
              <w:rPr>
                <w:sz w:val="13"/>
                <w:szCs w:val="13"/>
                <w:color w:val="auto"/>
              </w:rPr>
            </w:pPr>
          </w:p>
        </w:tc>
        <w:tc>
          <w:tcPr>
            <w:tcW w:w="3540" w:type="dxa"/>
            <w:vAlign w:val="bottom"/>
            <w:gridSpan w:val="2"/>
          </w:tcPr>
          <w:p>
            <w:pPr>
              <w:jc w:val="right"/>
              <w:ind w:right="1240"/>
              <w:spacing w:after="0"/>
              <w:rPr>
                <w:sz w:val="20"/>
                <w:szCs w:val="20"/>
                <w:color w:val="auto"/>
              </w:rPr>
            </w:pPr>
            <w:r>
              <w:rPr>
                <w:rFonts w:ascii="Arial" w:cs="Arial" w:eastAsia="Arial" w:hAnsi="Arial"/>
                <w:sz w:val="14"/>
                <w:szCs w:val="14"/>
                <w:color w:val="auto"/>
              </w:rPr>
              <w:t>See accompanying notes.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649" w:right="239" w:bottom="1440" w:gutter="0" w:footer="0" w:header="0"/>
        </w:sectPr>
      </w:pPr>
    </w:p>
    <w:p>
      <w:pPr>
        <w:ind w:left="7880"/>
        <w:spacing w:after="0"/>
        <w:rPr>
          <w:sz w:val="20"/>
          <w:szCs w:val="20"/>
          <w:color w:val="auto"/>
        </w:rPr>
      </w:pPr>
      <w:r>
        <w:rPr>
          <w:rFonts w:ascii="Arial" w:cs="Arial" w:eastAsia="Arial" w:hAnsi="Arial"/>
          <w:sz w:val="18"/>
          <w:szCs w:val="18"/>
          <w:color w:val="auto"/>
        </w:rPr>
        <w:t>Molina Healthcare, Inc. 2019 Form 10-K | 48</w:t>
      </w:r>
    </w:p>
    <w:p>
      <w:pPr>
        <w:sectPr>
          <w:pgSz w:w="11900" w:h="16838" w:orient="portrait"/>
          <w:cols w:equalWidth="0" w:num="1">
            <w:col w:w="11420"/>
          </w:cols>
          <w:pgMar w:left="240" w:top="649"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tcPr>
          <w:p>
            <w:pPr>
              <w:spacing w:after="0"/>
              <w:rPr>
                <w:sz w:val="19"/>
                <w:szCs w:val="19"/>
                <w:color w:val="auto"/>
              </w:rPr>
            </w:pPr>
          </w:p>
        </w:tc>
      </w:tr>
      <w:tr>
        <w:trPr>
          <w:trHeight w:val="264"/>
        </w:trPr>
        <w:tc>
          <w:tcPr>
            <w:tcW w:w="83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176"/>
        </w:trPr>
        <w:tc>
          <w:tcPr>
            <w:tcW w:w="8320" w:type="dxa"/>
            <w:vAlign w:val="bottom"/>
          </w:tcPr>
          <w:p>
            <w:pPr>
              <w:spacing w:after="0"/>
              <w:rPr>
                <w:sz w:val="15"/>
                <w:szCs w:val="15"/>
                <w:color w:val="auto"/>
              </w:rPr>
            </w:pPr>
          </w:p>
        </w:tc>
        <w:tc>
          <w:tcPr>
            <w:tcW w:w="254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5"/>
                <w:szCs w:val="15"/>
                <w:color w:val="auto"/>
              </w:rPr>
            </w:pPr>
          </w:p>
        </w:tc>
      </w:tr>
      <w:tr>
        <w:trPr>
          <w:trHeight w:val="196"/>
        </w:trPr>
        <w:tc>
          <w:tcPr>
            <w:tcW w:w="8320" w:type="dxa"/>
            <w:vAlign w:val="bottom"/>
          </w:tcPr>
          <w:p>
            <w:pPr>
              <w:spacing w:after="0"/>
              <w:rPr>
                <w:sz w:val="17"/>
                <w:szCs w:val="17"/>
                <w:color w:val="auto"/>
              </w:rPr>
            </w:pPr>
          </w:p>
        </w:tc>
        <w:tc>
          <w:tcPr>
            <w:tcW w:w="254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rPr>
              <w:t>except per-share amounts)</w:t>
            </w:r>
          </w:p>
        </w:tc>
        <w:tc>
          <w:tcPr>
            <w:tcW w:w="540" w:type="dxa"/>
            <w:vAlign w:val="bottom"/>
          </w:tcPr>
          <w:p>
            <w:pPr>
              <w:spacing w:after="0"/>
              <w:rPr>
                <w:sz w:val="17"/>
                <w:szCs w:val="17"/>
                <w:color w:val="auto"/>
              </w:rPr>
            </w:pPr>
          </w:p>
        </w:tc>
      </w:tr>
      <w:tr>
        <w:trPr>
          <w:trHeight w:val="249"/>
        </w:trPr>
        <w:tc>
          <w:tcPr>
            <w:tcW w:w="832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2,452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2,826</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Investments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1,946</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1,681</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Receivables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1,406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1,330</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149</w:t>
            </w:r>
          </w:p>
        </w:tc>
      </w:tr>
      <w:tr>
        <w:trPr>
          <w:trHeight w:val="27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 asset</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r>
      <w:tr>
        <w:trPr>
          <w:trHeight w:val="247"/>
        </w:trPr>
        <w:tc>
          <w:tcPr>
            <w:tcW w:w="83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96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5,967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6,462</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190</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investments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117</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r>
        <w:trPr>
          <w:trHeight w:val="28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6,787</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7,154</w:t>
            </w:r>
          </w:p>
        </w:tc>
      </w:tr>
      <w:tr>
        <w:trPr>
          <w:trHeight w:val="281"/>
        </w:trPr>
        <w:tc>
          <w:tcPr>
            <w:tcW w:w="8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33"/>
        </w:trPr>
        <w:tc>
          <w:tcPr>
            <w:tcW w:w="8320" w:type="dxa"/>
            <w:vAlign w:val="bottom"/>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1,854</w:t>
            </w:r>
          </w:p>
        </w:tc>
        <w:tc>
          <w:tcPr>
            <w:tcW w:w="100" w:type="dxa"/>
            <w:vAlign w:val="bottom"/>
          </w:tcPr>
          <w:p>
            <w:pPr>
              <w:spacing w:after="0"/>
              <w:rPr>
                <w:sz w:val="22"/>
                <w:szCs w:val="22"/>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1,961</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Amounts due government agencies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967</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390</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273"/>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 liability</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r>
      <w:tr>
        <w:trPr>
          <w:trHeight w:val="247"/>
        </w:trPr>
        <w:tc>
          <w:tcPr>
            <w:tcW w:w="832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96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3,269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4,246</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1,237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1,020</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Finance lease liabilities</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r>
      <w:tr>
        <w:trPr>
          <w:trHeight w:val="25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4,827</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5,507</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18"/>
        </w:trPr>
        <w:tc>
          <w:tcPr>
            <w:tcW w:w="8320" w:type="dxa"/>
            <w:vAlign w:val="bottom"/>
          </w:tcPr>
          <w:p>
            <w:pPr>
              <w:ind w:left="380"/>
              <w:spacing w:after="0"/>
              <w:rPr>
                <w:sz w:val="20"/>
                <w:szCs w:val="20"/>
                <w:color w:val="auto"/>
              </w:rPr>
            </w:pPr>
            <w:r>
              <w:rPr>
                <w:rFonts w:ascii="Arial" w:cs="Arial" w:eastAsia="Arial" w:hAnsi="Arial"/>
                <w:sz w:val="16"/>
                <w:szCs w:val="16"/>
                <w:color w:val="auto"/>
              </w:rPr>
              <w:t>Common stock, $0.001 par value per share; 150 million shares authorized; outstanding: 62 million shares at</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4"/>
        </w:trPr>
        <w:tc>
          <w:tcPr>
            <w:tcW w:w="8320" w:type="dxa"/>
            <w:vAlign w:val="bottom"/>
          </w:tcPr>
          <w:p>
            <w:pPr>
              <w:ind w:left="540"/>
              <w:spacing w:after="0"/>
              <w:rPr>
                <w:sz w:val="20"/>
                <w:szCs w:val="20"/>
                <w:color w:val="auto"/>
              </w:rPr>
            </w:pPr>
            <w:r>
              <w:rPr>
                <w:rFonts w:ascii="Arial" w:cs="Arial" w:eastAsia="Arial" w:hAnsi="Arial"/>
                <w:sz w:val="16"/>
                <w:szCs w:val="16"/>
                <w:color w:val="auto"/>
              </w:rPr>
              <w:t>each of December 31, 2019, and December 31, 2018</w:t>
            </w:r>
          </w:p>
        </w:tc>
        <w:tc>
          <w:tcPr>
            <w:tcW w:w="9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Preferred stock, $0.001 par value per share; 20 million shares authorized, no shares issued and outstanding</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83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643</w:t>
            </w:r>
          </w:p>
        </w:tc>
      </w:tr>
      <w:tr>
        <w:trPr>
          <w:trHeight w:val="280"/>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Retained earnings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1,781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1,012</w:t>
            </w:r>
          </w:p>
        </w:tc>
      </w:tr>
      <w:tr>
        <w:trPr>
          <w:trHeight w:val="25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1,960</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1,647</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6,787</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7,154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3810</wp:posOffset>
            </wp:positionV>
            <wp:extent cx="19469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See accompanying notes.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49</w:t>
      </w:r>
    </w:p>
    <w:p>
      <w:pPr>
        <w:sectPr>
          <w:pgSz w:w="11900" w:h="16838" w:orient="portrait"/>
          <w:cols w:equalWidth="0" w:num="1">
            <w:col w:w="11420"/>
          </w:cols>
          <w:pgMar w:left="240" w:top="649" w:right="23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8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Exchange of convertible senior notes</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3"/>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7"/>
        </w:trPr>
        <w:tc>
          <w:tcPr>
            <w:tcW w:w="436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Adoption of new accounting standards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Partial termination of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Exchange of convertible senior notes</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Conversion of convertible senior notes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Other comprehensive loss, net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3"/>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7"/>
        </w:trPr>
        <w:tc>
          <w:tcPr>
            <w:tcW w:w="436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Common stock purchases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Adoption of new accounting standard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4360" w:type="dxa"/>
            <w:vAlign w:val="bottom"/>
          </w:tcPr>
          <w:p>
            <w:pPr>
              <w:ind w:left="180"/>
              <w:spacing w:after="0"/>
              <w:rPr>
                <w:sz w:val="20"/>
                <w:szCs w:val="20"/>
                <w:color w:val="auto"/>
              </w:rPr>
            </w:pPr>
            <w:r>
              <w:rPr>
                <w:rFonts w:ascii="Arial" w:cs="Arial" w:eastAsia="Arial" w:hAnsi="Arial"/>
                <w:sz w:val="16"/>
                <w:szCs w:val="16"/>
                <w:color w:val="auto"/>
              </w:rPr>
              <w:t>Partial termination of warrants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0"/>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50</w:t>
      </w:r>
    </w:p>
    <w:p>
      <w:pPr>
        <w:sectPr>
          <w:pgSz w:w="11900" w:h="16838" w:orient="portrait"/>
          <w:cols w:equalWidth="0" w:num="1">
            <w:col w:w="11420"/>
          </w:cols>
          <w:pgMar w:left="240" w:top="649" w:right="239" w:bottom="1440" w:gutter="0" w:footer="0" w:header="0"/>
        </w:sectPr>
      </w:pPr>
    </w:p>
    <w:bookmarkStart w:id="53" w:name="page54"/>
    <w:bookmarkEnd w:id="53"/>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2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(used in) operating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178</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46</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convertible senior notes and finance lease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(Gain) loss on debt extinguishment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sales of subsidiaries, net of gain</w:t>
            </w:r>
          </w:p>
        </w:tc>
        <w:tc>
          <w:tcPr>
            <w:tcW w:w="9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Non-cash restructuring charges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9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103</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263</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804</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(2,536)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1,759</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Net cash received from sale of subsidiaries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(used in) provided by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principal amount of convertible senior notes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settlement of conversion option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Cash received for partial settlement of call option</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termination of warrants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borrowings under term loan facility</w:t>
            </w:r>
          </w:p>
        </w:tc>
        <w:tc>
          <w:tcPr>
            <w:tcW w:w="92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credit facility</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9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300</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636</w:t>
            </w: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 and restricted cash and cash</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4"/>
        </w:trPr>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equivalents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and restricted cash and cash equivalents at beginning of period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2,912</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and restricted cash and cash equivalents at end of period</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3,290</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64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51</w:t>
      </w:r>
    </w:p>
    <w:p>
      <w:pPr>
        <w:sectPr>
          <w:pgSz w:w="11900" w:h="16838" w:orient="portrait"/>
          <w:cols w:equalWidth="0" w:num="1">
            <w:col w:w="11420"/>
          </w:cols>
          <w:pgMar w:left="240" w:top="649" w:right="239" w:bottom="1440" w:gutter="0" w:footer="0" w:header="0"/>
          <w:type w:val="continuous"/>
        </w:sectPr>
      </w:pPr>
    </w:p>
    <w:bookmarkStart w:id="54" w:name="page55"/>
    <w:bookmarkEnd w:id="54"/>
    <w:p>
      <w:pPr>
        <w:ind w:right="5500"/>
        <w:spacing w:after="0" w:line="469"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45"/>
        </w:trPr>
        <w:tc>
          <w:tcPr>
            <w:tcW w:w="6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2"/>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2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Schedule of non-cash investing and financing activities:</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 exchange transaction:</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Common stock issued in exchange for convertible senior notes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228"/>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Component of convertible senior notes allocated to additional paid-in capital, net of income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80"/>
        </w:trPr>
        <w:tc>
          <w:tcPr>
            <w:tcW w:w="6740" w:type="dxa"/>
            <w:vAlign w:val="bottom"/>
          </w:tcPr>
          <w:p>
            <w:pPr>
              <w:ind w:left="380"/>
              <w:spacing w:after="0"/>
              <w:rPr>
                <w:sz w:val="20"/>
                <w:szCs w:val="20"/>
                <w:color w:val="auto"/>
              </w:rPr>
            </w:pPr>
            <w:r>
              <w:rPr>
                <w:rFonts w:ascii="Arial" w:cs="Arial" w:eastAsia="Arial" w:hAnsi="Arial"/>
                <w:sz w:val="16"/>
                <w:szCs w:val="16"/>
                <w:color w:val="auto"/>
              </w:rPr>
              <w:t>Net increase to additional paid-in capital</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81"/>
        </w:trPr>
        <w:tc>
          <w:tcPr>
            <w:tcW w:w="674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9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Common stock used for stock-based compensation</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81"/>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94"/>
        </w:trPr>
        <w:tc>
          <w:tcPr>
            <w:tcW w:w="6740" w:type="dxa"/>
            <w:vAlign w:val="bottom"/>
          </w:tcPr>
          <w:p>
            <w:pPr>
              <w:ind w:left="40"/>
              <w:spacing w:after="0"/>
              <w:rPr>
                <w:sz w:val="20"/>
                <w:szCs w:val="20"/>
                <w:color w:val="auto"/>
              </w:rPr>
            </w:pPr>
            <w:r>
              <w:rPr>
                <w:rFonts w:ascii="Arial" w:cs="Arial" w:eastAsia="Arial" w:hAnsi="Arial"/>
                <w:sz w:val="16"/>
                <w:szCs w:val="16"/>
                <w:color w:val="auto"/>
              </w:rPr>
              <w:t>Common stock purchases not settled at end of period</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1"/>
        </w:trPr>
        <w:tc>
          <w:tcPr>
            <w:tcW w:w="674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Details of sales of subsidiaries:</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Decrease in carrying amount of assets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Decrease in carrying amount of liabilities</w:t>
            </w:r>
          </w:p>
        </w:tc>
        <w:tc>
          <w:tcPr>
            <w:tcW w:w="10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10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received from buyers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sale of subsidiaries, net of gain</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Details of change in fair value of derivatives, net:</w:t>
            </w: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Gain on call option</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conversion option</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40"/>
        </w:trPr>
        <w:tc>
          <w:tcPr>
            <w:tcW w:w="6740" w:type="dxa"/>
            <w:vAlign w:val="bottom"/>
          </w:tcPr>
          <w:p>
            <w:pPr>
              <w:ind w:left="280"/>
              <w:spacing w:after="0"/>
              <w:rPr>
                <w:sz w:val="20"/>
                <w:szCs w:val="20"/>
                <w:color w:val="auto"/>
              </w:rPr>
            </w:pPr>
            <w:r>
              <w:rPr>
                <w:rFonts w:ascii="Arial" w:cs="Arial" w:eastAsia="Arial" w:hAnsi="Arial"/>
                <w:sz w:val="16"/>
                <w:szCs w:val="16"/>
                <w:color w:val="auto"/>
              </w:rPr>
              <w:t>Change in fair value of derivatives, net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52</w:t>
      </w:r>
    </w:p>
    <w:p>
      <w:pPr>
        <w:sectPr>
          <w:pgSz w:w="11900" w:h="16838" w:orient="portrait"/>
          <w:cols w:equalWidth="0" w:num="1">
            <w:col w:w="11420"/>
          </w:cols>
          <w:pgMar w:left="240" w:top="649" w:right="239" w:bottom="1440" w:gutter="0" w:footer="0" w:header="0"/>
        </w:sectPr>
      </w:pPr>
    </w:p>
    <w:bookmarkStart w:id="55" w:name="page56"/>
    <w:bookmarkEnd w:id="55"/>
    <w:p>
      <w:pPr>
        <w:spacing w:after="0"/>
        <w:rPr>
          <w:sz w:val="20"/>
          <w:szCs w:val="20"/>
          <w:color w:val="auto"/>
        </w:rPr>
      </w:pPr>
      <w:r>
        <w:rPr>
          <w:rFonts w:ascii="Arial" w:cs="Arial" w:eastAsia="Arial" w:hAnsi="Arial"/>
          <w:sz w:val="25"/>
          <w:szCs w:val="25"/>
          <w:b w:val="1"/>
          <w:bCs w:val="1"/>
          <w:color w:val="0F7C7F"/>
        </w:rPr>
        <w:t>NOTES TO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two reportable segments: the Health Plans segment and the Other segment. Our reportable segments are consistent with how we currently manage the business and view the markets we serve.</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December 31, 2019, these health plans served approximately 3.3 million members eligible for Medicaid, Medicare, and other government-sponsored health care programs for low-income families and individuals including Marketplace members, most of whom receive government subsidies for premiums. The health plans are generally operated by our respective wholly owned subsidiaries in those states, each of which is licensed as a health maintenance organization (“HMO”).</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On December 2, 2019, we announced that our Kentucky health plan subsidiary had been selected as an awardee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Kentucky Medicaid managed care organizations RFP issued by the Kentucky Finance and Administration Cabinet in May 2019. However, in late December 2019, the newly elected Governor of Kentucky announced that he was canceling the Medicaid contracts that had been awarded by the outgoing Governor, including the contract that had been awarded to our Kentucky health plan subsidiary, and that he was reissuing the RFP for rebidding. We submitted a bid under the new RFP on February 6, 2020.</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October 2019, the Texas Health and Human Services Commission (“HHSC”) awarded contracts to our Texas health plan for the ABD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(known in Texas as “STAR+PLUS”) in two service areas, consisting of one legacy service area and one new service area. This would be a reduction from our current footprint of six service areas. We believe the initial term of each contract is expected to be three years, and such contracts are currently anticipated to be operational beginning on January 1, 2021, at the earliest. Under our existing STAR+PLUS and related Medicare-Medicaid Plan (“MMP”) contracts, we served approximately 97,000 members as of December 31, 2019, representing premium revenue of approximately $2,062 million in 2019. We are currently exercising our protest rights of the STAR+PLUS RFP awards with HHSC.</w:t>
      </w:r>
    </w:p>
    <w:p>
      <w:pPr>
        <w:spacing w:after="0" w:line="9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2019, our Texas health plan submitted an RFP response for the TANF and CHIP programs (known in Texas as “STAR/CHIP”). HHSC has announced that the STAR/CHIP contract awards are delayed to late February 2020. Under our existing STAR/CHIP contracts, we served approximately 114,000 members as of December 31, 2019, representing premium revenue of approximately $315 million in 2019.</w:t>
      </w:r>
    </w:p>
    <w:p>
      <w:pPr>
        <w:spacing w:after="0" w:line="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Illinois. </w:t>
      </w:r>
      <w:r>
        <w:rPr>
          <w:rFonts w:ascii="Arial" w:cs="Arial" w:eastAsia="Arial" w:hAnsi="Arial"/>
          <w:sz w:val="18"/>
          <w:szCs w:val="18"/>
          <w:color w:val="auto"/>
        </w:rPr>
        <w:t>On December 31, 2019, we entered into a definitive agreement to purchase NextLevel Health Partners, Inc., a Medicaid managed care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Upon the closing of this transaction, expected to occur in the first half of 2020, we will assume the right to serve approximately 50,000 Medicaid and Managed Long-Term Services and Supports members in Cook County, Illinois. The purchase price of approximately $50 million will be funded with available cash, and the closing is subject to customary closing conditions.</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New York</w:t>
      </w:r>
      <w:r>
        <w:rPr>
          <w:rFonts w:ascii="Arial" w:cs="Arial" w:eastAsia="Arial" w:hAnsi="Arial"/>
          <w:sz w:val="18"/>
          <w:szCs w:val="18"/>
          <w:color w:val="auto"/>
        </w:rPr>
        <w:t>. In October 2019, we entered into a definitive agreement to acquire certain assets of YourCare Health Plan, Inc. Upon the closing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transaction, expected to occur in the first half of 2020, we will serve approximately 46,000 Medicaid members in seven counties in western New York. The purchase price of approximately $40 million will be funded with available cash, and the closing is subject to customary closing conditions.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53</w:t>
      </w:r>
    </w:p>
    <w:p>
      <w:pPr>
        <w:sectPr>
          <w:pgSz w:w="11900" w:h="16838" w:orient="portrait"/>
          <w:cols w:equalWidth="0" w:num="1">
            <w:col w:w="11420"/>
          </w:cols>
          <w:pgMar w:left="240" w:top="64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Consolidation and Presentation</w:t>
      </w:r>
    </w:p>
    <w:p>
      <w:pPr>
        <w:spacing w:after="0" w:line="139"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All significant inter-company balances and transactions have been eliminated in consolidation. Financial information related to subsidiaries acquired during any year is included only for periods subsequent to their acquisition. In the opinion of management, all adjustments considered necessary for a fair presentation of the results as of the date and for the periods presented have been included; such adjustments consist of normal recurring adjustments.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Health Plans segment contractual provisions that may limit revenue recognition based upon the costs incurred or the profits realized under a specific contract;</w:t>
      </w: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Health Plans segment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9"/>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1"/>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Restricted cash and cash equivalents, non-current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 and cash equivalents, current</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8"/>
        </w:trPr>
        <w:tc>
          <w:tcPr>
            <w:tcW w:w="7440" w:type="dxa"/>
            <w:vAlign w:val="bottom"/>
          </w:tcPr>
          <w:p>
            <w:pPr>
              <w:ind w:left="380"/>
              <w:spacing w:after="0"/>
              <w:rPr>
                <w:sz w:val="20"/>
                <w:szCs w:val="20"/>
                <w:color w:val="auto"/>
              </w:rPr>
            </w:pPr>
            <w:r>
              <w:rPr>
                <w:rFonts w:ascii="Arial" w:cs="Arial" w:eastAsia="Arial" w:hAnsi="Arial"/>
                <w:sz w:val="16"/>
                <w:szCs w:val="16"/>
                <w:color w:val="auto"/>
              </w:rPr>
              <w:t>Total cash and cash equivalents, and restricted cash and cash equivalents presented in the</w:t>
            </w: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03"/>
        </w:trPr>
        <w:tc>
          <w:tcPr>
            <w:tcW w:w="7440" w:type="dxa"/>
            <w:vAlign w:val="bottom"/>
          </w:tcPr>
          <w:p>
            <w:pPr>
              <w:ind w:left="540"/>
              <w:spacing w:after="0"/>
              <w:rPr>
                <w:sz w:val="20"/>
                <w:szCs w:val="20"/>
                <w:color w:val="auto"/>
              </w:rPr>
            </w:pPr>
            <w:r>
              <w:rPr>
                <w:rFonts w:ascii="Arial" w:cs="Arial" w:eastAsia="Arial" w:hAnsi="Arial"/>
                <w:sz w:val="16"/>
                <w:szCs w:val="16"/>
                <w:color w:val="auto"/>
              </w:rPr>
              <w:t>consolidated statements of cash flows</w:t>
            </w: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net of applicable income taxes. Held-to-maturity securities are recorded at amortized cost, which approximates fair value, and unrealized holding gains or losses are not generally recognized. Realized gains and losses and unrealized losses judged to be other than temporary with respect to available-for-sale and held-to-maturity securities are included in the determination of net income (loss). The cost of securities sold is determined using the specific-identification method.</w:t>
      </w:r>
    </w:p>
    <w:p>
      <w:pPr>
        <w:spacing w:after="0" w:line="9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investment policy requires that all of our investments have final maturities of less than 10 years, or less than 10 years average life for structured securities. Investments and restricted investments are subject to interest rate risk</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54</w:t>
      </w:r>
    </w:p>
    <w:p>
      <w:pPr>
        <w:sectPr>
          <w:pgSz w:w="11900" w:h="16838" w:orient="portrait"/>
          <w:cols w:equalWidth="0" w:num="1">
            <w:col w:w="11420"/>
          </w:cols>
          <w:pgMar w:left="240" w:top="65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and will decrease in value if market rates increase. Declines in interest rates over time will reduce our investment income.</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other-than-temporary impairment. For comprehensive discussions of the fair value and classification of our investments, see Note 4, “Fair Value Measurements,” and Note 5,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Intangible Assets</w:t>
      </w:r>
    </w:p>
    <w:p>
      <w:pPr>
        <w:spacing w:after="0" w:line="139" w:lineRule="exact"/>
        <w:rPr>
          <w:sz w:val="20"/>
          <w:szCs w:val="20"/>
          <w:color w:val="auto"/>
        </w:rPr>
      </w:pPr>
    </w:p>
    <w:p>
      <w:pPr>
        <w:jc w:val="both"/>
        <w:ind w:right="220"/>
        <w:spacing w:after="0" w:line="265" w:lineRule="auto"/>
        <w:rPr>
          <w:sz w:val="20"/>
          <w:szCs w:val="20"/>
          <w:color w:val="auto"/>
        </w:rPr>
      </w:pPr>
      <w:r>
        <w:rPr>
          <w:rFonts w:ascii="Arial" w:cs="Arial" w:eastAsia="Arial" w:hAnsi="Arial"/>
          <w:sz w:val="17"/>
          <w:szCs w:val="17"/>
          <w:color w:val="auto"/>
        </w:rPr>
        <w:t>Long-lived assets consist primarily of property, equipment, capitalized software (see Note 7, “Property, Equipment, and Capitalized Software, Net”), and intangible assets resulting from acquisitions. Finite-lived, separately-identified intangible assets acquired in business combinations are assets that represent future expected benefits but lack physical substance (such as purchased contract rights and provider contracts).</w:t>
      </w:r>
    </w:p>
    <w:p>
      <w:pPr>
        <w:spacing w:after="0" w:line="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Intangible assets are initially recorded at fair value and are then amortized on a straight-line basis over their expected useful lives, generally between five and 15 years.</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 Refer to Note 9, “Goodwill and Intangible Assets, Net,”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9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For further information, including the amount and location of the ROU assets and lease liabilities recognized in the accompanying consolidated balance sheet, see Note 8, “Leases.” For further information regarding our adoption and implementation of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see “Recent Accounting Pronouncements Adopted,</w:t>
      </w:r>
      <w:r>
        <w:rPr>
          <w:rFonts w:ascii="Arial" w:cs="Arial" w:eastAsia="Arial" w:hAnsi="Arial"/>
          <w:sz w:val="18"/>
          <w:szCs w:val="18"/>
          <w:i w:val="1"/>
          <w:iCs w:val="1"/>
          <w:color w:val="auto"/>
        </w:rPr>
        <w:t>”</w:t>
      </w:r>
      <w:r>
        <w:rPr>
          <w:rFonts w:ascii="Arial" w:cs="Arial" w:eastAsia="Arial" w:hAnsi="Arial"/>
          <w:sz w:val="18"/>
          <w:szCs w:val="18"/>
          <w:color w:val="auto"/>
        </w:rPr>
        <w:t xml:space="preserve">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Business Combinations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and more frequently if impairment indicators are present. Such events or circumstances may include experienced or expected operating cash-flow deterioration or losses, significant losses of membership, loss of state funding, loss of state contracts, and other factors. Goodwill is impaired if the carrying amount of the reporting unit (one of our state health plans)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55</w:t>
      </w:r>
    </w:p>
    <w:p>
      <w:pPr>
        <w:sectPr>
          <w:pgSz w:w="11900" w:h="16838" w:orient="portrait"/>
          <w:cols w:equalWidth="0" w:num="1">
            <w:col w:w="11420"/>
          </w:cols>
          <w:pgMar w:left="240" w:top="679" w:right="239" w:bottom="1440" w:gutter="0" w:footer="0" w:header="0"/>
        </w:sectPr>
      </w:pPr>
    </w:p>
    <w:bookmarkStart w:id="58" w:name="page59"/>
    <w:bookmarkEnd w:id="58"/>
    <w:p>
      <w:pPr>
        <w:ind w:right="500"/>
        <w:spacing w:after="0" w:line="262" w:lineRule="auto"/>
        <w:rPr>
          <w:sz w:val="20"/>
          <w:szCs w:val="20"/>
          <w:color w:val="auto"/>
        </w:rPr>
      </w:pPr>
      <w:r>
        <w:rPr>
          <w:rFonts w:ascii="Arial" w:cs="Arial" w:eastAsia="Arial" w:hAnsi="Arial"/>
          <w:sz w:val="18"/>
          <w:szCs w:val="18"/>
          <w:color w:val="auto"/>
        </w:rPr>
        <w:t>exceeds its estimated fair value. This excess is recorded as an impairment loss and adjusted if necessary for the impact of tax-deductible goodwill. The loss recognized may not exceed the total goodwill allocated to the reporting unit.</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When testing goodwill for impairment, we may first assess qualitative factors, such as industry and market factors, the dynamic economic and political environments in which we operate, cost factors, and changes in overall performance, to determine if it is more likely than not that the carrying value of a reporting unit exceeds its estimated fair value.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If performing a quantitative assessment, we generally estimate the fair values of our reporting units by applying the income approach, using discounted cash flows.</w:t>
      </w:r>
    </w:p>
    <w:p>
      <w:pPr>
        <w:spacing w:after="0" w:line="20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For the annual impairment test under a quantitative assessment, the base year in the reporting units’ discounted cash flows is derived from the annual financial planning cycle, which commences in the fourth quarter of the year. When computing discounted cash flows, we make assumptions about a wide variety of internal and external factors, and consider what the reporting unit’s selling price would be in an orderly transaction between market participants at the measurement date. Significant assumptions include financial projections of free cash flow (including significant assumptions about membership, premium rates, healthcare and operating cost trends, contract renewal and the procurement of new contracts, capital requirements and income taxes), long-term growth rates for determining terminal value beyond the discretely forecasted periods, and discount rates. When determining the discount rate, we consider the overall level of inherent risk of the reporting unit, and the expected rate an outside investor would expect to earn. As part of a quantitative assessment, we may also apply the asset liquidation method to estimate the fair value of individual reporting units, which is computed as total assets minus total liabilities, excluding intangible assets and deferred taxes. Finally, we apply a market approach to reconcile the value of our reporting units to our consolidated market value. Under the market approach, we consider publicly traded comparable company information to determine revenue and earnings multiples which are used to estimate our reporting units’ fair values. The assumptions used are consistent with those used in our long-range business plan and annual planning process. However, if these assumptions differ from actual results, the outcome of our goodwill impairment tests could be adversely affected.</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Accounting for business combinations requires us to recognize separately from goodwill the assets acquired and the liabilities assumed at their acquisition date fair values.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final determination of the values of assets acquired or liabilities assumed, or one year after the date of acquisition, whichever comes first, any subsequent adjustments are recorded within our consolidated statements of operations. Refer to Note 9, “Goodwill and Intangible Assets, Net,”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Premium revenue is generated from our Health Plans segment contracts, including agreements with other managed care organizations for which we operate as a subcontractor.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The state Medicaid programs and the federal Medicare program periodically adjust premiums. Additionally, many of our contracts contain provisions that may adjust or limit revenue or profit, as described below. Consequently, we recognize premium revenue as it is earned under such provisions.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56</w:t>
      </w:r>
    </w:p>
    <w:p>
      <w:pPr>
        <w:sectPr>
          <w:pgSz w:w="11900" w:h="16838" w:orient="portrait"/>
          <w:cols w:equalWidth="0" w:num="1">
            <w:col w:w="11420"/>
          </w:cols>
          <w:pgMar w:left="240" w:top="67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summarizes premium revenue by health plan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right="1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279"/>
              <w:spacing w:after="0"/>
              <w:rPr>
                <w:sz w:val="20"/>
                <w:szCs w:val="20"/>
                <w:color w:val="auto"/>
              </w:rPr>
            </w:pPr>
            <w:r>
              <w:rPr>
                <w:rFonts w:ascii="Arial" w:cs="Arial" w:eastAsia="Arial" w:hAnsi="Arial"/>
                <w:sz w:val="16"/>
                <w:szCs w:val="16"/>
                <w:b w:val="1"/>
                <w:bCs w:val="1"/>
                <w:color w:val="auto"/>
              </w:rPr>
              <w:t>2017</w:t>
            </w: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of Total</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 of Total</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of Total</w:t>
            </w:r>
          </w:p>
        </w:tc>
      </w:tr>
      <w:tr>
        <w:trPr>
          <w:trHeight w:val="251"/>
        </w:trPr>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Florida</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1,790</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2,568</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13.6</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Michigan</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1,601</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1,596</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8.5</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Mexico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7.3</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Ohio</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2,388</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2,216</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11.8</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2.4</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17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14.9</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2,361</w:t>
            </w:r>
          </w:p>
        </w:tc>
        <w:tc>
          <w:tcPr>
            <w:tcW w:w="1720" w:type="dxa"/>
            <w:vAlign w:val="bottom"/>
            <w:gridSpan w:val="3"/>
          </w:tcPr>
          <w:p>
            <w:pPr>
              <w:jc w:val="right"/>
              <w:ind w:right="7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2,608</w:t>
            </w:r>
          </w:p>
        </w:tc>
        <w:tc>
          <w:tcPr>
            <w:tcW w:w="1740" w:type="dxa"/>
            <w:vAlign w:val="bottom"/>
            <w:gridSpan w:val="3"/>
          </w:tcPr>
          <w:p>
            <w:pPr>
              <w:jc w:val="right"/>
              <w:ind w:right="99"/>
              <w:spacing w:after="0"/>
              <w:rPr>
                <w:sz w:val="20"/>
                <w:szCs w:val="20"/>
                <w:color w:val="auto"/>
              </w:rPr>
            </w:pPr>
            <w:r>
              <w:rPr>
                <w:rFonts w:ascii="Arial" w:cs="Arial" w:eastAsia="Arial" w:hAnsi="Arial"/>
                <w:sz w:val="16"/>
                <w:szCs w:val="16"/>
                <w:color w:val="auto"/>
              </w:rPr>
              <w:t>13.8</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w:t>
            </w:r>
          </w:p>
        </w:tc>
      </w:tr>
      <w:tr>
        <w:trPr>
          <w:trHeight w:val="325"/>
        </w:trPr>
        <w:tc>
          <w:tcPr>
            <w:tcW w:w="192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16,208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17,612</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18,854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100.0%</w:t>
            </w:r>
          </w:p>
        </w:tc>
      </w:tr>
      <w:tr>
        <w:trPr>
          <w:trHeight w:val="128"/>
        </w:trPr>
        <w:tc>
          <w:tcPr>
            <w:tcW w:w="19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3" w:lineRule="exact"/>
        <w:rPr>
          <w:sz w:val="20"/>
          <w:szCs w:val="20"/>
          <w:color w:val="auto"/>
        </w:rPr>
      </w:pPr>
    </w:p>
    <w:p>
      <w:pPr>
        <w:ind w:left="340" w:right="240" w:hanging="332"/>
        <w:spacing w:after="0" w:line="25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includes the Idaho, Mississippi, New York, Utah and Wisconsin health plans, which are not individually significant to our consolidated operating results. In 2019, “Other” also includes the New Mexico health plan. The New Mexico health plan’s Medicaid contract terminated on December 31, 2018, and therefore its results are not individually significant to our consolidated operating results in 2019.</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Certain components of premium revenue are subject to accounting estimates and fall into the following categories: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Provisions That May Adjust or Limit Revenue or Profit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Medical Cost Floors (Minimums), and Medical Cost Corridors. </w:t>
      </w:r>
      <w:r>
        <w:rPr>
          <w:rFonts w:ascii="Arial" w:cs="Arial" w:eastAsia="Arial" w:hAnsi="Arial"/>
          <w:sz w:val="18"/>
          <w:szCs w:val="18"/>
          <w:color w:val="auto"/>
        </w:rPr>
        <w:t>A portion of our premium revenue may be returned if certain minimum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spent on defined medical care costs. In the aggregate, we recorded liabilities under the terms of such contract provisions of $74 million and $103 million at December 31, 2019, and December 31, 2018, respectively. Approximately $69 million and $87 million of the liabilities accrued at December 31, 2019, and December 31, 2018, respectively, relates to our participation in Medicaid Expansion programs.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certain circumstances, the health plans may receive additional premiums if amounts spent on medical care costs exceed a defined maximum threshold. Receivables relating to such provisions were insignificant at December 31, 2019, and December 31, 2018.</w:t>
      </w:r>
    </w:p>
    <w:p>
      <w:pPr>
        <w:spacing w:after="0" w:line="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Profit Sharing and Profit Ceiling. </w:t>
      </w:r>
      <w:r>
        <w:rPr>
          <w:rFonts w:ascii="Arial" w:cs="Arial" w:eastAsia="Arial" w:hAnsi="Arial"/>
          <w:sz w:val="18"/>
          <w:szCs w:val="18"/>
          <w:color w:val="auto"/>
        </w:rPr>
        <w:t>Our contracts with certain states contain profit-sharing or profit ceiling provisions under which we refund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the states if our health plans generate profit above a certain specified percentage. In some cases, we are limited in the amount of administrative costs that we may deduct in calculating the refund, if any. Liabilities for profits in excess of the amount we are allowed to retain under these provisions were insignificant at December 31, 2019, and December 31, 2018.</w:t>
      </w:r>
    </w:p>
    <w:p>
      <w:pPr>
        <w:spacing w:after="0" w:line="7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 must</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learn of the adjustment, based on our best estimate of the ultimate premium we expect to realize for the period being adjusted.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207"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i w:val="1"/>
          <w:iCs w:val="1"/>
          <w:color w:val="auto"/>
        </w:rPr>
        <w:t xml:space="preserve">Risk Adjusted Premiums: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w:t>
      </w:r>
    </w:p>
    <w:p>
      <w:pPr>
        <w:spacing w:after="0" w:line="1"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Consolidated balance sheet amounts related to anticipated Medicare risk adjusted premiums and Medicare Part D settlements were insignificant at December 31, 2019, and December 31, 2018.</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57</w:t>
      </w:r>
    </w:p>
    <w:p>
      <w:pPr>
        <w:sectPr>
          <w:pgSz w:w="11900" w:h="16838" w:orient="portrait"/>
          <w:cols w:equalWidth="0" w:num="1">
            <w:col w:w="11420"/>
          </w:cols>
          <w:pgMar w:left="240" w:top="679" w:right="239" w:bottom="1440" w:gutter="0" w:footer="0" w:header="0"/>
        </w:sectPr>
      </w:pPr>
    </w:p>
    <w:bookmarkStart w:id="60" w:name="page61"/>
    <w:bookmarkEnd w:id="60"/>
    <w:p>
      <w:pPr>
        <w:ind w:right="140"/>
        <w:spacing w:after="0" w:line="258"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has established a minimum annual medical loss ratio (“Minimum MLR”) of 85% for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operations. The amounts payable for the Medicare Minimum MLR were insignificant at December 31, 2019, and December 31,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operations. As of December 31, 2019, Marketplace risk adjustment payables amounted to $368 million and related receivables amounted to $63 million, for a net payable of $305 million. As of December 31, 2018, Marketplace risk adjustment payables amounted to $466 million and related receivables amounted to $34 million, for a net payable of $432 million.</w:t>
      </w:r>
    </w:p>
    <w:p>
      <w:pPr>
        <w:spacing w:after="0" w:line="18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pay rebates to our Marketplace policyholders. The Marketplace risk adjustment program is taken into consideration when computing the Minimum MLR. We recognize estimated rebates under the Minimum MLR as an adjustment to premium revenue in our consolidated statements of operations. Aggregate balance sheet amounts related to the Minimum MLR were insignificant at December 31, 2019, and December 31, 2018.</w:t>
      </w:r>
    </w:p>
    <w:p>
      <w:pPr>
        <w:sectPr>
          <w:pgSz w:w="11900" w:h="16838" w:orient="portrait"/>
          <w:cols w:equalWidth="0" w:num="1">
            <w:col w:w="11420"/>
          </w:cols>
          <w:pgMar w:left="240" w:top="661"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categories of amounts due government agencies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683895</wp:posOffset>
            </wp:positionV>
            <wp:extent cx="72034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Medicaid program:</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Medical cost floors and corridors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amounts due to states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Marketplace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wp:posOffset>
            </wp:positionV>
            <wp:extent cx="72034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adjustment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 sharing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wp:posOffset>
            </wp:positionV>
            <wp:extent cx="72034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8"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(In millions)</w:t>
      </w:r>
    </w:p>
    <w:p>
      <w:pPr>
        <w:spacing w:after="0" w:line="351" w:lineRule="exact"/>
        <w:rPr>
          <w:sz w:val="20"/>
          <w:szCs w:val="20"/>
          <w:color w:val="auto"/>
        </w:rPr>
      </w:pPr>
    </w:p>
    <w:p>
      <w:pPr>
        <w:spacing w:after="0"/>
        <w:tabs>
          <w:tab w:leader="none" w:pos="1120" w:val="left"/>
          <w:tab w:leader="none" w:pos="156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w:t>
        <w:tab/>
        <w:t>$</w:t>
      </w:r>
      <w:r>
        <w:rPr>
          <w:sz w:val="20"/>
          <w:szCs w:val="20"/>
          <w:color w:val="auto"/>
        </w:rPr>
        <w:tab/>
      </w:r>
      <w:r>
        <w:rPr>
          <w:rFonts w:ascii="Arial" w:cs="Arial" w:eastAsia="Arial" w:hAnsi="Arial"/>
          <w:sz w:val="17"/>
          <w:szCs w:val="17"/>
          <w:color w:val="auto"/>
        </w:rPr>
        <w:t>103</w:t>
      </w:r>
    </w:p>
    <w:p>
      <w:pPr>
        <w:spacing w:after="0" w:line="63" w:lineRule="exact"/>
        <w:rPr>
          <w:sz w:val="20"/>
          <w:szCs w:val="20"/>
          <w:color w:val="auto"/>
        </w:rPr>
      </w:pPr>
    </w:p>
    <w:p>
      <w:pPr>
        <w:jc w:val="both"/>
        <w:ind w:left="1140"/>
        <w:spacing w:after="0"/>
        <w:tabs>
          <w:tab w:leader="none" w:pos="27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81</w:t>
      </w:r>
    </w:p>
    <w:p>
      <w:pPr>
        <w:spacing w:after="0" w:line="333" w:lineRule="exact"/>
        <w:rPr>
          <w:sz w:val="20"/>
          <w:szCs w:val="20"/>
          <w:color w:val="auto"/>
        </w:rPr>
      </w:pPr>
    </w:p>
    <w:p>
      <w:pPr>
        <w:ind w:left="2640" w:hanging="1596"/>
        <w:spacing w:after="0"/>
        <w:tabs>
          <w:tab w:leader="none" w:pos="2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466</w:t>
      </w:r>
    </w:p>
    <w:p>
      <w:pPr>
        <w:spacing w:after="0" w:line="74"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7"/>
          <w:szCs w:val="17"/>
          <w:color w:val="auto"/>
        </w:rPr>
        <w:t>183</w:t>
      </w:r>
    </w:p>
    <w:p>
      <w:pPr>
        <w:spacing w:after="0" w:line="63" w:lineRule="exact"/>
        <w:rPr>
          <w:sz w:val="20"/>
          <w:szCs w:val="20"/>
          <w:color w:val="auto"/>
        </w:rPr>
      </w:pPr>
    </w:p>
    <w:p>
      <w:pPr>
        <w:ind w:left="1040"/>
        <w:spacing w:after="0"/>
        <w:tabs>
          <w:tab w:leader="none" w:pos="262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5" w:lineRule="exact"/>
        <w:rPr>
          <w:sz w:val="20"/>
          <w:szCs w:val="20"/>
          <w:color w:val="auto"/>
        </w:rPr>
      </w:pPr>
    </w:p>
    <w:p>
      <w:pPr>
        <w:spacing w:after="0"/>
        <w:tabs>
          <w:tab w:leader="none" w:pos="1020" w:val="left"/>
          <w:tab w:leader="none" w:pos="156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664</w:t>
        <w:tab/>
        <w:t>$</w:t>
      </w:r>
      <w:r>
        <w:rPr>
          <w:sz w:val="20"/>
          <w:szCs w:val="20"/>
          <w:color w:val="auto"/>
        </w:rPr>
        <w:tab/>
      </w:r>
      <w:r>
        <w:rPr>
          <w:rFonts w:ascii="Arial" w:cs="Arial" w:eastAsia="Arial" w:hAnsi="Arial"/>
          <w:sz w:val="17"/>
          <w:szCs w:val="17"/>
          <w:color w:val="auto"/>
        </w:rPr>
        <w:t>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9551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826" w:lineRule="exact"/>
        <w:rPr>
          <w:sz w:val="20"/>
          <w:szCs w:val="20"/>
          <w:color w:val="auto"/>
        </w:rPr>
      </w:pPr>
    </w:p>
    <w:p>
      <w:pPr>
        <w:sectPr>
          <w:pgSz w:w="11900" w:h="16838" w:orient="portrait"/>
          <w:cols w:equalWidth="0" w:num="2">
            <w:col w:w="7620" w:space="720"/>
            <w:col w:w="3080"/>
          </w:cols>
          <w:pgMar w:left="240" w:top="661" w:right="239" w:bottom="1440" w:gutter="0" w:footer="0" w:header="0"/>
          <w:type w:val="continuous"/>
        </w:sectPr>
      </w:pPr>
    </w:p>
    <w:p>
      <w:pPr>
        <w:spacing w:after="0" w:line="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As described in Note 1, “Organization and Basis of Presentation–Use of Estimates,” recognition of quality incentive premium revenue is subject to the use of estimates.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58</w:t>
      </w:r>
    </w:p>
    <w:p>
      <w:pPr>
        <w:sectPr>
          <w:pgSz w:w="11900" w:h="16838" w:orient="portrait"/>
          <w:cols w:equalWidth="0" w:num="1">
            <w:col w:w="11420"/>
          </w:cols>
          <w:pgMar w:left="240" w:top="661" w:right="239" w:bottom="1440" w:gutter="0" w:footer="0" w:header="0"/>
          <w:type w:val="continuous"/>
        </w:sectPr>
      </w:pPr>
    </w:p>
    <w:bookmarkStart w:id="61" w:name="page62"/>
    <w:bookmarkEnd w:id="61"/>
    <w:p>
      <w:pPr>
        <w:ind w:right="80"/>
        <w:spacing w:after="0" w:line="262"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99"/>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64"/>
        </w:trPr>
        <w:tc>
          <w:tcPr>
            <w:tcW w:w="66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51"/>
        </w:trPr>
        <w:tc>
          <w:tcPr>
            <w:tcW w:w="6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available quality incentive premium - current period</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6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of quality incentive premium revenue recognized in current period:</w:t>
            </w: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6600" w:type="dxa"/>
            <w:vAlign w:val="bottom"/>
          </w:tcPr>
          <w:p>
            <w:pPr>
              <w:ind w:left="180"/>
              <w:spacing w:after="0"/>
              <w:rPr>
                <w:sz w:val="20"/>
                <w:szCs w:val="20"/>
                <w:color w:val="auto"/>
              </w:rPr>
            </w:pPr>
            <w:r>
              <w:rPr>
                <w:rFonts w:ascii="Arial" w:cs="Arial" w:eastAsia="Arial" w:hAnsi="Arial"/>
                <w:sz w:val="16"/>
                <w:szCs w:val="16"/>
                <w:color w:val="auto"/>
              </w:rPr>
              <w:t>Earned current period</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156</w:t>
            </w:r>
          </w:p>
        </w:tc>
        <w:tc>
          <w:tcPr>
            <w:tcW w:w="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97</w:t>
            </w:r>
          </w:p>
        </w:tc>
      </w:tr>
      <w:tr>
        <w:trPr>
          <w:trHeight w:val="273"/>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Earned prior periods</w:t>
            </w:r>
          </w:p>
        </w:tc>
        <w:tc>
          <w:tcPr>
            <w:tcW w:w="10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r>
      <w:tr>
        <w:trPr>
          <w:trHeight w:val="240"/>
        </w:trPr>
        <w:tc>
          <w:tcPr>
            <w:tcW w:w="6600" w:type="dxa"/>
            <w:vAlign w:val="bottom"/>
          </w:tcPr>
          <w:p>
            <w:pPr>
              <w:ind w:left="28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194</w:t>
            </w:r>
          </w:p>
        </w:tc>
        <w:tc>
          <w:tcPr>
            <w:tcW w:w="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107</w:t>
            </w:r>
          </w:p>
        </w:tc>
      </w:tr>
      <w:tr>
        <w:trPr>
          <w:trHeight w:val="20"/>
        </w:trPr>
        <w:tc>
          <w:tcPr>
            <w:tcW w:w="6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05"/>
        </w:trPr>
        <w:tc>
          <w:tcPr>
            <w:tcW w:w="6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Quality incentive premium revenue recognized as a percentage of total premium revenue</w:t>
            </w:r>
          </w:p>
        </w:tc>
        <w:tc>
          <w:tcPr>
            <w:tcW w:w="10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Costs, Medical Claims and Benefits Payable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20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and the assumed healthcare cost trend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Each reporting period, the recognized IBNP liability represents our best estimate of the total amount of unpaid claims incurred as of the balance sheet date using a consistent methodology in estimating our IBNP liability. We believe our current estimates are reasonable and adequate; however, the development of our estimate is a continuous process that we monitor and update as more complete claims payment information and healthcare cost trend data becomes available. Actual medical care costs may be less than we previously estimated (favorable development) or more than we previously estimated (unfavorable development), and any differences could be material. Any adjustments to reflect favorable development would be</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59</w:t>
      </w:r>
    </w:p>
    <w:p>
      <w:pPr>
        <w:sectPr>
          <w:pgSz w:w="11900" w:h="16838" w:orient="portrait"/>
          <w:cols w:equalWidth="0" w:num="1">
            <w:col w:w="11420"/>
          </w:cols>
          <w:pgMar w:left="240" w:top="679" w:right="239" w:bottom="1440" w:gutter="0" w:footer="0" w:header="0"/>
        </w:sectPr>
      </w:pPr>
    </w:p>
    <w:bookmarkStart w:id="62" w:name="page63"/>
    <w:bookmarkEnd w:id="62"/>
    <w:p>
      <w:pPr>
        <w:ind w:right="120"/>
        <w:spacing w:after="0" w:line="262" w:lineRule="auto"/>
        <w:rPr>
          <w:sz w:val="20"/>
          <w:szCs w:val="20"/>
          <w:color w:val="auto"/>
        </w:rPr>
      </w:pPr>
      <w:r>
        <w:rPr>
          <w:rFonts w:ascii="Arial" w:cs="Arial" w:eastAsia="Arial" w:hAnsi="Arial"/>
          <w:sz w:val="18"/>
          <w:szCs w:val="18"/>
          <w:color w:val="auto"/>
        </w:rPr>
        <w:t>recognized as a decrease to medical care costs, and any adjustments to reflect unfavorable development would be recognized as an increase to medical care costs, in the period in which the adjustments are determined.</w:t>
      </w:r>
    </w:p>
    <w:p>
      <w:pPr>
        <w:spacing w:after="0" w:line="19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Refer to Note 10, “Medical Claims and Benefits Payable,” for a table presenting the components of the change in our medical claims and benefits payable, for all periods presented in the accompanying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limit our risk of catastrophic losses by maintaining high deductible reinsurance coverage. Such reinsurance coverage does not relieve us of our primary obligation to our policyholders. We report reinsurance premiums as a reduction to premium revenue, while related reinsurance recoveries are reported as a reduction to medical care costs. Reinsurance premiums amounted to $17 million, $16 million, and $20 million for the years ended December 31, 2019, 2018, and 2017, respectively. Reinsurance recoveries amounted to $18 million, $33 million, and $24 million for the years ended December 31, 2019, 2018, and 2017, respectively. Reinsurance recoverable of $21 million, $31 million, and $16 million, as of December 31, 2019, 2018, and 2017, respectively, is included in “Receivables” in the accompanying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Cost Share Reduction (“CSR”)</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the year ended December 31, 2018, we recognized a benefit of approximately $81 million in reduced medical care costs related to 2017 dates of service, as a result of the federal government’s confirmation that the reconciliation of 2017 Marketplace CSR subsidies would be performed on an annual basis. In the fourth quarter of 2017, we had assumed a nine-month reconciliation of this item pending confirmation of the time period to which the 2017 reconciliation would be applied.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is recognized if anticipated future medical care and administrative costs exceed anticipated future premium revenue, investment income and reinsurance recoveries. No premium deficiency reserves were recorded as of December 31, 2019 and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difference between the financial statement and tax bases of assets and liabilities using enacted tax rates expected to be in effect during the year in which the basis differences reverse. Valuation allowances are established when management determines it is more likely than not that some portion, or all, of the deferred tax assets will not be realized. For further discussion and disclosure, see Note 13,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Based on Premiums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Health Insurer Fee (“HIF”). </w:t>
      </w:r>
      <w:r>
        <w:rPr>
          <w:rFonts w:ascii="Arial" w:cs="Arial" w:eastAsia="Arial" w:hAnsi="Arial"/>
          <w:sz w:val="18"/>
          <w:szCs w:val="18"/>
          <w:color w:val="auto"/>
        </w:rPr>
        <w:t>The federal government under the ACA imposes an annual fee, or excise tax, on health insurers for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HIF is based on a company’s share of the industry’s net premiums written during the preceding calendar year and is non-deductible for income tax purposes. We recognize expense for the HIF over the year on a straight-line basis. Within our Medicaid program, we must secure additional reimbursement from our state partners for this added cost. We recognize the related revenue when we have obtained a contractual commitment or payment from a state to reimburse us for the HIF, and such HIF revenue is recognized ratably throughout the year. The Consolidated Appropriations Act of 2016 provided for the HIF moratorium in 2017, and Public Law No. 115-120 provided for the HIF moratorium in 2019. Therefore, there were no health insurer fees reimbursed, nor health insurer fees incurred, in those years.</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Premium and Use Tax. </w:t>
      </w:r>
      <w:r>
        <w:rPr>
          <w:rFonts w:ascii="Arial" w:cs="Arial" w:eastAsia="Arial" w:hAnsi="Arial"/>
          <w:sz w:val="18"/>
          <w:szCs w:val="18"/>
          <w:color w:val="auto"/>
        </w:rPr>
        <w:t>Certain of our health plans are assessed a tax based on premium revenue collected. The premium revenues we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these states include the premium tax assessment. We have reported these taxes on a gross basis, as premium tax revenue and as premium tax expenses in the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60</w:t>
      </w:r>
    </w:p>
    <w:p>
      <w:pPr>
        <w:sectPr>
          <w:pgSz w:w="11900" w:h="16838" w:orient="portrait"/>
          <w:cols w:equalWidth="0" w:num="1">
            <w:col w:w="11420"/>
          </w:cols>
          <w:pgMar w:left="240" w:top="679" w:right="239" w:bottom="1440" w:gutter="0" w:footer="0" w:header="0"/>
        </w:sectPr>
      </w:pPr>
    </w:p>
    <w:bookmarkStart w:id="63" w:name="page64"/>
    <w:bookmarkEnd w:id="63"/>
    <w:p>
      <w:pPr>
        <w:ind w:right="80"/>
        <w:spacing w:after="0" w:line="256" w:lineRule="auto"/>
        <w:rPr>
          <w:sz w:val="20"/>
          <w:szCs w:val="20"/>
          <w:color w:val="auto"/>
        </w:rPr>
      </w:pPr>
      <w:r>
        <w:rPr>
          <w:rFonts w:ascii="Arial" w:cs="Arial" w:eastAsia="Arial" w:hAnsi="Arial"/>
          <w:sz w:val="18"/>
          <w:szCs w:val="18"/>
          <w:color w:val="auto"/>
        </w:rPr>
        <w:t>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Concentration of credit risk with respect to accounts receivable is limited because our payors consist principally of the federal government, and governments of each state or commonwealth in which our health plan subsidiaries operate. See further information below, under “Recent Accounting Pronouncements Not Yet Adopted” regarding our adoption of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effective January 1,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 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operate health plans primarily as a direct contractor with the states (or Commonwealth), and in Los Angeles County, California, as a subcontractor to another health plan holding a direct contract with the state. We are therefore dependent upon a small number of contracts to support our revenue. The loss of any one of those contracts could have a material adverse effect on our financial position, results of operations, or cash flows. In addition,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(“FASB”) issued Topic 842, which was subsequently modified by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ASUs issued in 2017 and 2018. Topic 842 was issued to increase transparency and comparability among organizations by requiring the recognition of ROU assets and lease liabilities on the balance sheet. Most prominent among the changes in Topic 842 is the recognition of ROU assets and lease liabilities by lessees for those leases classified as operating leases. In addition, Topic 842’s disclosures are required to meet the objective of enabling users of financial statements to assess the amount, timing and uncertainty of cash flows arising from leases. Topic 842’s transition provisions are applied using a modified retrospective approach; entities may elect whether to apply the transition provisions, including disclosure requirements, at the beginning of the earliest comparative period presented or on the adoption date.</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adopted Topic 842 effective January 1, 2019, and elected to apply the transition provisions as of that date. Accordingly, we recognized the cumulative effect of initially applying the standard as an adjustment to the opening balance of retained earnings on January 1, 2019. In addition, we elected the available practical expedients and implemented internal controls and information systems functionality to enable the preparation of financial information on adoption.</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indicated in the accompanying consolidated statements of stockholders’ equity, the cumulative effect adjustment was an increase of $85 million to retained earnings ($ 110 million, net of $25 million deferred income tax expense), relating primarily to the transition provisions for sale-leaseback arrangements that did not qualify for sale treatment. Accordingly, such arrangements were de-recognized and recorded as finance lease ROU assets and lease liabilities. The difference between the de-recognized assets and lease financing obligations resulted in an increase to retained earnings. The recognition of these arrangements as finance lease ROU assets and lease liabilities will not materially impact our consolidated results of operations over the terms of the leases.</w:t>
      </w:r>
    </w:p>
    <w:p>
      <w:pPr>
        <w:spacing w:after="0" w:line="20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i w:val="1"/>
          <w:iCs w:val="1"/>
          <w:color w:val="auto"/>
        </w:rPr>
        <w:t xml:space="preserve">Software Licenses.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Customer’s Accounting for Implementation Costs Incurred in a Cloud Computing Arrangement That Is a Service Contract, </w:t>
      </w:r>
      <w:r>
        <w:rPr>
          <w:rFonts w:ascii="Arial" w:cs="Arial" w:eastAsia="Arial" w:hAnsi="Arial"/>
          <w:sz w:val="18"/>
          <w:szCs w:val="18"/>
          <w:color w:val="auto"/>
        </w:rPr>
        <w:t>which aligns the requirements for capitalizing implementation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implementation costs incurred to develop or obtain internal-use software. We early adopted ASU 2018-15 effective January 1, 2019, using the prospective method</w:t>
      </w:r>
      <w:r>
        <w:rPr>
          <w:rFonts w:ascii="Arial" w:cs="Arial" w:eastAsia="Arial" w:hAnsi="Arial"/>
          <w:sz w:val="19"/>
          <w:szCs w:val="19"/>
          <w:color w:val="auto"/>
        </w:rPr>
        <w:t>,</w:t>
      </w:r>
      <w:r>
        <w:rPr>
          <w:rFonts w:ascii="Arial" w:cs="Arial" w:eastAsia="Arial" w:hAnsi="Arial"/>
          <w:sz w:val="18"/>
          <w:szCs w:val="18"/>
          <w:color w:val="auto"/>
        </w:rPr>
        <w:t xml:space="preserve"> with no material impact to our financial condition, results of operations or cash flows. Adoption of this guidance may be significant to us in the future depending on the extent to which we use cloud computing arrangements that qualify as service contracts.</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61</w:t>
      </w:r>
    </w:p>
    <w:p>
      <w:pPr>
        <w:sectPr>
          <w:pgSz w:w="11900" w:h="16838" w:orient="portrait"/>
          <w:cols w:equalWidth="0" w:num="1">
            <w:col w:w="11420"/>
          </w:cols>
          <w:pgMar w:left="240" w:top="67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xml:space="preserve"> Financial Instruments - Credit Losses (Topic 326): Measurement of Credit Losses on Financial Instruments</w:t>
      </w:r>
      <w:r>
        <w:rPr>
          <w:rFonts w:ascii="Arial" w:cs="Arial" w:eastAsia="Arial" w:hAnsi="Arial"/>
          <w:sz w:val="18"/>
          <w:szCs w:val="18"/>
          <w:color w:val="auto"/>
        </w:rPr>
        <w:t>, which was subsequently modified by several ASUs issued in 2018 and 2019. This standard introduces a new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AFS debt securities impairment model. It eliminates the concept of other-than-temporary impairment and requires an entity to determine whether any impairment is the result of a credit loss or other factors. We will adopt Topic 326 effective January 1, 2020, using the modified retrospective approach. Under this method we will recognize the cumulative effect of adopting the standard as an adjustment to the opening balance of retained earnings on January 1, 2020.</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Topic 326, we will record an allowance for credit losses for financial assets subject to the CECL model. The most significant type of financial instrument reported in our consolidated balance sheets, subject to the CECL model, is “Receivables.” As of December 31, 2019, approximately 75%, or $ 1,056 million of the receivables balance constitutes receivables from state and federal government agencies. Based on our analysis, we believe that the credit risk associated with such receivables is nominal due to a very low risk of default.</w:t>
      </w:r>
    </w:p>
    <w:p>
      <w:pPr>
        <w:spacing w:after="0" w:line="20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AFS debt securities impairment model will apply to “Investments” reported in our consolidated balance sheets. We believe that the credit risk associated with our non-government issued Investments is nominal due to the high quality of such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Topic 326 will be immaterial to our consolidated results of operations and financial condition.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62</w:t>
      </w:r>
    </w:p>
    <w:p>
      <w:pPr>
        <w:sectPr>
          <w:pgSz w:w="11900" w:h="16838" w:orient="portrait"/>
          <w:cols w:equalWidth="0" w:num="1">
            <w:col w:w="11420"/>
          </w:cols>
          <w:pgMar w:left="240" w:top="630" w:right="239" w:bottom="1440" w:gutter="0" w:footer="0" w:header="0"/>
        </w:sectPr>
      </w:pPr>
    </w:p>
    <w:bookmarkStart w:id="65" w:name="page66"/>
    <w:bookmarkEnd w:id="65"/>
    <w:p>
      <w:pPr>
        <w:spacing w:after="0"/>
        <w:rPr>
          <w:sz w:val="20"/>
          <w:szCs w:val="20"/>
          <w:color w:val="auto"/>
        </w:rPr>
      </w:pPr>
      <w:r>
        <w:rPr>
          <w:rFonts w:ascii="Arial" w:cs="Arial" w:eastAsia="Arial" w:hAnsi="Arial"/>
          <w:sz w:val="25"/>
          <w:szCs w:val="25"/>
          <w:color w:val="828282"/>
        </w:rPr>
        <w:t>3. Net Income (Loss)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(loss)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251"/>
        </w:trPr>
        <w:tc>
          <w:tcPr>
            <w:tcW w:w="6400" w:type="dxa"/>
            <w:vAlign w:val="bottom"/>
          </w:tcPr>
          <w:p>
            <w:pPr>
              <w:spacing w:after="0"/>
              <w:rPr>
                <w:sz w:val="21"/>
                <w:szCs w:val="21"/>
                <w:color w:val="auto"/>
              </w:rPr>
            </w:pPr>
          </w:p>
        </w:tc>
        <w:tc>
          <w:tcPr>
            <w:tcW w:w="5020" w:type="dxa"/>
            <w:vAlign w:val="bottom"/>
            <w:gridSpan w:val="9"/>
          </w:tcPr>
          <w:p>
            <w:pPr>
              <w:jc w:val="center"/>
              <w:spacing w:after="0"/>
              <w:rPr>
                <w:sz w:val="20"/>
                <w:szCs w:val="20"/>
                <w:color w:val="auto"/>
              </w:rPr>
            </w:pPr>
            <w:r>
              <w:rPr>
                <w:rFonts w:ascii="Arial" w:cs="Arial" w:eastAsia="Arial" w:hAnsi="Arial"/>
                <w:sz w:val="14"/>
                <w:szCs w:val="14"/>
                <w:b w:val="1"/>
                <w:bCs w:val="1"/>
                <w:color w:val="auto"/>
              </w:rPr>
              <w:t>(In millions, except net income (loss) per share)</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Numerator:</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94"/>
        </w:trPr>
        <w:tc>
          <w:tcPr>
            <w:tcW w:w="64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737</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54"/>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Denominator:</w:t>
            </w:r>
          </w:p>
        </w:tc>
        <w:tc>
          <w:tcPr>
            <w:tcW w:w="104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Shares outstanding at the beginning of the period</w:t>
            </w:r>
          </w:p>
        </w:tc>
        <w:tc>
          <w:tcPr>
            <w:tcW w:w="1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shares issued:</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6400" w:type="dxa"/>
            <w:vAlign w:val="bottom"/>
          </w:tcPr>
          <w:p>
            <w:pPr>
              <w:ind w:left="180"/>
              <w:spacing w:after="0"/>
              <w:rPr>
                <w:sz w:val="20"/>
                <w:szCs w:val="20"/>
                <w:color w:val="auto"/>
              </w:rPr>
            </w:pPr>
            <w:r>
              <w:rPr>
                <w:rFonts w:ascii="Arial" w:cs="Arial" w:eastAsia="Arial" w:hAnsi="Arial"/>
                <w:sz w:val="16"/>
                <w:szCs w:val="16"/>
                <w:color w:val="auto"/>
              </w:rPr>
              <w:t xml:space="preserve">Exchange of convertible senior notes </w:t>
            </w:r>
            <w:r>
              <w:rPr>
                <w:rFonts w:ascii="Arial" w:cs="Arial" w:eastAsia="Arial" w:hAnsi="Arial"/>
                <w:sz w:val="21"/>
                <w:szCs w:val="21"/>
                <w:color w:val="auto"/>
                <w:vertAlign w:val="superscript"/>
              </w:rPr>
              <w:t>(1)</w:t>
            </w:r>
          </w:p>
        </w:tc>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Conversion of convertible senior notes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for basic net income (loss) per share</w:t>
            </w:r>
          </w:p>
        </w:tc>
        <w:tc>
          <w:tcPr>
            <w:tcW w:w="10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Effect of dilutive securities:</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Warrants </w:t>
            </w:r>
            <w:r>
              <w:rPr>
                <w:rFonts w:ascii="Arial" w:cs="Arial" w:eastAsia="Arial" w:hAnsi="Arial"/>
                <w:sz w:val="21"/>
                <w:szCs w:val="21"/>
                <w:color w:val="auto"/>
                <w:vertAlign w:val="superscript"/>
              </w:rPr>
              <w:t>(2)</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400" w:type="dxa"/>
            <w:vAlign w:val="bottom"/>
          </w:tcPr>
          <w:p>
            <w:pPr>
              <w:ind w:left="180"/>
              <w:spacing w:after="0"/>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(1)</w:t>
            </w:r>
          </w:p>
        </w:tc>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Denominator for diluted net income (loss) per share</w:t>
            </w: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w:t>
            </w:r>
          </w:p>
        </w:tc>
      </w:tr>
      <w:tr>
        <w:trPr>
          <w:trHeight w:val="281"/>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1"/>
                <w:szCs w:val="21"/>
                <w:color w:val="auto"/>
                <w:vertAlign w:val="superscript"/>
              </w:rPr>
              <w:t>(3)</w:t>
            </w: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6"/>
                <w:szCs w:val="16"/>
                <w:color w:val="auto"/>
              </w:rPr>
              <w:t>Diluted</w:t>
            </w:r>
          </w:p>
        </w:tc>
        <w:tc>
          <w:tcPr>
            <w:tcW w:w="104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11.47</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81"/>
        </w:trPr>
        <w:tc>
          <w:tcPr>
            <w:tcW w:w="640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Potentially dilutive common shares excluded from calculations: </w:t>
            </w:r>
            <w:r>
              <w:rPr>
                <w:rFonts w:ascii="Arial" w:cs="Arial" w:eastAsia="Arial" w:hAnsi="Arial"/>
                <w:sz w:val="21"/>
                <w:szCs w:val="21"/>
                <w:color w:val="auto"/>
                <w:vertAlign w:val="superscript"/>
              </w:rPr>
              <w:t>(2)</w:t>
            </w: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Warrants</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326"/>
        </w:trPr>
        <w:tc>
          <w:tcPr>
            <w:tcW w:w="6400" w:type="dxa"/>
            <w:vAlign w:val="bottom"/>
          </w:tcPr>
          <w:p>
            <w:pPr>
              <w:ind w:left="180"/>
              <w:spacing w:after="0"/>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(1)</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195"/>
        </w:trPr>
        <w:tc>
          <w:tcPr>
            <w:tcW w:w="64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w:t>
      </w:r>
    </w:p>
    <w:p>
      <w:pPr>
        <w:spacing w:after="0" w:line="12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“Convertible senior notes” in this table refer to the 1.625% convertible senior notes due 2044 that were settled in 2018.</w:t>
      </w:r>
    </w:p>
    <w:p>
      <w:pPr>
        <w:spacing w:after="0" w:line="5"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more information regarding the warrants, including partial termination transactions, refer to Note 14, “Stockholders' Equity.” The dilutive effect of all potentially dilutive common shares is calculated using the treasury stock method. Certain potentially dilutive common shares issuable are not included in the computation of diluted net income (loss) per share because to do so would have been anti-dilutive.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consider the carrying amounts of current assets and current liabilities (not including derivatives and the current portion of long-term debt)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7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 xml:space="preserve">Level 1 — Observable Inputs. </w:t>
      </w:r>
      <w:r>
        <w:rPr>
          <w:rFonts w:ascii="Arial" w:cs="Arial" w:eastAsia="Arial" w:hAnsi="Arial"/>
          <w:sz w:val="18"/>
          <w:szCs w:val="18"/>
          <w:color w:val="auto"/>
        </w:rPr>
        <w:t>Level 1 financial instruments are actively traded and therefore the fair value for these securities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for identical securities in active markets.</w:t>
      </w:r>
    </w:p>
    <w:p>
      <w:pPr>
        <w:spacing w:after="0" w:line="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Level 2 — Directly or Indirectly Observable Inputs. </w:t>
      </w:r>
      <w:r>
        <w:rPr>
          <w:rFonts w:ascii="Arial" w:cs="Arial" w:eastAsia="Arial" w:hAnsi="Arial"/>
          <w:sz w:val="18"/>
          <w:szCs w:val="18"/>
          <w:color w:val="auto"/>
        </w:rPr>
        <w:t>Fair value for these investments is determined using a market approach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securities in active markets or quoted prices for identical securities in inactive markets.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63</w:t>
      </w:r>
    </w:p>
    <w:p>
      <w:pPr>
        <w:sectPr>
          <w:pgSz w:w="11900" w:h="16838" w:orient="portrait"/>
          <w:cols w:equalWidth="0" w:num="1">
            <w:col w:w="11420"/>
          </w:cols>
          <w:pgMar w:left="240" w:top="681" w:right="239" w:bottom="1440" w:gutter="0" w:footer="0" w:header="0"/>
        </w:sectPr>
      </w:pPr>
    </w:p>
    <w:bookmarkStart w:id="66" w:name="page67"/>
    <w:bookmarkEnd w:id="66"/>
    <w:p>
      <w:pPr>
        <w:ind w:right="220"/>
        <w:spacing w:after="0" w:line="266" w:lineRule="auto"/>
        <w:rPr>
          <w:sz w:val="20"/>
          <w:szCs w:val="20"/>
          <w:color w:val="auto"/>
        </w:rPr>
      </w:pPr>
      <w:r>
        <w:rPr>
          <w:rFonts w:ascii="Arial" w:cs="Arial" w:eastAsia="Arial" w:hAnsi="Arial"/>
          <w:sz w:val="18"/>
          <w:szCs w:val="18"/>
          <w:i w:val="1"/>
          <w:iCs w:val="1"/>
          <w:color w:val="auto"/>
        </w:rPr>
        <w:t xml:space="preserve">Level 3 — Unobservable Inputs. </w:t>
      </w:r>
      <w:r>
        <w:rPr>
          <w:rFonts w:ascii="Arial" w:cs="Arial" w:eastAsia="Arial" w:hAnsi="Arial"/>
          <w:sz w:val="18"/>
          <w:szCs w:val="18"/>
          <w:color w:val="auto"/>
        </w:rPr>
        <w:t>Level 3 financial instruments are valued using unobservable inputs that represent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what market participants would use in pricing the financial instrument at the measurement date. Our Level 3 financial instruments consist primarily of derivative financial instruments.</w:t>
      </w:r>
    </w:p>
    <w:p>
      <w:pPr>
        <w:spacing w:after="0" w:line="8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derivatives include the 1.125% Call Option derivative asset and the 1.125% Conversion Option derivative liability (for detailed descriptions of these instruments, see Note 12. “Derivatives”). These derivatives are not actively traded and are valued based on an option pricing model that uses observable and unobservable market data for inputs. Significant market data inputs used to determine fair value as of December 31, 2019, included the price of our common stock, the time to maturity of the derivative instruments, the risk-free interest rate, and the implied volatility of our common stock. The 1.125% Call Option asset and the 1.125% Conversion Option liability were designed such that changes in their fair values offset, with minimal impact to the consolidated statements of operations. Therefore, the sensitivity of changes in the unobservable inputs to the option pricing model for such instruments is mitigated.</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years ended December 31, 2019, and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2019,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3</w:t>
            </w:r>
          </w:p>
        </w:tc>
      </w:tr>
      <w:tr>
        <w:trPr>
          <w:trHeight w:val="224"/>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Government-sponsored enterprise securities (“GSEs”)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securities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Certificates of deposit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Subtotal</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Call Option derivative asset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4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40"/>
        </w:trPr>
        <w:tc>
          <w:tcPr>
            <w:tcW w:w="56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2018,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3</w:t>
            </w:r>
          </w:p>
        </w:tc>
      </w:tr>
      <w:tr>
        <w:trPr>
          <w:trHeight w:val="224"/>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Foreign securities</w:t>
            </w:r>
          </w:p>
        </w:tc>
        <w:tc>
          <w:tcPr>
            <w:tcW w:w="30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5620" w:type="dxa"/>
            <w:vAlign w:val="bottom"/>
          </w:tcPr>
          <w:p>
            <w:pPr>
              <w:ind w:left="280"/>
              <w:spacing w:after="0"/>
              <w:rPr>
                <w:sz w:val="20"/>
                <w:szCs w:val="20"/>
                <w:color w:val="auto"/>
              </w:rPr>
            </w:pPr>
            <w:r>
              <w:rPr>
                <w:rFonts w:ascii="Arial" w:cs="Arial" w:eastAsia="Arial" w:hAnsi="Arial"/>
                <w:sz w:val="16"/>
                <w:szCs w:val="16"/>
                <w:color w:val="auto"/>
              </w:rPr>
              <w:t>Subtotal</w:t>
            </w: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1.125% Call Option derivative asset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80"/>
        </w:trPr>
        <w:tc>
          <w:tcPr>
            <w:tcW w:w="56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476</w:t>
            </w:r>
          </w:p>
        </w:tc>
      </w:tr>
      <w:tr>
        <w:trPr>
          <w:trHeight w:val="281"/>
        </w:trPr>
        <w:tc>
          <w:tcPr>
            <w:tcW w:w="56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1.125% Conversion Option derivative liability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r>
      <w:tr>
        <w:trPr>
          <w:trHeight w:val="24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3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64</w:t>
      </w:r>
    </w:p>
    <w:p>
      <w:pPr>
        <w:sectPr>
          <w:pgSz w:w="11900" w:h="16838" w:orient="portrait"/>
          <w:cols w:equalWidth="0" w:num="1">
            <w:col w:w="11420"/>
          </w:cols>
          <w:pgMar w:left="240" w:top="661"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 The carrying amount and estimated fair value of the Term Loan Facility is classified as a Level 3 financial instrument, because certain inputs used to determine its fair value are not observable. As of December 31, 2019, the carrying amount of the Term Loan Facility approximated fair value because its interest rate is a variable rate that approximates rates currently available to us.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Pr>
          <w:p>
            <w:pPr>
              <w:spacing w:after="0"/>
              <w:rPr>
                <w:sz w:val="19"/>
                <w:szCs w:val="19"/>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December 31, 2018</w:t>
            </w:r>
          </w:p>
        </w:tc>
      </w:tr>
      <w:tr>
        <w:trPr>
          <w:trHeight w:val="251"/>
        </w:trPr>
        <w:tc>
          <w:tcPr>
            <w:tcW w:w="6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83"/>
        </w:trPr>
        <w:tc>
          <w:tcPr>
            <w:tcW w:w="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4"/>
        </w:trPr>
        <w:tc>
          <w:tcPr>
            <w:tcW w:w="6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6"/>
        </w:trPr>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5.375%</w:t>
            </w:r>
          </w:p>
        </w:tc>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r>
      <w:tr>
        <w:trPr>
          <w:trHeight w:val="260"/>
        </w:trPr>
        <w:tc>
          <w:tcPr>
            <w:tcW w:w="600" w:type="dxa"/>
            <w:vAlign w:val="bottom"/>
          </w:tcPr>
          <w:p>
            <w:pPr>
              <w:ind w:left="40"/>
              <w:spacing w:after="0"/>
              <w:rPr>
                <w:sz w:val="20"/>
                <w:szCs w:val="20"/>
                <w:color w:val="auto"/>
              </w:rPr>
            </w:pPr>
            <w:r>
              <w:rPr>
                <w:rFonts w:ascii="Arial" w:cs="Arial" w:eastAsia="Arial" w:hAnsi="Arial"/>
                <w:sz w:val="16"/>
                <w:szCs w:val="16"/>
                <w:color w:val="auto"/>
                <w:w w:val="99"/>
              </w:rPr>
              <w:t>4.875%</w:t>
            </w:r>
          </w:p>
        </w:tc>
        <w:tc>
          <w:tcPr>
            <w:tcW w:w="5020" w:type="dxa"/>
            <w:vAlign w:val="bottom"/>
          </w:tcPr>
          <w:p>
            <w:pPr>
              <w:ind w:left="20"/>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301</w:t>
            </w: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Facility</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9"/>
              </w:rPr>
              <w:t>1.125%</w:t>
            </w:r>
          </w:p>
        </w:tc>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r>
      <w:tr>
        <w:trPr>
          <w:trHeight w:val="234"/>
        </w:trPr>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8" w:lineRule="exact"/>
        <w:rPr>
          <w:sz w:val="20"/>
          <w:szCs w:val="20"/>
          <w:color w:val="auto"/>
        </w:rPr>
      </w:pPr>
    </w:p>
    <w:p>
      <w:pPr>
        <w:ind w:left="340" w:right="340" w:hanging="332"/>
        <w:spacing w:after="0" w:line="25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fair value of the 1.125% Conversion Option (the embedded cash conversion option), which is reflected in the fair value amounts presented above, amounted to $29 million and $476 million as of December 31, 2019 and 2018, respectively. For more information, including information on debt repayments in 2019 and 2020, see Note 11, “Debt,” and Note 12, “Derivatives.”</w:t>
      </w:r>
    </w:p>
    <w:p>
      <w:pPr>
        <w:spacing w:after="0" w:line="390"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Gross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Amortized</w:t>
            </w: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Estimated</w:t>
            </w: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Cost</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Losses</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1"/>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Treasury notes</w:t>
            </w: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GSEs</w:t>
            </w: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Certificates of deposit</w:t>
            </w:r>
          </w:p>
        </w:tc>
        <w:tc>
          <w:tcPr>
            <w:tcW w:w="2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65</w:t>
      </w:r>
    </w:p>
    <w:p>
      <w:pPr>
        <w:sectPr>
          <w:pgSz w:w="11900" w:h="16838" w:orient="portrait"/>
          <w:cols w:equalWidth="0" w:num="1">
            <w:col w:w="11420"/>
          </w:cols>
          <w:pgMar w:left="240" w:top="65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3"/>
          </w:tcPr>
          <w:p>
            <w:pPr>
              <w:ind w:left="1000"/>
              <w:spacing w:after="0"/>
              <w:rPr>
                <w:sz w:val="20"/>
                <w:szCs w:val="20"/>
                <w:color w:val="auto"/>
              </w:rPr>
            </w:pPr>
            <w:r>
              <w:rPr>
                <w:rFonts w:ascii="Arial" w:cs="Arial" w:eastAsia="Arial" w:hAnsi="Arial"/>
                <w:sz w:val="16"/>
                <w:szCs w:val="16"/>
                <w:b w:val="1"/>
                <w:bCs w:val="1"/>
                <w:color w:val="auto"/>
              </w:rPr>
              <w:t>Gross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Unrealized</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36"/>
        </w:trPr>
        <w:tc>
          <w:tcPr>
            <w:tcW w:w="5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Losses</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1"/>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3"/>
          </w:tcPr>
          <w:p>
            <w:pPr>
              <w:ind w:left="8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notes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Municipal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GSEs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Foreign securities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0"/>
        </w:trPr>
        <w:tc>
          <w:tcPr>
            <w:tcW w:w="516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current investments as of December 31, 2019 are summarized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36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Estimated</w:t>
            </w:r>
          </w:p>
        </w:tc>
      </w:t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6"/>
              </w:rPr>
              <w:t>Fair Value</w:t>
            </w:r>
          </w:p>
        </w:tc>
      </w:tr>
      <w:tr>
        <w:trPr>
          <w:trHeight w:val="251"/>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ten years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w:t>
            </w:r>
          </w:p>
        </w:tc>
      </w:tr>
      <w:tr>
        <w:trPr>
          <w:trHeight w:val="24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$13 million in the year ended December 31, 2019. Gross realized investment losses were insignificant in the year ended December 31, 2019. Gross realized investment gains and losses for the years ended December 31, 2018 and 2017 were insignificant.</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determined that unrealized losses at December 31, 2019 and 2018 are temporary in nature, because the change in market value for these securities resulted from fluctuating interest rates, rather than a deterioration of the creditworthiness of the issuers.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gridSpan w:val="7"/>
          </w:tcPr>
          <w:p>
            <w:pPr>
              <w:ind w:left="80"/>
              <w:spacing w:after="0"/>
              <w:rPr>
                <w:sz w:val="20"/>
                <w:szCs w:val="20"/>
                <w:color w:val="auto"/>
              </w:rPr>
            </w:pPr>
            <w:r>
              <w:rPr>
                <w:rFonts w:ascii="Arial" w:cs="Arial" w:eastAsia="Arial" w:hAnsi="Arial"/>
                <w:sz w:val="16"/>
                <w:szCs w:val="16"/>
                <w:b w:val="1"/>
                <w:bCs w:val="1"/>
                <w:color w:val="auto"/>
              </w:rPr>
              <w:t>In a Continuous Loss Position</w:t>
            </w:r>
          </w:p>
        </w:tc>
        <w:tc>
          <w:tcPr>
            <w:tcW w:w="220" w:type="dxa"/>
            <w:vAlign w:val="bottom"/>
          </w:tcPr>
          <w:p>
            <w:pPr>
              <w:spacing w:after="0"/>
              <w:rPr>
                <w:sz w:val="16"/>
                <w:szCs w:val="16"/>
                <w:color w:val="auto"/>
              </w:rPr>
            </w:pPr>
          </w:p>
        </w:tc>
        <w:tc>
          <w:tcPr>
            <w:tcW w:w="408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rPr>
              <w:t>In a Continuous Loss Position</w:t>
            </w:r>
          </w:p>
        </w:tc>
      </w:tr>
      <w:tr>
        <w:trPr>
          <w:trHeight w:val="228"/>
        </w:trPr>
        <w:tc>
          <w:tcPr>
            <w:tcW w:w="2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20" w:type="dxa"/>
            <w:vAlign w:val="bottom"/>
            <w:gridSpan w:val="7"/>
          </w:tcPr>
          <w:p>
            <w:pPr>
              <w:jc w:val="center"/>
              <w:ind w:right="1020"/>
              <w:spacing w:after="0"/>
              <w:rPr>
                <w:sz w:val="20"/>
                <w:szCs w:val="20"/>
                <w:color w:val="auto"/>
              </w:rPr>
            </w:pPr>
            <w:r>
              <w:rPr>
                <w:rFonts w:ascii="Arial" w:cs="Arial" w:eastAsia="Arial" w:hAnsi="Arial"/>
                <w:sz w:val="16"/>
                <w:szCs w:val="16"/>
                <w:b w:val="1"/>
                <w:bCs w:val="1"/>
                <w:color w:val="auto"/>
              </w:rPr>
              <w:t>for Less than 12 Months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gridSpan w:val="6"/>
          </w:tcPr>
          <w:p>
            <w:pPr>
              <w:jc w:val="center"/>
              <w:ind w:right="1159"/>
              <w:spacing w:after="0"/>
              <w:rPr>
                <w:sz w:val="20"/>
                <w:szCs w:val="20"/>
                <w:color w:val="auto"/>
              </w:rPr>
            </w:pPr>
            <w:r>
              <w:rPr>
                <w:rFonts w:ascii="Arial" w:cs="Arial" w:eastAsia="Arial" w:hAnsi="Arial"/>
                <w:sz w:val="16"/>
                <w:szCs w:val="16"/>
                <w:b w:val="1"/>
                <w:bCs w:val="1"/>
                <w:color w:val="auto"/>
              </w:rPr>
              <w:t>for 12 Months or More</w:t>
            </w:r>
          </w:p>
        </w:tc>
      </w:tr>
      <w:tr>
        <w:trPr>
          <w:trHeight w:val="198"/>
        </w:trPr>
        <w:tc>
          <w:tcPr>
            <w:tcW w:w="2640" w:type="dxa"/>
            <w:vAlign w:val="bottom"/>
          </w:tcPr>
          <w:p>
            <w:pPr>
              <w:spacing w:after="0"/>
              <w:rPr>
                <w:sz w:val="17"/>
                <w:szCs w:val="17"/>
                <w:color w:val="auto"/>
              </w:rPr>
            </w:pPr>
          </w:p>
        </w:tc>
        <w:tc>
          <w:tcPr>
            <w:tcW w:w="15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Estimated</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Estimated</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960" w:type="dxa"/>
            <w:vAlign w:val="bottom"/>
          </w:tcPr>
          <w:p>
            <w:pPr>
              <w:jc w:val="center"/>
              <w:ind w:left="379"/>
              <w:spacing w:after="0"/>
              <w:rPr>
                <w:sz w:val="20"/>
                <w:szCs w:val="20"/>
                <w:color w:val="auto"/>
              </w:rPr>
            </w:pPr>
            <w:r>
              <w:rPr>
                <w:rFonts w:ascii="Arial" w:cs="Arial" w:eastAsia="Arial" w:hAnsi="Arial"/>
                <w:sz w:val="16"/>
                <w:szCs w:val="16"/>
                <w:b w:val="1"/>
                <w:bCs w:val="1"/>
                <w:color w:val="auto"/>
              </w:rPr>
              <w:t>Fair</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r>
      <w:tr>
        <w:trPr>
          <w:trHeight w:val="228"/>
        </w:trPr>
        <w:tc>
          <w:tcPr>
            <w:tcW w:w="2640" w:type="dxa"/>
            <w:vAlign w:val="bottom"/>
          </w:tcPr>
          <w:p>
            <w:pPr>
              <w:spacing w:after="0"/>
              <w:rPr>
                <w:sz w:val="19"/>
                <w:szCs w:val="19"/>
                <w:color w:val="auto"/>
              </w:rPr>
            </w:pPr>
          </w:p>
        </w:tc>
        <w:tc>
          <w:tcPr>
            <w:tcW w:w="9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98"/>
              </w:rPr>
              <w:t>Value</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9"/>
              </w:rPr>
              <w:t>Positions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Positions</w:t>
            </w:r>
          </w:p>
        </w:tc>
      </w:tr>
      <w:tr>
        <w:trPr>
          <w:trHeight w:val="224"/>
        </w:trPr>
        <w:tc>
          <w:tcPr>
            <w:tcW w:w="2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9"/>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4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9"/>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66</w:t>
      </w:r>
    </w:p>
    <w:p>
      <w:pPr>
        <w:sectPr>
          <w:pgSz w:w="11900" w:h="16838" w:orient="portrait"/>
          <w:cols w:equalWidth="0" w:num="1">
            <w:col w:w="11420"/>
          </w:cols>
          <w:pgMar w:left="240" w:top="851" w:right="239" w:bottom="1440" w:gutter="0" w:footer="0" w:header="0"/>
        </w:sectPr>
      </w:pPr>
    </w:p>
    <w:bookmarkStart w:id="69" w:name="page70"/>
    <w:bookmarkEnd w:id="69"/>
    <w:p>
      <w:pPr>
        <w:ind w:right="180"/>
        <w:spacing w:after="0" w:line="262"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20" w:type="dxa"/>
            <w:vAlign w:val="bottom"/>
            <w:gridSpan w:val="7"/>
          </w:tcPr>
          <w:p>
            <w:pPr>
              <w:jc w:val="center"/>
              <w:ind w:right="1040"/>
              <w:spacing w:after="0"/>
              <w:rPr>
                <w:sz w:val="20"/>
                <w:szCs w:val="20"/>
                <w:color w:val="auto"/>
              </w:rPr>
            </w:pPr>
            <w:r>
              <w:rPr>
                <w:rFonts w:ascii="Arial" w:cs="Arial" w:eastAsia="Arial" w:hAnsi="Arial"/>
                <w:sz w:val="16"/>
                <w:szCs w:val="16"/>
                <w:b w:val="1"/>
                <w:bCs w:val="1"/>
                <w:color w:val="auto"/>
              </w:rPr>
              <w:t>In a Continuous Loss Position</w:t>
            </w:r>
          </w:p>
        </w:tc>
        <w:tc>
          <w:tcPr>
            <w:tcW w:w="220" w:type="dxa"/>
            <w:vAlign w:val="bottom"/>
          </w:tcPr>
          <w:p>
            <w:pPr>
              <w:spacing w:after="0"/>
              <w:rPr>
                <w:sz w:val="16"/>
                <w:szCs w:val="16"/>
                <w:color w:val="auto"/>
              </w:rPr>
            </w:pPr>
          </w:p>
        </w:tc>
        <w:tc>
          <w:tcPr>
            <w:tcW w:w="408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rPr>
              <w:t>In a Continuous Loss Position</w:t>
            </w:r>
          </w:p>
        </w:tc>
      </w:tr>
      <w:tr>
        <w:trPr>
          <w:trHeight w:val="228"/>
        </w:trPr>
        <w:tc>
          <w:tcPr>
            <w:tcW w:w="2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20" w:type="dxa"/>
            <w:vAlign w:val="bottom"/>
            <w:gridSpan w:val="7"/>
          </w:tcPr>
          <w:p>
            <w:pPr>
              <w:jc w:val="center"/>
              <w:ind w:right="1020"/>
              <w:spacing w:after="0"/>
              <w:rPr>
                <w:sz w:val="20"/>
                <w:szCs w:val="20"/>
                <w:color w:val="auto"/>
              </w:rPr>
            </w:pPr>
            <w:r>
              <w:rPr>
                <w:rFonts w:ascii="Arial" w:cs="Arial" w:eastAsia="Arial" w:hAnsi="Arial"/>
                <w:sz w:val="16"/>
                <w:szCs w:val="16"/>
                <w:b w:val="1"/>
                <w:bCs w:val="1"/>
                <w:color w:val="auto"/>
              </w:rPr>
              <w:t>for Less than 12 Months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gridSpan w:val="6"/>
          </w:tcPr>
          <w:p>
            <w:pPr>
              <w:jc w:val="center"/>
              <w:ind w:right="1159"/>
              <w:spacing w:after="0"/>
              <w:rPr>
                <w:sz w:val="20"/>
                <w:szCs w:val="20"/>
                <w:color w:val="auto"/>
              </w:rPr>
            </w:pPr>
            <w:r>
              <w:rPr>
                <w:rFonts w:ascii="Arial" w:cs="Arial" w:eastAsia="Arial" w:hAnsi="Arial"/>
                <w:sz w:val="16"/>
                <w:szCs w:val="16"/>
                <w:b w:val="1"/>
                <w:bCs w:val="1"/>
                <w:color w:val="auto"/>
              </w:rPr>
              <w:t>for 12 Months or More</w:t>
            </w:r>
          </w:p>
        </w:tc>
      </w:tr>
      <w:tr>
        <w:trPr>
          <w:trHeight w:val="198"/>
        </w:trPr>
        <w:tc>
          <w:tcPr>
            <w:tcW w:w="2640" w:type="dxa"/>
            <w:vAlign w:val="bottom"/>
          </w:tcPr>
          <w:p>
            <w:pPr>
              <w:spacing w:after="0"/>
              <w:rPr>
                <w:sz w:val="17"/>
                <w:szCs w:val="17"/>
                <w:color w:val="auto"/>
              </w:rPr>
            </w:pPr>
          </w:p>
        </w:tc>
        <w:tc>
          <w:tcPr>
            <w:tcW w:w="15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Estimated</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Estimated</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189"/>
        </w:trPr>
        <w:tc>
          <w:tcPr>
            <w:tcW w:w="2640" w:type="dxa"/>
            <w:vAlign w:val="bottom"/>
          </w:tcPr>
          <w:p>
            <w:pPr>
              <w:spacing w:after="0"/>
              <w:rPr>
                <w:sz w:val="16"/>
                <w:szCs w:val="16"/>
                <w:color w:val="auto"/>
              </w:rPr>
            </w:pPr>
          </w:p>
        </w:tc>
        <w:tc>
          <w:tcPr>
            <w:tcW w:w="960" w:type="dxa"/>
            <w:vAlign w:val="bottom"/>
          </w:tcPr>
          <w:p>
            <w:pPr>
              <w:jc w:val="center"/>
              <w:ind w:left="379"/>
              <w:spacing w:after="0"/>
              <w:rPr>
                <w:sz w:val="20"/>
                <w:szCs w:val="20"/>
                <w:color w:val="auto"/>
              </w:rPr>
            </w:pPr>
            <w:r>
              <w:rPr>
                <w:rFonts w:ascii="Arial" w:cs="Arial" w:eastAsia="Arial" w:hAnsi="Arial"/>
                <w:sz w:val="16"/>
                <w:szCs w:val="16"/>
                <w:b w:val="1"/>
                <w:bCs w:val="1"/>
                <w:color w:val="auto"/>
              </w:rPr>
              <w:t>Fair</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r>
      <w:tr>
        <w:trPr>
          <w:trHeight w:val="228"/>
        </w:trPr>
        <w:tc>
          <w:tcPr>
            <w:tcW w:w="2640" w:type="dxa"/>
            <w:vAlign w:val="bottom"/>
          </w:tcPr>
          <w:p>
            <w:pPr>
              <w:spacing w:after="0"/>
              <w:rPr>
                <w:sz w:val="19"/>
                <w:szCs w:val="19"/>
                <w:color w:val="auto"/>
              </w:rPr>
            </w:pPr>
          </w:p>
        </w:tc>
        <w:tc>
          <w:tcPr>
            <w:tcW w:w="9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w w:val="98"/>
              </w:rPr>
              <w:t>Value</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9"/>
              </w:rPr>
              <w:t>Positions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Positions</w:t>
            </w:r>
          </w:p>
        </w:tc>
      </w:tr>
      <w:tr>
        <w:trPr>
          <w:trHeight w:val="224"/>
        </w:trPr>
        <w:tc>
          <w:tcPr>
            <w:tcW w:w="2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debt securities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960" w:type="dxa"/>
            <w:vAlign w:val="bottom"/>
          </w:tcPr>
          <w:p>
            <w:pPr>
              <w:spacing w:after="0"/>
              <w:rPr>
                <w:sz w:val="22"/>
                <w:szCs w:val="2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securities</w:t>
            </w:r>
          </w:p>
        </w:tc>
        <w:tc>
          <w:tcPr>
            <w:tcW w:w="9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GSEs</w:t>
            </w: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r>
      <w:tr>
        <w:trPr>
          <w:trHeight w:val="24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Investments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and mature in one year or less. The following table presents the balances of restricted investments: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1"/>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9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Puerto Rico</w:t>
            </w:r>
          </w:p>
        </w:tc>
        <w:tc>
          <w:tcPr>
            <w:tcW w:w="9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0"/>
        </w:trPr>
        <w:tc>
          <w:tcPr>
            <w:tcW w:w="8340" w:type="dxa"/>
            <w:vAlign w:val="bottom"/>
          </w:tcPr>
          <w:p>
            <w:pPr>
              <w:ind w:left="180"/>
              <w:spacing w:after="0"/>
              <w:rPr>
                <w:sz w:val="20"/>
                <w:szCs w:val="20"/>
                <w:color w:val="auto"/>
              </w:rPr>
            </w:pPr>
            <w:r>
              <w:rPr>
                <w:rFonts w:ascii="Arial" w:cs="Arial" w:eastAsia="Arial" w:hAnsi="Arial"/>
                <w:sz w:val="16"/>
                <w:szCs w:val="16"/>
                <w:color w:val="auto"/>
              </w:rPr>
              <w:t>Total Health Plans segment</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828282"/>
        </w:rPr>
        <w:t>6. Receivables</w:t>
      </w:r>
    </w:p>
    <w:p>
      <w:pPr>
        <w:spacing w:after="0" w:line="2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Receivables consist primarily of amounts due from government agencies, which may be subject to potential retroactive adjustments. Because substantially all of our receivable amounts are readily determinable and substantially all of our creditors are governmental authorities, our allowance for doubtful accounts is insignificant. Any amounts determined to be uncollectible are charged to expense when such determination is made.</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2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1"/>
        </w:trPr>
        <w:tc>
          <w:tcPr>
            <w:tcW w:w="8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7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9"/>
              </w:rPr>
              <w:t>1,056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872</w:t>
            </w:r>
          </w:p>
        </w:tc>
      </w:tr>
      <w:tr>
        <w:trPr>
          <w:trHeight w:val="260"/>
        </w:trPr>
        <w:tc>
          <w:tcPr>
            <w:tcW w:w="82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96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146</w:t>
            </w:r>
          </w:p>
        </w:tc>
      </w:tr>
      <w:tr>
        <w:trPr>
          <w:trHeight w:val="28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r>
      <w:tr>
        <w:trPr>
          <w:trHeight w:val="26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w:t>
            </w:r>
          </w:p>
        </w:tc>
      </w:tr>
      <w:tr>
        <w:trPr>
          <w:trHeight w:val="237"/>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1,406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1,330</w:t>
            </w:r>
          </w:p>
        </w:tc>
      </w:tr>
      <w:tr>
        <w:trPr>
          <w:trHeight w:val="20"/>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79" w:right="239" w:bottom="1440" w:gutter="0" w:footer="0" w:header="0"/>
        </w:sectPr>
      </w:pPr>
    </w:p>
    <w:p>
      <w:pPr>
        <w:spacing w:after="0" w:line="23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67</w:t>
      </w:r>
    </w:p>
    <w:p>
      <w:pPr>
        <w:sectPr>
          <w:pgSz w:w="11900" w:h="16838" w:orient="portrait"/>
          <w:cols w:equalWidth="0" w:num="1">
            <w:col w:w="11420"/>
          </w:cols>
          <w:pgMar w:left="240" w:top="679"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5"/>
          <w:szCs w:val="25"/>
          <w:color w:val="828282"/>
        </w:rPr>
        <w:t>7. Property, Equipment, and Capitalized Software, Net</w:t>
      </w:r>
    </w:p>
    <w:p>
      <w:pPr>
        <w:spacing w:after="0" w:line="2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Property and equipment are stated at historical cost. Replacements and major improvements are capitalized, and repairs and maintenance are charged to expense as incurred. Furniture and equipment are generally depreciated using the straight-line method over estimated useful lives ranging from three to seven years. Software developed for internal use is capitalized.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capitalized software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24"/>
        </w:trPr>
        <w:tc>
          <w:tcPr>
            <w:tcW w:w="8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9"/>
                <w:szCs w:val="19"/>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Capitalized software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w:t>
            </w:r>
          </w:p>
        </w:tc>
        <w:tc>
          <w:tcPr>
            <w:tcW w:w="9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 and improvements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Land</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cost</w:t>
            </w: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amortization - capitalized software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 - furniture, equipment, building, and improvements</w:t>
            </w: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4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accumulated depreciation and amortization</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ROU assets - finance leases</w:t>
            </w: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83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all depreciation and amortization recognized in our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 in depreciation and amortization:</w:t>
            </w: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capitalized software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furniture, equipment, building, and improvements</w:t>
            </w: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8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finance leases</w:t>
            </w: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Subtotal</w:t>
            </w:r>
          </w:p>
        </w:tc>
        <w:tc>
          <w:tcPr>
            <w:tcW w:w="10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Recorded in cost of service revenue:</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capitalized software and deferred contract costs</w:t>
            </w:r>
          </w:p>
        </w:tc>
        <w:tc>
          <w:tcPr>
            <w:tcW w:w="108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6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depreciation and amortization recognized</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828282"/>
        </w:rPr>
        <w:t>8. Leases</w:t>
      </w:r>
    </w:p>
    <w:p>
      <w:pPr>
        <w:spacing w:after="0" w:line="11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As discussed in Note 2, “Significant Accounting Policies,” we elected the Topic 842 transition provision that allows entities to continue to apply the legacy guidance in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its disclosure requirements, in the comparative periods presented in the year of adoption. Accordingly, the Topic 842 disclosures below are presented as of and for the year ended December 31, 2019, only.</w:t>
      </w:r>
    </w:p>
    <w:p>
      <w:pPr>
        <w:spacing w:after="0" w:line="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a party to operating and finance leases primarily for our corporate and health plan offices. Our operating leases have remaining lease terms up to 9 years, some of which include options to extend the leases for up to 10 years. As of December 31, 2019, the weighted average remaining operating lease term is 4 years.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68</w:t>
      </w:r>
    </w:p>
    <w:p>
      <w:pPr>
        <w:sectPr>
          <w:pgSz w:w="11900" w:h="16838" w:orient="portrait"/>
          <w:cols w:equalWidth="0" w:num="1">
            <w:col w:w="11420"/>
          </w:cols>
          <w:pgMar w:left="240" w:top="1113"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Our finance leases have remaining lease terms of 2 years to 19 years, some of which include options to extend the leases for up to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weighted average remaining finance lease term is 16 years.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of December 31, 2019, the weighted-average discount rate used to compute the present value of lease payments was 5.6% for operating lease liabilities, and 6.5% for finance lease liabilities. The components of lease expense were as follows:</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Finance lease expense: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on lease liabilities</w:t>
      </w:r>
    </w:p>
    <w:p>
      <w:pPr>
        <w:spacing w:after="0" w:line="86" w:lineRule="exact"/>
        <w:rPr>
          <w:sz w:val="20"/>
          <w:szCs w:val="20"/>
          <w:color w:val="auto"/>
        </w:rPr>
      </w:pPr>
    </w:p>
    <w:p>
      <w:pPr>
        <w:jc w:val="right"/>
        <w:ind w:right="6853"/>
        <w:spacing w:after="0"/>
        <w:rPr>
          <w:sz w:val="20"/>
          <w:szCs w:val="20"/>
          <w:color w:val="auto"/>
        </w:rPr>
      </w:pPr>
      <w:r>
        <w:rPr>
          <w:rFonts w:ascii="Arial" w:cs="Arial" w:eastAsia="Arial" w:hAnsi="Arial"/>
          <w:sz w:val="16"/>
          <w:szCs w:val="16"/>
          <w:color w:val="auto"/>
        </w:rPr>
        <w:t>Total finance lease expense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Year Ended</w:t>
      </w:r>
    </w:p>
    <w:p>
      <w:pPr>
        <w:spacing w:after="0" w:line="25"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012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78" w:lineRule="exact"/>
        <w:rPr>
          <w:sz w:val="20"/>
          <w:szCs w:val="20"/>
          <w:color w:val="auto"/>
        </w:rPr>
      </w:pPr>
    </w:p>
    <w:p>
      <w:pPr>
        <w:ind w:left="367"/>
        <w:spacing w:after="0"/>
        <w:rPr>
          <w:sz w:val="20"/>
          <w:szCs w:val="20"/>
          <w:color w:val="auto"/>
        </w:rPr>
      </w:pPr>
      <w:r>
        <w:rPr>
          <w:rFonts w:ascii="Arial" w:cs="Arial" w:eastAsia="Arial" w:hAnsi="Arial"/>
          <w:sz w:val="14"/>
          <w:szCs w:val="14"/>
          <w:b w:val="1"/>
          <w:bCs w:val="1"/>
          <w:color w:val="auto"/>
        </w:rPr>
        <w:t>(In millions)</w:t>
      </w:r>
    </w:p>
    <w:p>
      <w:pPr>
        <w:spacing w:after="0" w:line="70" w:lineRule="exact"/>
        <w:rPr>
          <w:sz w:val="20"/>
          <w:szCs w:val="20"/>
          <w:color w:val="auto"/>
        </w:rPr>
      </w:pPr>
    </w:p>
    <w:p>
      <w:pPr>
        <w:ind w:left="1287" w:hanging="1287"/>
        <w:spacing w:after="0"/>
        <w:tabs>
          <w:tab w:leader="none" w:pos="1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012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87" w:hanging="1287"/>
        <w:spacing w:after="0"/>
        <w:tabs>
          <w:tab w:leader="none" w:pos="1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17</w:t>
      </w:r>
    </w:p>
    <w:p>
      <w:pPr>
        <w:spacing w:after="0" w:line="59"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012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3" w:lineRule="exact"/>
        <w:rPr>
          <w:sz w:val="20"/>
          <w:szCs w:val="20"/>
          <w:color w:val="auto"/>
        </w:rPr>
      </w:pPr>
    </w:p>
    <w:p>
      <w:pPr>
        <w:ind w:left="1287" w:hanging="1287"/>
        <w:spacing w:after="0"/>
        <w:tabs>
          <w:tab w:leader="none" w:pos="1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1012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1012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133" w:space="720"/>
            <w:col w:w="1567"/>
          </w:cols>
          <w:pgMar w:left="240" w:top="571" w:right="239" w:bottom="1440" w:gutter="0" w:footer="0" w:header="0"/>
          <w:type w:val="continuous"/>
        </w:sectPr>
      </w:pPr>
    </w:p>
    <w:p>
      <w:pPr>
        <w:spacing w:after="0" w:line="28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Rental expense related to operating leases amounted to $62 million and $75 million for the years ended December 31, 2018 and 2017,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consolidated cash flow information related to leases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Arial" w:cs="Arial" w:eastAsia="Arial" w:hAnsi="Arial"/>
                <w:sz w:val="16"/>
                <w:szCs w:val="16"/>
                <w:b w:val="1"/>
                <w:bCs w:val="1"/>
                <w:color w:val="auto"/>
                <w:w w:val="99"/>
              </w:rPr>
              <w:t>Year Ended</w:t>
            </w:r>
          </w:p>
        </w:tc>
      </w:tr>
      <w:tr>
        <w:trPr>
          <w:trHeight w:val="228"/>
        </w:trPr>
        <w:tc>
          <w:tcPr>
            <w:tcW w:w="9820" w:type="dxa"/>
            <w:vAlign w:val="bottom"/>
          </w:tcPr>
          <w:p>
            <w:pPr>
              <w:spacing w:after="0"/>
              <w:rPr>
                <w:sz w:val="19"/>
                <w:szCs w:val="19"/>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2019</w:t>
            </w:r>
          </w:p>
        </w:tc>
      </w:tr>
      <w:tr>
        <w:trPr>
          <w:trHeight w:val="251"/>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operating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3"/>
        </w:trPr>
        <w:tc>
          <w:tcPr>
            <w:tcW w:w="982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60"/>
        </w:trPr>
        <w:tc>
          <w:tcPr>
            <w:tcW w:w="9820" w:type="dxa"/>
            <w:vAlign w:val="bottom"/>
          </w:tcPr>
          <w:p>
            <w:pPr>
              <w:ind w:left="40"/>
              <w:spacing w:after="0"/>
              <w:rPr>
                <w:sz w:val="20"/>
                <w:szCs w:val="20"/>
                <w:color w:val="auto"/>
              </w:rPr>
            </w:pPr>
            <w:r>
              <w:rPr>
                <w:rFonts w:ascii="Arial" w:cs="Arial" w:eastAsia="Arial" w:hAnsi="Arial"/>
                <w:sz w:val="16"/>
                <w:szCs w:val="16"/>
                <w:color w:val="auto"/>
              </w:rPr>
              <w:t>Cash used in financing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60"/>
        </w:trPr>
        <w:tc>
          <w:tcPr>
            <w:tcW w:w="9820" w:type="dxa"/>
            <w:vAlign w:val="bottom"/>
          </w:tcPr>
          <w:p>
            <w:pPr>
              <w:ind w:left="40"/>
              <w:spacing w:after="0"/>
              <w:rPr>
                <w:sz w:val="20"/>
                <w:szCs w:val="20"/>
                <w:color w:val="auto"/>
              </w:rPr>
            </w:pPr>
            <w:r>
              <w:rPr>
                <w:rFonts w:ascii="Arial" w:cs="Arial" w:eastAsia="Arial" w:hAnsi="Arial"/>
                <w:sz w:val="16"/>
                <w:szCs w:val="16"/>
                <w:color w:val="auto"/>
              </w:rPr>
              <w:t>ROU assets recognized in exchange for lease obligations: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3"/>
        </w:trPr>
        <w:tc>
          <w:tcPr>
            <w:tcW w:w="9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40" w:type="dxa"/>
            <w:vAlign w:val="bottom"/>
          </w:tcPr>
          <w:p>
            <w:pPr>
              <w:spacing w:after="0"/>
              <w:rPr>
                <w:sz w:val="19"/>
                <w:szCs w:val="19"/>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245</w:t>
            </w:r>
          </w:p>
        </w:tc>
      </w:tr>
    </w:tbl>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69</w:t>
      </w:r>
    </w:p>
    <w:p>
      <w:pPr>
        <w:sectPr>
          <w:pgSz w:w="11900" w:h="16838" w:orient="portrait"/>
          <w:cols w:equalWidth="0" w:num="1">
            <w:col w:w="11420"/>
          </w:cols>
          <w:pgMar w:left="240" w:top="571"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Supplemental information related to leases, including location of amounts reported in the accompanying consolidated balance sheets,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20" w:type="dxa"/>
            <w:vAlign w:val="bottom"/>
            <w:gridSpan w:val="4"/>
          </w:tcPr>
          <w:p>
            <w:pPr>
              <w:ind w:left="40"/>
              <w:spacing w:after="0"/>
              <w:rPr>
                <w:sz w:val="20"/>
                <w:szCs w:val="20"/>
                <w:color w:val="auto"/>
              </w:rPr>
            </w:pPr>
            <w:r>
              <w:rPr>
                <w:rFonts w:ascii="Arial" w:cs="Arial" w:eastAsia="Arial" w:hAnsi="Arial"/>
                <w:sz w:val="16"/>
                <w:szCs w:val="16"/>
                <w:color w:val="auto"/>
              </w:rPr>
              <w:t>ROU assets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9820" w:type="dxa"/>
            <w:vAlign w:val="bottom"/>
            <w:gridSpan w:val="4"/>
            <w:vMerge w:val="restart"/>
          </w:tcPr>
          <w:p>
            <w:pPr>
              <w:ind w:left="40"/>
              <w:spacing w:after="0"/>
              <w:rPr>
                <w:sz w:val="20"/>
                <w:szCs w:val="20"/>
                <w:color w:val="auto"/>
              </w:rPr>
            </w:pPr>
            <w:r>
              <w:rPr>
                <w:rFonts w:ascii="Arial" w:cs="Arial" w:eastAsia="Arial" w:hAnsi="Arial"/>
                <w:sz w:val="16"/>
                <w:szCs w:val="16"/>
                <w:color w:val="auto"/>
              </w:rPr>
              <w:t>Lease liabilities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8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7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Accounts payable and accrued liabilities (current)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97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long-term liabilities (non-current)</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9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operating lease liabilities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98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Finance leases: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820" w:type="dxa"/>
            <w:vAlign w:val="bottom"/>
            <w:gridSpan w:val="4"/>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ROU assets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Borders>
              <w:bottom w:val="single" w:sz="8" w:color="CCEEFF"/>
            </w:tcBorders>
          </w:tcPr>
          <w:p>
            <w:pPr>
              <w:spacing w:after="0"/>
              <w:rPr>
                <w:sz w:val="24"/>
                <w:szCs w:val="24"/>
                <w:color w:val="auto"/>
              </w:rPr>
            </w:pPr>
          </w:p>
        </w:tc>
        <w:tc>
          <w:tcPr>
            <w:tcW w:w="978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Property, equipment, and capitalized software,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0"/>
        </w:trPr>
        <w:tc>
          <w:tcPr>
            <w:tcW w:w="98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Lease liabilities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86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9780" w:type="dxa"/>
            <w:vAlign w:val="bottom"/>
            <w:gridSpan w:val="3"/>
          </w:tcPr>
          <w:p>
            <w:pPr>
              <w:ind w:left="140"/>
              <w:spacing w:after="0"/>
              <w:rPr>
                <w:sz w:val="20"/>
                <w:szCs w:val="20"/>
                <w:color w:val="auto"/>
              </w:rPr>
            </w:pPr>
            <w:r>
              <w:rPr>
                <w:rFonts w:ascii="Arial" w:cs="Arial" w:eastAsia="Arial" w:hAnsi="Arial"/>
                <w:sz w:val="16"/>
                <w:szCs w:val="16"/>
                <w:color w:val="auto"/>
              </w:rPr>
              <w:t>Accounts payable and accrued liabilities (current)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97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liabilities (non-current)</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9780" w:type="dxa"/>
            <w:vAlign w:val="bottom"/>
            <w:gridSpan w:val="3"/>
          </w:tcPr>
          <w:p>
            <w:pPr>
              <w:ind w:left="800"/>
              <w:spacing w:after="0"/>
              <w:rPr>
                <w:sz w:val="20"/>
                <w:szCs w:val="20"/>
                <w:color w:val="auto"/>
              </w:rPr>
            </w:pPr>
            <w:r>
              <w:rPr>
                <w:rFonts w:ascii="Arial" w:cs="Arial" w:eastAsia="Arial" w:hAnsi="Arial"/>
                <w:sz w:val="16"/>
                <w:szCs w:val="16"/>
                <w:color w:val="auto"/>
              </w:rPr>
              <w:t>Total finance lease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Finance Leases</w:t>
            </w:r>
          </w:p>
        </w:tc>
      </w:tr>
      <w:tr>
        <w:trPr>
          <w:trHeight w:val="251"/>
        </w:trPr>
        <w:tc>
          <w:tcPr>
            <w:tcW w:w="8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4"/>
          </w:tcPr>
          <w:p>
            <w:pPr>
              <w:jc w:val="right"/>
              <w:ind w:right="1159"/>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2"/>
                <w:szCs w:val="22"/>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 - undiscounted lease payments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imputed interest</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4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828282"/>
        </w:rPr>
        <w:t>9. Goodwill and Intangible Assets,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amounts of goodwill by segment,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Health Plans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1"/>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Dispositions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Impairment and other</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Dispositions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Impairment and other</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79" w:right="239" w:bottom="1440" w:gutter="0" w:footer="0" w:header="0"/>
        </w:sectPr>
      </w:pPr>
    </w:p>
    <w:p>
      <w:pPr>
        <w:spacing w:after="0" w:line="23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70</w:t>
      </w:r>
    </w:p>
    <w:p>
      <w:pPr>
        <w:sectPr>
          <w:pgSz w:w="11900" w:h="16838" w:orient="portrait"/>
          <w:cols w:equalWidth="0" w:num="1">
            <w:col w:w="11420"/>
          </w:cols>
          <w:pgMar w:left="240" w:top="679" w:right="239" w:bottom="1440" w:gutter="0" w:footer="0" w:header="0"/>
          <w:type w:val="continuous"/>
        </w:sectPr>
      </w:pPr>
    </w:p>
    <w:bookmarkStart w:id="73" w:name="page74"/>
    <w:bookmarkEnd w:id="73"/>
    <w:p>
      <w:pPr>
        <w:spacing w:after="0" w:line="262" w:lineRule="auto"/>
        <w:rPr>
          <w:sz w:val="20"/>
          <w:szCs w:val="20"/>
          <w:color w:val="auto"/>
        </w:rPr>
      </w:pPr>
      <w:r>
        <w:rPr>
          <w:rFonts w:ascii="Arial" w:cs="Arial" w:eastAsia="Arial" w:hAnsi="Arial"/>
          <w:sz w:val="18"/>
          <w:szCs w:val="18"/>
          <w:color w:val="auto"/>
        </w:rPr>
        <w:t>For the Health Plans segment, gross goodwill amounted to $445 million, and accumulated impairment losses amounted to $302 million, at each of December 31, 2019, and 2018.</w:t>
      </w:r>
    </w:p>
    <w:p>
      <w:pPr>
        <w:spacing w:after="0" w:line="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2017 Impairment Losses. </w:t>
      </w:r>
      <w:r>
        <w:rPr>
          <w:rFonts w:ascii="Arial" w:cs="Arial" w:eastAsia="Arial" w:hAnsi="Arial"/>
          <w:sz w:val="18"/>
          <w:szCs w:val="18"/>
          <w:color w:val="auto"/>
        </w:rPr>
        <w:t>As a result of reporting unit quantitative goodwill assessments using discounted cash flows and/or asset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analyses, we recorded goodwill impairment losses of $244 million and $190 million for the Health Plans segment and Other segment, respectively, in the year ended December 31, 2017. The Health Plans segment impairment losses were due primarily to certain health plans’ Medicaid contract terminations, and insufficient estimated future cash flows. The Other segment impairment losses were due to the expectation of fewer future benefits, and related lower cash flows, to be derived from certain subsidiaries. Such subsidiaries were disposed in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identified intangible assets, by major class,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31, 2019</w:t>
            </w: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2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Carrying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2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Cost</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Cost</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r>
      <w:tr>
        <w:trPr>
          <w:trHeight w:val="224"/>
        </w:trPr>
        <w:tc>
          <w:tcPr>
            <w:tcW w:w="2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 rights and licenses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Provider networks</w:t>
            </w:r>
          </w:p>
        </w:tc>
        <w:tc>
          <w:tcPr>
            <w:tcW w:w="8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r>
      <w:tr>
        <w:trPr>
          <w:trHeight w:val="24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0"/>
        </w:trPr>
        <w:tc>
          <w:tcPr>
            <w:tcW w:w="2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December 31, 2019, we estimate that our intangible asset amortization will be approximately $14 million in 2020, $5 million in 2021, and $3 million in 2022, 2023 and 2024. For a presentation of our intangible assets by reportable segment, refer to Note 18, “Segments.”</w:t>
      </w:r>
    </w:p>
    <w:p>
      <w:pPr>
        <w:spacing w:after="0" w:line="7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2017 Impairment Losses</w:t>
      </w:r>
      <w:r>
        <w:rPr>
          <w:rFonts w:ascii="Arial" w:cs="Arial" w:eastAsia="Arial" w:hAnsi="Arial"/>
          <w:sz w:val="18"/>
          <w:szCs w:val="18"/>
          <w:color w:val="auto"/>
        </w:rPr>
        <w:t>. For the reasons described above, reporting unit undiscounted cash flow analyses produced intangible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losses of $25 million and $11 million for the Health Plans segment and Other segment, respectively, in the year ended December 31, 2017.</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71</w:t>
      </w:r>
    </w:p>
    <w:p>
      <w:pPr>
        <w:sectPr>
          <w:pgSz w:w="11900" w:h="16838" w:orient="portrait"/>
          <w:cols w:equalWidth="0" w:num="1">
            <w:col w:w="11420"/>
          </w:cols>
          <w:pgMar w:left="240" w:top="679" w:right="239" w:bottom="1440" w:gutter="0" w:footer="0" w:header="0"/>
        </w:sectPr>
      </w:pPr>
    </w:p>
    <w:bookmarkStart w:id="74" w:name="page75"/>
    <w:bookmarkEnd w:id="74"/>
    <w:p>
      <w:pPr>
        <w:spacing w:after="0"/>
        <w:rPr>
          <w:sz w:val="20"/>
          <w:szCs w:val="20"/>
          <w:color w:val="auto"/>
        </w:rPr>
      </w:pPr>
      <w:r>
        <w:rPr>
          <w:rFonts w:ascii="Arial" w:cs="Arial" w:eastAsia="Arial" w:hAnsi="Arial"/>
          <w:sz w:val="25"/>
          <w:szCs w:val="25"/>
          <w:color w:val="828282"/>
        </w:rPr>
        <w:t>10. Medical Claims and Benefits Payable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67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251"/>
        </w:trPr>
        <w:tc>
          <w:tcPr>
            <w:tcW w:w="6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1,717</w:t>
            </w:r>
          </w:p>
        </w:tc>
      </w:tr>
      <w:tr>
        <w:trPr>
          <w:trHeight w:val="260"/>
        </w:trPr>
        <w:tc>
          <w:tcPr>
            <w:tcW w:w="67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8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r>
      <w:tr>
        <w:trPr>
          <w:trHeight w:val="23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operations. Non-risk provider payables amounted to $132 million, $107 million and $122 million, as of December 31, 2019, 2018, and 2017, respectively.</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periods” represent the amount by which our original estimate of medical claims and benefits payable at the beginning of the period were (more) less than the actual amount of the liability based on information (principally the payment of claims) developed since that liability was first reported.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1,929</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17,037</w:t>
            </w:r>
          </w:p>
        </w:tc>
      </w:tr>
      <w:tr>
        <w:trPr>
          <w:trHeight w:val="27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Prior periods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r>
      <w:tr>
        <w:trPr>
          <w:trHeight w:val="244"/>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medical care costs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13,905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15,137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17,073</w:t>
            </w:r>
          </w:p>
        </w:tc>
      </w:tr>
      <w:tr>
        <w:trPr>
          <w:trHeight w:val="135"/>
        </w:trPr>
        <w:tc>
          <w:tcPr>
            <w:tcW w:w="6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and other provider payables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135"/>
        </w:trPr>
        <w:tc>
          <w:tcPr>
            <w:tcW w:w="6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Current period</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12,554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13,671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15,130</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Prior periods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1,574</w:t>
            </w:r>
          </w:p>
        </w:tc>
      </w:tr>
      <w:tr>
        <w:trPr>
          <w:trHeight w:val="25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paid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14,036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16,704</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w:t>
            </w:r>
          </w:p>
        </w:tc>
      </w:tr>
      <w:tr>
        <w:trPr>
          <w:trHeight w:val="114"/>
        </w:trPr>
        <w:tc>
          <w:tcPr>
            <w:tcW w:w="674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2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  December 31, 2018, includes the 2018 benefit of the 2017 Marketplace CSR reimbursement of $81 million.</w:t>
      </w:r>
    </w:p>
    <w:p>
      <w:pPr>
        <w:spacing w:after="0" w:line="11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tables provide information about incurred and paid claims development as of December 31, 2019, as well as cumulative claims frequency and the total of incurred but not paid claims liabilities. The cumulative claim frequency is measured by claim event, and includes claims covered under capitated arrangements.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gridSpan w:val="9"/>
          </w:tcPr>
          <w:p>
            <w:pPr>
              <w:jc w:val="center"/>
              <w:ind w:right="661"/>
              <w:spacing w:after="0"/>
              <w:rPr>
                <w:sz w:val="20"/>
                <w:szCs w:val="20"/>
                <w:color w:val="auto"/>
              </w:rPr>
            </w:pPr>
            <w:r>
              <w:rPr>
                <w:rFonts w:ascii="Arial" w:cs="Arial" w:eastAsia="Arial" w:hAnsi="Arial"/>
                <w:sz w:val="16"/>
                <w:szCs w:val="16"/>
                <w:b w:val="1"/>
                <w:bCs w:val="1"/>
                <w:color w:val="auto"/>
              </w:rPr>
              <w:t>Incurred Claims and Allocated Claims Adjustment Expenses</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Cumulative number</w:t>
            </w:r>
          </w:p>
        </w:tc>
        <w:tc>
          <w:tcPr>
            <w:tcW w:w="0" w:type="dxa"/>
            <w:vAlign w:val="bottom"/>
          </w:tcPr>
          <w:p>
            <w:pPr>
              <w:spacing w:after="0"/>
              <w:rPr>
                <w:sz w:val="1"/>
                <w:szCs w:val="1"/>
                <w:color w:val="auto"/>
              </w:rPr>
            </w:pPr>
          </w:p>
        </w:tc>
      </w:tr>
      <w:tr>
        <w:trPr>
          <w:trHeight w:val="36"/>
        </w:trPr>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4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Benefit Year</w:t>
            </w:r>
          </w:p>
        </w:tc>
        <w:tc>
          <w:tcPr>
            <w:tcW w:w="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 IBNP</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of reported claims</w:t>
            </w: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24"/>
                <w:szCs w:val="2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4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2017</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17,037</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16,728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0"/>
        </w:trPr>
        <w:tc>
          <w:tcPr>
            <w:tcW w:w="1440" w:type="dxa"/>
            <w:vAlign w:val="bottom"/>
          </w:tcPr>
          <w:p>
            <w:pPr>
              <w:jc w:val="center"/>
              <w:ind w:left="119"/>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15,478</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15,245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3"/>
        </w:trPr>
        <w:tc>
          <w:tcPr>
            <w:tcW w:w="14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2019</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14,176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1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46,125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1" w:right="239" w:bottom="1440" w:gutter="0" w:footer="0" w:header="0"/>
        </w:sectPr>
      </w:pPr>
    </w:p>
    <w:p>
      <w:pPr>
        <w:spacing w:after="0" w:line="1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72</w:t>
      </w:r>
    </w:p>
    <w:p>
      <w:pPr>
        <w:sectPr>
          <w:pgSz w:w="11900" w:h="16838" w:orient="portrait"/>
          <w:cols w:equalWidth="0" w:num="1">
            <w:col w:w="11420"/>
          </w:cols>
          <w:pgMar w:left="240" w:top="681" w:right="239" w:bottom="1440" w:gutter="0" w:footer="0" w:header="0"/>
          <w:type w:val="continuous"/>
        </w:sectPr>
      </w:pPr>
    </w:p>
    <w:bookmarkStart w:id="75" w:name="page76"/>
    <w:bookmarkEnd w:id="75"/>
    <w:p>
      <w:pPr>
        <w:ind w:left="1320"/>
        <w:spacing w:after="0"/>
        <w:rPr>
          <w:sz w:val="20"/>
          <w:szCs w:val="20"/>
          <w:color w:val="auto"/>
        </w:rPr>
      </w:pPr>
      <w:r>
        <w:rPr>
          <w:rFonts w:ascii="Arial" w:cs="Arial" w:eastAsia="Arial" w:hAnsi="Arial"/>
          <w:sz w:val="16"/>
          <w:szCs w:val="16"/>
          <w:b w:val="1"/>
          <w:bCs w:val="1"/>
          <w:color w:val="auto"/>
        </w:rPr>
        <w:t>Cumulative Paid Claims and Allocated Claims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Benefit Year</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24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r>
      <w:tr>
        <w:trPr>
          <w:trHeight w:val="380"/>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6"/>
        </w:trPr>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15,130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16,671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16,686</w:t>
            </w:r>
          </w:p>
        </w:tc>
      </w:tr>
      <w:tr>
        <w:trPr>
          <w:trHeight w:val="260"/>
        </w:trPr>
        <w:tc>
          <w:tcPr>
            <w:tcW w:w="1720" w:type="dxa"/>
            <w:vAlign w:val="bottom"/>
          </w:tcPr>
          <w:p>
            <w:pPr>
              <w:jc w:val="center"/>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13,752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15,220</w:t>
            </w:r>
          </w:p>
        </w:tc>
      </w:tr>
      <w:tr>
        <w:trPr>
          <w:trHeight w:val="273"/>
        </w:trPr>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12,554</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44,460</w:t>
            </w: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table represents a reconciliation of claims development to the aggregate carrying amount of the liability for medical claims and benefits payable.</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b w:val="1"/>
                <w:bCs w:val="1"/>
                <w:color w:val="auto"/>
              </w:rPr>
              <w:t>2019</w:t>
            </w:r>
          </w:p>
        </w:tc>
      </w:tr>
      <w:tr>
        <w:trPr>
          <w:trHeight w:val="251"/>
        </w:trPr>
        <w:tc>
          <w:tcPr>
            <w:tcW w:w="5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480"/>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claims and allocated claims adjustment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46,125</w:t>
            </w:r>
          </w:p>
        </w:tc>
      </w:tr>
      <w:tr>
        <w:trPr>
          <w:trHeight w:val="260"/>
        </w:trPr>
        <w:tc>
          <w:tcPr>
            <w:tcW w:w="5920" w:type="dxa"/>
            <w:vAlign w:val="bottom"/>
          </w:tcPr>
          <w:p>
            <w:pPr>
              <w:ind w:left="20"/>
              <w:spacing w:after="0"/>
              <w:rPr>
                <w:sz w:val="20"/>
                <w:szCs w:val="20"/>
                <w:color w:val="auto"/>
              </w:rPr>
            </w:pPr>
            <w:r>
              <w:rPr>
                <w:rFonts w:ascii="Arial" w:cs="Arial" w:eastAsia="Arial" w:hAnsi="Arial"/>
                <w:sz w:val="16"/>
                <w:szCs w:val="16"/>
                <w:color w:val="auto"/>
              </w:rPr>
              <w:t>Less: cumulative paid claims and allocated claims adjustment expenses</w:t>
            </w:r>
          </w:p>
        </w:tc>
        <w:tc>
          <w:tcPr>
            <w:tcW w:w="3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(44,460)</w:t>
            </w:r>
          </w:p>
        </w:tc>
      </w:tr>
      <w:tr>
        <w:trPr>
          <w:trHeight w:val="28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outstanding liabilities before 2017</w:t>
            </w:r>
          </w:p>
        </w:tc>
        <w:tc>
          <w:tcPr>
            <w:tcW w:w="3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r>
      <w:tr>
        <w:trPr>
          <w:trHeight w:val="264"/>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Non-risk and other provider payables</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w:t>
            </w:r>
          </w:p>
        </w:tc>
      </w:tr>
      <w:tr>
        <w:trPr>
          <w:trHeight w:val="24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1,854</w:t>
            </w:r>
          </w:p>
        </w:tc>
      </w:tr>
      <w:tr>
        <w:trPr>
          <w:trHeight w:val="20"/>
        </w:trPr>
        <w:tc>
          <w:tcPr>
            <w:tcW w:w="5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estimates of medical claims and benefits payable recorded at December 31, 2018, 2017 and 2016 developed favorably (unfavorably) by approximately $271 million, $341 million and $(36) million in 2019, 2018 and 2017, respectively.</w:t>
      </w:r>
    </w:p>
    <w:p>
      <w:pPr>
        <w:spacing w:after="0" w:line="8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favorable prior year development recognized in 2019 was primarily due to lower than expected utilization of medical services by our Medicaid members, and improved operating performance. Consequently, the ultimate costs recognized in 2019 were lower than our original estimates in 2018, which was not discernible until additional information was provided, and as claims payments were processed.</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favorable prior year development recognized in 2018 includes a benefit of approximately $81 million in reduced medical care costs relating to Marketplace CSR subsidies for 2017 dates of service. The remainder of the favorable prior period development was primarily due to lower than expected utilization of medical services by our Medicaid and Marketplace members and improved operating performance. The differences between our original estimates in 2017 and the ultimate costs in 2018 were not discernable until additional information was provided to us in 2018 and the effect became clearer over time as claim payments were processed.</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unfavorable prior year development in 2017 was primarily due to higher than expected costs for settling certain claims with certain providers in states where we had recently commenced operations, such as in Illinois and Puerto Rico, or had instituted significant changes due to provider contract changes, such as in Florida and New Mexico. The differences between our original estimates in 2016 and the ultimate costs in 2017 were not discernible until additional information was provided to us in 2017, and the effect became clearer over time as claim payments were processed.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73</w:t>
      </w:r>
    </w:p>
    <w:p>
      <w:pPr>
        <w:sectPr>
          <w:pgSz w:w="11900" w:h="16838" w:orient="portrait"/>
          <w:cols w:equalWidth="0" w:num="1">
            <w:col w:w="11420"/>
          </w:cols>
          <w:pgMar w:left="240" w:top="743" w:right="239" w:bottom="1440" w:gutter="0" w:footer="0" w:header="0"/>
        </w:sectPr>
      </w:pPr>
    </w:p>
    <w:bookmarkStart w:id="76" w:name="page77"/>
    <w:bookmarkEnd w:id="76"/>
    <w:p>
      <w:pPr>
        <w:spacing w:after="0"/>
        <w:rPr>
          <w:sz w:val="20"/>
          <w:szCs w:val="20"/>
          <w:color w:val="auto"/>
        </w:rPr>
      </w:pPr>
      <w:r>
        <w:rPr>
          <w:rFonts w:ascii="Arial" w:cs="Arial" w:eastAsia="Arial" w:hAnsi="Arial"/>
          <w:sz w:val="25"/>
          <w:szCs w:val="25"/>
          <w:color w:val="828282"/>
        </w:rPr>
        <w:t>11. Debt</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Contractual maturities of debt, as of December 31, 2019, are illustrated in the following table. All amounts represent the principal amounts of the debt instruments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Thereafter</w:t>
            </w:r>
          </w:p>
        </w:tc>
      </w:tr>
      <w:tr>
        <w:trPr>
          <w:trHeight w:val="386"/>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5.375%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4.875% Notes</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330</w:t>
            </w: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 Facility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740" w:type="dxa"/>
            <w:vAlign w:val="bottom"/>
          </w:tcPr>
          <w:p>
            <w:pPr>
              <w:ind w:left="40"/>
              <w:spacing w:after="0"/>
              <w:rPr>
                <w:sz w:val="20"/>
                <w:szCs w:val="20"/>
                <w:color w:val="auto"/>
              </w:rPr>
            </w:pPr>
            <w:r>
              <w:rPr>
                <w:rFonts w:ascii="Arial" w:cs="Arial" w:eastAsia="Arial" w:hAnsi="Arial"/>
                <w:sz w:val="16"/>
                <w:szCs w:val="16"/>
                <w:color w:val="auto"/>
              </w:rPr>
              <w:t>1.125% Convertible Notes</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2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All debt is held at the parent which is reported, for segment purposes, in the Other segment. The following table summarizes our outstanding debt obligations and their classification in the accompanying consolidated balance sheets: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1"/>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portion of long-term debt: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1.125% Convertible Notes, net of unamortized discount</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 Facility</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obligations</w:t>
            </w:r>
          </w:p>
        </w:tc>
        <w:tc>
          <w:tcPr>
            <w:tcW w:w="96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9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portion</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portion of long-term debt:</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5.375% Notes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4.875% Notes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Term Loan Facility</w:t>
            </w:r>
          </w:p>
        </w:tc>
        <w:tc>
          <w:tcPr>
            <w:tcW w:w="960" w:type="dxa"/>
            <w:vAlign w:val="bottom"/>
          </w:tcPr>
          <w:p>
            <w:pPr>
              <w:spacing w:after="0"/>
              <w:rPr>
                <w:sz w:val="22"/>
                <w:szCs w:val="22"/>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0"/>
        </w:trPr>
        <w:tc>
          <w:tcPr>
            <w:tcW w:w="8340" w:type="dxa"/>
            <w:vAlign w:val="bottom"/>
          </w:tcPr>
          <w:p>
            <w:pPr>
              <w:ind w:left="180"/>
              <w:spacing w:after="0"/>
              <w:rPr>
                <w:sz w:val="20"/>
                <w:szCs w:val="20"/>
                <w:color w:val="auto"/>
              </w:rPr>
            </w:pPr>
            <w:r>
              <w:rPr>
                <w:rFonts w:ascii="Arial" w:cs="Arial" w:eastAsia="Arial" w:hAnsi="Arial"/>
                <w:sz w:val="16"/>
                <w:szCs w:val="16"/>
                <w:color w:val="auto"/>
              </w:rPr>
              <w:t>Total, non-current portion</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1,020</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party to a Credit Agreement, which provides for an unsecured delayed draw term loan facility (the “Term Loan Facility”), and an unsecured $500 million revolving credit facility (the “Credit Facility”). Borrowings under our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As of December 31, 2019, we were in compliance with all financial and non-financial covenants under the Credit Agreement and other long-term debt. Effective as of the date of the Sixth Amendment to the Credit Agreement described below, there are no guarantors as parties to the Credit Agreement.</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Term Loan Facility. </w:t>
      </w:r>
      <w:r>
        <w:rPr>
          <w:rFonts w:ascii="Arial" w:cs="Arial" w:eastAsia="Arial" w:hAnsi="Arial"/>
          <w:sz w:val="18"/>
          <w:szCs w:val="18"/>
          <w:color w:val="auto"/>
        </w:rPr>
        <w:t>In January 2019, we entered into a Sixth Amendment to the Credit Agreement that provided for a delayed draw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the aggregate principal amount of $600 million, under which we may request up to ten advances, each in a minimum principal amount of $ 50 million, until July 31, 2020. The Term Loan Facility will amortize in quarterly installments, commencing on September 30, 2020, equal to the principal amount of the Term Loan Facility outstanding multiplied by rates ranging from 1.25% to 2.50% (depending on the applicable fiscal quarter) for each fiscal quarter. The Term Loan Facility expires on January 31, 2024; any remaining outstanding balance under the Term Loan Facility will be due and payable on that date. As of December 31, 2019, $220 million was outstanding under the Term Loan Facility. Each advance under the Term Loan Facility results in a permanent reduction to its borrowing capacity; therefore, our borrowing capacity under the Term Loan Facility as of December 31, 2019, was $380 million.</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74</w:t>
      </w:r>
    </w:p>
    <w:p>
      <w:pPr>
        <w:sectPr>
          <w:pgSz w:w="11900" w:h="16838" w:orient="portrait"/>
          <w:cols w:equalWidth="0" w:num="1">
            <w:col w:w="11420"/>
          </w:cols>
          <w:pgMar w:left="240" w:top="681" w:right="239" w:bottom="1440" w:gutter="0" w:footer="0" w:header="0"/>
        </w:sectPr>
      </w:pPr>
    </w:p>
    <w:bookmarkStart w:id="77" w:name="page78"/>
    <w:bookmarkEnd w:id="77"/>
    <w:p>
      <w:pPr>
        <w:ind w:right="320"/>
        <w:spacing w:after="0" w:line="266"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The Credit Facility expires on January 31, 2022; therefore, any amounts outstanding under the Credit Facility will be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on that date. As of December 31, 2019, no amounts were outstanding under the Credit Facility, and outstanding letters of credit amounting to $1 million reduced our remaining borrowing capacity under the Credit Facility to $499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Notes due 2022</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$ 700 million aggregate principal amount of senior notes (the “5.375% Notes”) outstanding as of December 31, 2019, which are due November 15, 2022, unless earlier redeemed. Interest at a rate of 5.375% per annum, is payable semiannually in arrears on May 15 and November 15. The 5.375% Notes contain customary non-financial covenants and change of control provisions.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4.875% Notes due 2025</w:t>
      </w:r>
    </w:p>
    <w:p>
      <w:pPr>
        <w:spacing w:after="0" w:line="13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had $330 million aggregate principal amount of senior notes (the “4.875% Notes”) outstanding as of December 31, 2019, which are due June 15, 2025, unless earlier redeemed. Interest at a rate of 4.875% per annum, is payable semiannually in arrears on June 15 and December</w:t>
      </w:r>
    </w:p>
    <w:p>
      <w:pPr>
        <w:spacing w:after="0" w:line="1"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4.875% Notes contain customary non-financial covenants and change of control provisions.</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1.125% Cash Convertible Senior Notes due 2020</w:t>
      </w:r>
    </w:p>
    <w:p>
      <w:pPr>
        <w:spacing w:after="0" w:line="139"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In the years ended December 31, 2019 and 2018, we entered into privately negotiated note purchase agreements and, in 2019, received conversion requests, with certain holders of our outstanding 1.125% cash convertible senior notes due January 15, 2020 (the “1.125% Convertible Notes”). For each transaction, the difference between the principal amount extinguished and the total cash paid primarily represented the settlement of the 1.125% Convertible Notes’ embedded cash conversion option feature at fair value (which is a derivative liability we refer to as the “1.125% Conversion Option”).</w:t>
      </w:r>
    </w:p>
    <w:p>
      <w:pPr>
        <w:spacing w:after="0" w:line="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2019, we paid $794 million to settle $240 million aggregate principal amount, or $232 million aggregate carrying amount, of the 1.125% Convertible Notes. During 2018, we paid $911 million to settle $298 million aggregate principal amount, or $278 million aggregate carrying amount of the 1.125% Convertible Notes. In both years, the cash payments included settlement of the related 1.125% Conversion Option, and the mark-to-market valuation adjustments discussed below.</w:t>
      </w:r>
    </w:p>
    <w:p>
      <w:pPr>
        <w:spacing w:after="0" w:line="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years ended December 31, 2019 and 2018, we recorded a (gain) loss on debt extinguishment of approximately $(15) million and $12 million, respectively, for the 1.125% Convertible Notes transactions (net of accelerated original issuance discount amortization), primarily relating to mark-to-market valuations on the partial terminations of the Call Spread Overlay executed in connection with the related debt repayments. These amounts are reported in “Other (income) expenses, net” in the accompanying consolidated statements of operations. No common shares were issued in connection with the transaction.</w:t>
      </w:r>
    </w:p>
    <w:p>
      <w:pPr>
        <w:spacing w:after="0" w:line="20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connection with the 1.125% Convertible Notes transactions, we also entered into privately negotiated agreements in 2019, to partially terminate the Call Spread Overlay, defined and further discussed in Notes 12, “Derivatives,” and 14, “Stockholders' Equity.” The net cash proceeds from the Call Spread Overlay partial termination transactions partially offset the cash paid to settle the 1.125% Convertible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$12 million aggregate principal amount of the 1.125% Convertible Notes were outstanding. Interest at a rate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1.125% per annum is payable semiannually in arrears on January 15 and July 15. The 1.125% Convertible Notes are convertible only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not into shares of our common stock or any other securities. The initial conversion rate is 24.5277 shares of our common stock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principal amount, or approximately $40.77 per share of our common stock. Holders may convert their 1.125% Convertible Notes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and upon conversion, in lieu of receiving shares of our common stock, a holder will receive an amount in cash,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principal amount, equal to the settlement amount, determined in the manner set forth in the indenture. We may not redeem the 1.125%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prior to the maturity date. The 1.125% Convertible Notes matured on January 15, 2020; therefore, they were reported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long-term debt as of December 31, 2019. (See “Subsequent Event,” below.)</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Concurrent with the issuance of the 1.125% Convertible Notes, the 1.125% Conversion Option was separated from the 1.125% Convertible Notes and accounted for separately as a derivative liability, with changes in fair value reported in our consolidated statements of operations until the 1.125% Conversion Option settled. This initial liability simultaneously reduced the carrying value of the 1.125% Convertible Notes’ principal amount (effectively an original issuance discount), which was amortized to the principal amount through the recognition of non-cash interest expense over the expected life of the debt. The effective interest rate of 6% approximates the interest rate we would have incurred had we issued nonconvertible debt with otherwise similar terms. As of December 31, 2019, the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75</w:t>
      </w:r>
    </w:p>
    <w:p>
      <w:pPr>
        <w:sectPr>
          <w:pgSz w:w="11900" w:h="16838" w:orient="portrait"/>
          <w:cols w:equalWidth="0" w:num="1">
            <w:col w:w="11420"/>
          </w:cols>
          <w:pgMar w:left="240" w:top="553" w:right="239" w:bottom="1440" w:gutter="0" w:footer="0" w:header="0"/>
        </w:sectPr>
      </w:pPr>
    </w:p>
    <w:bookmarkStart w:id="78" w:name="page79"/>
    <w:bookmarkEnd w:id="78"/>
    <w:p>
      <w:pPr>
        <w:ind w:right="220"/>
        <w:spacing w:after="0" w:line="262" w:lineRule="auto"/>
        <w:rPr>
          <w:sz w:val="20"/>
          <w:szCs w:val="20"/>
          <w:color w:val="auto"/>
        </w:rPr>
      </w:pPr>
      <w:r>
        <w:rPr>
          <w:rFonts w:ascii="Arial" w:cs="Arial" w:eastAsia="Arial" w:hAnsi="Arial"/>
          <w:sz w:val="18"/>
          <w:szCs w:val="18"/>
          <w:color w:val="auto"/>
        </w:rPr>
        <w:t>1.125% Convertible Notes had a remaining amortization period of less than one month, and their ‘if-converted’ value exceeded their principal amount by approximately $26 million and $581 million as of December 31, 2019, and 2018,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Interest cost recognized relating to our convertible senior notes for the periods presented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at coupon rate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the discount</w:t>
            </w:r>
          </w:p>
        </w:tc>
        <w:tc>
          <w:tcPr>
            <w:tcW w:w="1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0"/>
        </w:trPr>
        <w:tc>
          <w:tcPr>
            <w:tcW w:w="6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w:t>
      </w:r>
    </w:p>
    <w:p>
      <w:pPr>
        <w:spacing w:after="0" w:line="11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January 2020, we paid $39 million to settle the outstanding 1.125% Convertible Notes, which amount included settlement of the 1.125% Conversion 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Cross-Default Provisions</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indentures governing the 4.875% Notes and the 5.375% Notes contain cross-default provisions that are triggered upon default by us or any of our subsidiaries on any indebtedness in excess of the amount specified in the applicable indenture.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828282"/>
        </w:rPr>
        <w:t>12. Derivatives</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(defined and discussed individually below) in the consolidated balance sheets:</w:t>
      </w:r>
    </w:p>
    <w:p>
      <w:pPr>
        <w:spacing w:after="0" w:line="152"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0" w:lineRule="exact"/>
        <w:rPr>
          <w:sz w:val="20"/>
          <w:szCs w:val="20"/>
          <w:color w:val="auto"/>
        </w:rPr>
      </w:pPr>
    </w:p>
    <w:tbl>
      <w:tblPr>
        <w:tblLayout w:type="fixed"/>
        <w:tblInd w:w="4000" w:type="dxa"/>
        <w:tblCellMar>
          <w:top w:w="0" w:type="dxa"/>
          <w:left w:w="0" w:type="dxa"/>
          <w:bottom w:w="0" w:type="dxa"/>
          <w:right w:w="0" w:type="dxa"/>
        </w:tblCellMar>
      </w:tblPr>
      <w:tr>
        <w:trPr>
          <w:trHeight w:val="228"/>
        </w:trPr>
        <w:tc>
          <w:tcPr>
            <w:tcW w:w="424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5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bl>
    <w:p>
      <w:pPr>
        <w:spacing w:after="0" w:line="6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asset:</w:t>
      </w:r>
    </w:p>
    <w:p>
      <w:pPr>
        <w:spacing w:after="0" w:line="73" w:lineRule="exact"/>
        <w:rPr>
          <w:sz w:val="20"/>
          <w:szCs w:val="20"/>
          <w:color w:val="auto"/>
        </w:rPr>
      </w:pPr>
    </w:p>
    <w:p>
      <w:pPr>
        <w:ind w:left="380"/>
        <w:spacing w:after="0"/>
        <w:tabs>
          <w:tab w:leader="none" w:pos="4020" w:val="left"/>
          <w:tab w:leader="none" w:pos="8360" w:val="left"/>
          <w:tab w:leader="none" w:pos="9540" w:val="left"/>
          <w:tab w:leader="none" w:pos="9960" w:val="left"/>
          <w:tab w:leader="none" w:pos="11020" w:val="left"/>
        </w:tabs>
        <w:rPr>
          <w:sz w:val="20"/>
          <w:szCs w:val="20"/>
          <w:color w:val="auto"/>
        </w:rPr>
      </w:pPr>
      <w:r>
        <w:rPr>
          <w:rFonts w:ascii="Arial" w:cs="Arial" w:eastAsia="Arial" w:hAnsi="Arial"/>
          <w:sz w:val="16"/>
          <w:szCs w:val="16"/>
          <w:color w:val="auto"/>
        </w:rPr>
        <w:t>1.125% Call Option</w:t>
      </w:r>
      <w:r>
        <w:rPr>
          <w:sz w:val="20"/>
          <w:szCs w:val="20"/>
          <w:color w:val="auto"/>
        </w:rPr>
        <w:tab/>
      </w:r>
      <w:r>
        <w:rPr>
          <w:rFonts w:ascii="Arial" w:cs="Arial" w:eastAsia="Arial" w:hAnsi="Arial"/>
          <w:sz w:val="16"/>
          <w:szCs w:val="16"/>
          <w:color w:val="auto"/>
        </w:rPr>
        <w:t>Current assets: Derivative asset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w:t>
        <w:tab/>
        <w:t>$</w:t>
      </w:r>
      <w:r>
        <w:rPr>
          <w:sz w:val="20"/>
          <w:szCs w:val="20"/>
          <w:color w:val="auto"/>
        </w:rPr>
        <w:tab/>
      </w:r>
      <w:r>
        <w:rPr>
          <w:rFonts w:ascii="Arial" w:cs="Arial" w:eastAsia="Arial" w:hAnsi="Arial"/>
          <w:sz w:val="16"/>
          <w:szCs w:val="16"/>
          <w:color w:val="auto"/>
        </w:rPr>
        <w:t>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 liability:</w:t>
      </w:r>
    </w:p>
    <w:p>
      <w:pPr>
        <w:spacing w:after="0" w:line="73" w:lineRule="exact"/>
        <w:rPr>
          <w:sz w:val="20"/>
          <w:szCs w:val="20"/>
          <w:color w:val="auto"/>
        </w:rPr>
      </w:pPr>
    </w:p>
    <w:p>
      <w:pPr>
        <w:ind w:left="380"/>
        <w:spacing w:after="0"/>
        <w:tabs>
          <w:tab w:leader="none" w:pos="4020" w:val="left"/>
          <w:tab w:leader="none" w:pos="8360" w:val="left"/>
          <w:tab w:leader="none" w:pos="9540" w:val="left"/>
          <w:tab w:leader="none" w:pos="9960" w:val="left"/>
          <w:tab w:leader="none" w:pos="11020" w:val="left"/>
        </w:tabs>
        <w:rPr>
          <w:sz w:val="20"/>
          <w:szCs w:val="20"/>
          <w:color w:val="auto"/>
        </w:rPr>
      </w:pPr>
      <w:r>
        <w:rPr>
          <w:rFonts w:ascii="Arial" w:cs="Arial" w:eastAsia="Arial" w:hAnsi="Arial"/>
          <w:sz w:val="16"/>
          <w:szCs w:val="16"/>
          <w:color w:val="auto"/>
        </w:rPr>
        <w:t>1.125% Conversion Option</w:t>
      </w:r>
      <w:r>
        <w:rPr>
          <w:sz w:val="20"/>
          <w:szCs w:val="20"/>
          <w:color w:val="auto"/>
        </w:rPr>
        <w:tab/>
      </w:r>
      <w:r>
        <w:rPr>
          <w:rFonts w:ascii="Arial" w:cs="Arial" w:eastAsia="Arial" w:hAnsi="Arial"/>
          <w:sz w:val="16"/>
          <w:szCs w:val="16"/>
          <w:color w:val="auto"/>
        </w:rPr>
        <w:t>Current liabilities: Derivative liability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w:t>
        <w:tab/>
        <w:t>$</w:t>
      </w:r>
      <w:r>
        <w:rPr>
          <w:sz w:val="20"/>
          <w:szCs w:val="20"/>
          <w:color w:val="auto"/>
        </w:rPr>
        <w:tab/>
      </w:r>
      <w:r>
        <w:rPr>
          <w:rFonts w:ascii="Arial" w:cs="Arial" w:eastAsia="Arial" w:hAnsi="Arial"/>
          <w:sz w:val="16"/>
          <w:szCs w:val="16"/>
          <w:color w:val="auto"/>
        </w:rPr>
        <w:t>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19050</wp:posOffset>
            </wp:positionV>
            <wp:extent cx="19469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6910" cy="260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derivative financial instruments do not qualify for hedge treatment; therefore, the change in fair value of these instruments is recognized immediately in our consolidated statements of operations, and reported in “Other (income) expenses, net.” Gains and losses for our derivative financial instruments are presented individually in the accompanying consolidated statements of cash flows, “Supplemental cash flow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Convertible Notes Call Spread Overlay</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Concurrent with the issuance of the 1.125% Convertible Notes in 2013, we entered into privately negotiated hedge transactions (collectively, the “1.125% Call Option”) and warrant transactions (collectively, the “1.125% Warrants”), with certain of the initial purchasers of the 1.125% Convertible Notes (the “Counterparties”). We refer to these transactions collectively as the Call Spread Overlay. Under the Call Spread Overlay, the cost of the 1.125% Call Option we purchased to cover the cash outlay upon conversion of the 1.125% Convertible Notes was reduced by proceeds from the sale of the 1.125% Warrants. Assuming full performance by the Counterparties (and 1.125% Warrants strike prices in excess of the conversion price of the 1.125% Convertible Notes), these transactions are intended to offset cash payments in excess of the principal amount of the 1.125% Convertible Notes due upon any conversion of such notes.</w:t>
      </w:r>
    </w:p>
    <w:p>
      <w:pPr>
        <w:spacing w:after="0" w:line="1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year ended December 31, 2019, in connection with the 1.125% Convertible Notes purchases (described in Note 11, “Debt”), we entered into privately negotiated termination agreements with each of the Counterparties to partially terminate the Call Spread Overlay, in notional amounts corresponding to the aggregate principal amount of the 1.125% Convertible Notes purchased. In the year ended December 31, 2019, we received $578 million for the</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76</w:t>
      </w:r>
    </w:p>
    <w:p>
      <w:pPr>
        <w:sectPr>
          <w:pgSz w:w="11900" w:h="16838" w:orient="portrait"/>
          <w:cols w:equalWidth="0" w:num="1">
            <w:col w:w="11420"/>
          </w:cols>
          <w:pgMar w:left="240" w:top="679" w:right="239" w:bottom="1440" w:gutter="0" w:footer="0" w:header="0"/>
        </w:sectPr>
      </w:pPr>
    </w:p>
    <w:bookmarkStart w:id="79" w:name="page80"/>
    <w:bookmarkEnd w:id="79"/>
    <w:p>
      <w:pPr>
        <w:ind w:right="140"/>
        <w:spacing w:after="0" w:line="262" w:lineRule="auto"/>
        <w:rPr>
          <w:sz w:val="20"/>
          <w:szCs w:val="20"/>
          <w:color w:val="auto"/>
        </w:rPr>
      </w:pPr>
      <w:r>
        <w:rPr>
          <w:rFonts w:ascii="Arial" w:cs="Arial" w:eastAsia="Arial" w:hAnsi="Arial"/>
          <w:sz w:val="18"/>
          <w:szCs w:val="18"/>
          <w:color w:val="auto"/>
        </w:rPr>
        <w:t>settlement of the 1.125% Call Option (which is a derivative asset), and paid $514 million for the partial termination of the 1.125% Warrants, for an aggregate net cash receipt of $64 million from the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Call Option</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1.125% Call Option, which is indexed to our common stock, is a derivative asset that requires mark-to-market accounting treatment due to cash settlement features until the 1.125% Call Option settles or expires. For further discussion of the inputs used to determine the fair value of the 1.125% Call Option, refer to Note 4, “Fair Value Measurements.”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Conversion Option</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embedded cash conversion option within the 1.125% Convertible Notes is accounted for separately as a derivative liability, with changes in fair value reported in our consolidated statements of operations until the cash conversion option settles or expires. For further discussion of the inputs used to determine the fair value of the 1.125% Conversion Option, refer to Note 4, “Fair Value Measurements.”</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of December 31, 2019, the 1.125% Call Option and the 1.125% Conversion Option were classified as a current asset and current liability, respectively, because the 1.125% Convertible Notes matured on January 15,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described in Note 11, “Debt,” we repaid the aggregate principal amount of the 1.125% Convertible Notes, including settlement of the related 1.125% Conversion Option. In addition, in January 2020 we received $27 million for the settlement of the 1.125% Call Option.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828282"/>
        </w:rPr>
        <w:t>13. Income Taxes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Federal</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w:t>
            </w:r>
          </w:p>
        </w:tc>
        <w:tc>
          <w:tcPr>
            <w:tcW w:w="10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State</w:t>
            </w:r>
          </w:p>
        </w:tc>
        <w:tc>
          <w:tcPr>
            <w:tcW w:w="1040" w:type="dxa"/>
            <w:vAlign w:val="bottom"/>
          </w:tcPr>
          <w:p>
            <w:pPr>
              <w:spacing w:after="0"/>
              <w:rPr>
                <w:sz w:val="22"/>
                <w:szCs w:val="22"/>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deferred</w:t>
            </w:r>
          </w:p>
        </w:tc>
        <w:tc>
          <w:tcPr>
            <w:tcW w:w="10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Tax Cuts and Jobs Act of 2017 (“TCJA”), in part, reduced the U.S. federal corporate tax rate from 35% to 21% effective January 1, 2018. TCJA’s change in the federal rate required that we revalue deferred tax assets and liabilities based on the rates at which they are expected to reverse in the future, which is generally the new 21% federal corporate tax rate plus applicable state tax rate. We applied the guidance in SEC Staff Accounting Bulletin No. 118 when accounting for the enactment-date effects of the TCJA in 2017 and throughout 2018.</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As of December 31, 2017, we recorded a provisional amount of $54 million for the revaluation of deferred tax assets and liabilities because we had not yet completed our accounting for all of the enactment-date income tax effects of the TJCA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Upon further analysis of certain aspects of the TCJA and refinement of our calculations in the year ended December 31, 2018, we reduced this provisional amount by $4 million, which is included as a component of income tax expense in the accompanying consolidated statement of operations. As of December 31, 2018, the accounting for all of the enactment-date income tax effects of the TCJA was complete.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77</w:t>
      </w:r>
    </w:p>
    <w:p>
      <w:pPr>
        <w:sectPr>
          <w:pgSz w:w="11900" w:h="16838" w:orient="portrait"/>
          <w:cols w:equalWidth="0" w:num="1">
            <w:col w:w="11420"/>
          </w:cols>
          <w:pgMar w:left="240" w:top="733"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 reconciliation of the U.S. federal statutory income tax rate to the combined effective income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257"/>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Statutory federal tax (benefit) rate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State income provision (benefit), net of federal</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(0.7)</w:t>
            </w:r>
          </w:p>
        </w:tc>
      </w:tr>
      <w:tr>
        <w:trPr>
          <w:trHeight w:val="28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Nondeductible health insurer fee (“HIF”)</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Nondeductible compensation</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2.8</w:t>
            </w:r>
          </w:p>
        </w:tc>
      </w:tr>
      <w:tr>
        <w:trPr>
          <w:trHeight w:val="28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Nondeductible goodwill impairment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4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w:t>
            </w:r>
          </w:p>
        </w:tc>
      </w:tr>
      <w:tr>
        <w:trPr>
          <w:trHeight w:val="260"/>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Worthless stock deduction</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Revaluation of net deferred tax assets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w:t>
            </w:r>
          </w:p>
        </w:tc>
      </w:tr>
      <w:tr>
        <w:trPr>
          <w:trHeight w:val="264"/>
        </w:trPr>
        <w:tc>
          <w:tcPr>
            <w:tcW w:w="6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r>
      <w:tr>
        <w:trPr>
          <w:trHeight w:val="24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Effective tax expense (benefit) rate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effective tax rate was not impacted by the HIF in 2019 and 2017, given the HIF moratorium in each of those years. Our effective tax rate is based on expected income (loss), statutory tax rates, and tax planning opportunities available to us in the various jurisdictions in which we operate. Management estimates and judgments are required in determining our effective tax rate. We are routinely under audit by federal, state, or local authorities regarding the timing and amount of deductions, nexus of income among various tax jurisdictions, and compliance with federal, state, foreign, and local tax laws.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Deferred tax assets and liabilities are classified as non-current. Significant components of our deferred tax assets and liabilities as of December 31, 2019 and 2018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1"/>
        </w:trPr>
        <w:tc>
          <w:tcPr>
            <w:tcW w:w="8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 and reserve liabilities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Other accrued medical costs</w:t>
            </w:r>
          </w:p>
        </w:tc>
        <w:tc>
          <w:tcPr>
            <w:tcW w:w="9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operating losses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Fixed assets and intangibles</w:t>
            </w:r>
          </w:p>
        </w:tc>
        <w:tc>
          <w:tcPr>
            <w:tcW w:w="9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Unearned premiums</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980" w:type="dxa"/>
            <w:vAlign w:val="bottom"/>
          </w:tcPr>
          <w:p>
            <w:pPr>
              <w:spacing w:after="0"/>
              <w:rPr>
                <w:sz w:val="22"/>
                <w:szCs w:val="22"/>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credit carryover</w:t>
            </w: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50"/>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income tax assets, net of valuation allowance</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deferred income tax liabilities</w:t>
            </w: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8340" w:type="dxa"/>
            <w:vAlign w:val="bottom"/>
          </w:tcPr>
          <w:p>
            <w:pPr>
              <w:ind w:left="40"/>
              <w:spacing w:after="0"/>
              <w:rPr>
                <w:sz w:val="20"/>
                <w:szCs w:val="20"/>
                <w:color w:val="auto"/>
              </w:rPr>
            </w:pPr>
            <w:r>
              <w:rPr>
                <w:rFonts w:ascii="Arial" w:cs="Arial" w:eastAsia="Arial" w:hAnsi="Arial"/>
                <w:sz w:val="16"/>
                <w:szCs w:val="16"/>
                <w:color w:val="auto"/>
              </w:rPr>
              <w:t>Net deferred income tax asset</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state net operating loss carryforwards of $310 million, which begin expiring in 2028.</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At December 31, 2019, we had California research and development and enterprise zone tax credit carryovers of $8 million, which will begin to expire in 2024, and foreign tax credit carryovers of $5 million, which expire in 2030.</w:t>
      </w:r>
    </w:p>
    <w:p>
      <w:pPr>
        <w:spacing w:after="0" w:line="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evaluate the need for a valuation allowance taking into consideration the ability to carry back and carry forward tax credits and losses, available tax planning strategies and future income, including reversal of temporary differences. We have determined that as of December 31, 2019, $24 million of deferred tax assets did not satisfy the recognition criteria. Therefore, we decreased our valuation allowance by $4 million, from $28 million at December 31, 2018, to $24 million as of December 31, 2019.</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78</w:t>
      </w:r>
    </w:p>
    <w:p>
      <w:pPr>
        <w:sectPr>
          <w:pgSz w:w="11900" w:h="16838" w:orient="portrait"/>
          <w:cols w:equalWidth="0" w:num="1">
            <w:col w:w="11420"/>
          </w:cols>
          <w:pgMar w:left="240" w:top="1003" w:right="239" w:bottom="1440" w:gutter="0" w:footer="0" w:header="0"/>
        </w:sectPr>
      </w:pPr>
    </w:p>
    <w:bookmarkStart w:id="81" w:name="page82"/>
    <w:bookmarkEnd w:id="81"/>
    <w:p>
      <w:pPr>
        <w:ind w:right="80"/>
        <w:spacing w:after="0" w:line="252" w:lineRule="auto"/>
        <w:rPr>
          <w:sz w:val="20"/>
          <w:szCs w:val="20"/>
          <w:color w:val="auto"/>
        </w:rPr>
      </w:pPr>
      <w:r>
        <w:rPr>
          <w:rFonts w:ascii="Arial" w:cs="Arial" w:eastAsia="Arial" w:hAnsi="Arial"/>
          <w:sz w:val="18"/>
          <w:szCs w:val="18"/>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roll forward of our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unrecognized tax benefits at beginning of period</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Increases in tax positions for current year</w:t>
            </w: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Increases in tax positions for prior years</w:t>
            </w:r>
          </w:p>
        </w:tc>
        <w:tc>
          <w:tcPr>
            <w:tcW w:w="10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Decreases in tax positions for prior years</w:t>
            </w:r>
          </w:p>
        </w:tc>
        <w:tc>
          <w:tcPr>
            <w:tcW w:w="106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Lapse in statute of limitations</w:t>
            </w:r>
          </w:p>
        </w:tc>
        <w:tc>
          <w:tcPr>
            <w:tcW w:w="10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6740" w:type="dxa"/>
            <w:vAlign w:val="bottom"/>
          </w:tcPr>
          <w:p>
            <w:pPr>
              <w:ind w:left="40"/>
              <w:spacing w:after="0"/>
              <w:rPr>
                <w:sz w:val="20"/>
                <w:szCs w:val="20"/>
                <w:color w:val="auto"/>
              </w:rPr>
            </w:pPr>
            <w:r>
              <w:rPr>
                <w:rFonts w:ascii="Arial" w:cs="Arial" w:eastAsia="Arial" w:hAnsi="Arial"/>
                <w:sz w:val="16"/>
                <w:szCs w:val="16"/>
                <w:color w:val="auto"/>
              </w:rPr>
              <w:t>Gross unrecognized tax benefits at end of period</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total amount of unrecognized tax benefits at December 31, 2019, 2018 and 2017 that, if recognized, would affect the effective tax rates is $18 million, $18 million, and $12 million, respectively. We expect that during the next 12 months it is reasonably possible that unrecognized tax benefit liabilities may decrease by as much as $5 million due to resolution of a state refund claim. The state refund claim will not result in a cash payment for income taxes if our claim is denied.</w:t>
      </w:r>
    </w:p>
    <w:p>
      <w:pPr>
        <w:spacing w:after="0" w:line="9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continuing practice is to recognize interest and/or penalties related to unrecognized tax benefits in income tax expense. Amounts accrued for the payment of interest and penalties as of December 31, 2019, 2018 and 2017 were insignificant.</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under examination by the IRS for calendar years 2015 through 2017 and may be subject to examination for calendar year 2018. With a few exceptions, which are immaterial in the aggregate, we no longer are subject to state, local, and Puerto Rico tax examinations for years before 2015.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color w:val="828282"/>
        </w:rPr>
        <w:t>14. Stockholders'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Program</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early December 2019, our board of directors authorized the purchase of up to $500 million, in the aggregate, of our common stock. This program is funded by existing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400,000 shares of our common stock for $54 million in December 2019 (average cost of $135.30 per share), including approximately 55,000 shares purchased for $7 million in late December 2019, and settled in early January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2020 through February 7, 2020, we purchased 1,533,000 shares for $203 million (average cost of $132.69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Call Spread Overlay transaction described in Note 12, “Derivatives,” in 2013, we issued 13.5 million of the 1.125% Warrants with a strike price of $ 53.8475 per share. Under certain circumstances, beginning in April 2020, if the price of our common stock were to exceed the strike price of the 1.125% Warrants, we would be obligated to issue shares of our common stock subject to a share delivery cap. The 1.125% Warrants could separately have a dilutive effect to the extent that the market value per share of our common stock exceeds the applicable strike price of the 1.125% Warrants. Refer to Note 3, “Net Income (Loss) Per Share,” for dilution</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79</w:t>
      </w:r>
    </w:p>
    <w:p>
      <w:pPr>
        <w:sectPr>
          <w:pgSz w:w="11900" w:h="16838" w:orient="portrait"/>
          <w:cols w:equalWidth="0" w:num="1">
            <w:col w:w="11420"/>
          </w:cols>
          <w:pgMar w:left="240" w:top="679" w:right="239" w:bottom="1440" w:gutter="0" w:footer="0" w:header="0"/>
        </w:sectPr>
      </w:pPr>
    </w:p>
    <w:bookmarkStart w:id="82" w:name="page83"/>
    <w:bookmarkEnd w:id="82"/>
    <w:p>
      <w:pPr>
        <w:ind w:right="760"/>
        <w:spacing w:after="0" w:line="262" w:lineRule="auto"/>
        <w:rPr>
          <w:sz w:val="20"/>
          <w:szCs w:val="20"/>
          <w:color w:val="auto"/>
        </w:rPr>
      </w:pPr>
      <w:r>
        <w:rPr>
          <w:rFonts w:ascii="Arial" w:cs="Arial" w:eastAsia="Arial" w:hAnsi="Arial"/>
          <w:sz w:val="18"/>
          <w:szCs w:val="18"/>
          <w:color w:val="auto"/>
        </w:rPr>
        <w:t>information for the periods presented. We will not receive any additional proceeds if the 1.125% Warrants are exercised. Following the transactions described below, approximately 310,000 of the 1.125% Warrants were outstanding at December 31, 2019.</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described in Note 12, “Derivatives,” in the year ended December 31, 2019, we entered into privately negotiated termination agreements with each of the Counterparties to partially terminate the Call Spread Overlay, in notional amounts corresponding to the aggregate principal amount of the 1.125% Convertible Notes purchased. In the year ended December 31, 2019, we paid $514 million to the Counterparties for the termination of 5.9 million of the 1.125% Warrants outstanding which resulted in a reduction of additional paid-in-capital for the same amount.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Total share-based compensation expense is presented in the following table. Except as described in the note to the table, we record share-based compensation as “General and administrative expenses” in the accompanying consolidated statements of operations.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3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980" w:type="dxa"/>
            <w:vAlign w:val="bottom"/>
            <w:tcBorders>
              <w:bottom w:val="single" w:sz="8" w:color="auto"/>
            </w:tcBorders>
          </w:tcPr>
          <w:p>
            <w:pPr>
              <w:spacing w:after="0"/>
              <w:rPr>
                <w:sz w:val="22"/>
                <w:szCs w:val="22"/>
                <w:color w:val="auto"/>
              </w:rPr>
            </w:pPr>
          </w:p>
        </w:tc>
      </w:tr>
      <w:tr>
        <w:trPr>
          <w:trHeight w:val="245"/>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Pretax</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Net-of-Tax</w:t>
            </w:r>
          </w:p>
        </w:tc>
        <w:tc>
          <w:tcPr>
            <w:tcW w:w="18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Pretax</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Net-of-Tax</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Pretax</w:t>
            </w:r>
          </w:p>
        </w:tc>
        <w:tc>
          <w:tcPr>
            <w:tcW w:w="16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Net-of-Tax</w:t>
            </w:r>
          </w:p>
        </w:tc>
      </w:tr>
      <w:tr>
        <w:trPr>
          <w:trHeight w:val="234"/>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Charges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Charges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5"/>
              </w:rPr>
              <w:t xml:space="preserve">Charges </w:t>
            </w:r>
            <w:r>
              <w:rPr>
                <w:rFonts w:ascii="Arial" w:cs="Arial" w:eastAsia="Arial" w:hAnsi="Arial"/>
                <w:sz w:val="21"/>
                <w:szCs w:val="21"/>
                <w:b w:val="1"/>
                <w:bCs w:val="1"/>
                <w:color w:val="auto"/>
                <w:w w:val="95"/>
                <w:vertAlign w:val="superscript"/>
              </w:rPr>
              <w:t>(1)</w:t>
            </w:r>
          </w:p>
        </w:tc>
        <w:tc>
          <w:tcPr>
            <w:tcW w:w="160" w:type="dxa"/>
            <w:vAlign w:val="bottom"/>
          </w:tcPr>
          <w:p>
            <w:pPr>
              <w:spacing w:after="0"/>
              <w:rPr>
                <w:sz w:val="20"/>
                <w:szCs w:val="20"/>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Amount</w:t>
            </w:r>
          </w:p>
        </w:tc>
      </w:tr>
      <w:tr>
        <w:trPr>
          <w:trHeight w:val="25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RSAs, PSAs and PSUs (defined below)</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stock purchase plan and stock options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4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8" w:lineRule="exact"/>
        <w:rPr>
          <w:sz w:val="20"/>
          <w:szCs w:val="20"/>
          <w:color w:val="auto"/>
        </w:rPr>
      </w:pPr>
    </w:p>
    <w:p>
      <w:pPr>
        <w:ind w:left="340" w:right="340" w:hanging="332"/>
        <w:spacing w:after="0" w:line="26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$23 million relating to acceleration of share-based compensation for former executives in the year ended December 31, 2017. This amount is reported in “Restructuring costs” in the accompanying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second quarter of 2019, our stockholders approved the Molina Healthcare, Inc. 2019 Equity Incentive Plan (the “2019 EIP”). The 2019 EIP provides for awards, in the form of restricted and performance stock awards (“RSAs” and “PSAs”), performance units (“PSUs”), stock options, and other stock– or cash–based awards, to eligible persons who perform services for us. The 2019 EIP will remain in effect until its termination by the board of directors; provided, however, that all awards will be granted no later than May 8, 2029. Concurrent with the adoption of the 2019 EIP, the Molina Healthcare, Inc. 2011 Equity Incentive Plan was amended, restated and merged into the 2019 EIP. A maximum of 2.9 million shares of our common stock may be issued under the 2019 EIP.</w:t>
      </w:r>
    </w:p>
    <w:p>
      <w:pPr>
        <w:spacing w:after="0" w:line="19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Stock-based awards</w:t>
      </w:r>
      <w:r>
        <w:rPr>
          <w:rFonts w:ascii="Arial" w:cs="Arial" w:eastAsia="Arial" w:hAnsi="Arial"/>
          <w:sz w:val="18"/>
          <w:szCs w:val="18"/>
          <w:color w:val="auto"/>
        </w:rPr>
        <w:t>. RSAs, PSAs and PSUs are granted with a fair value equal to the market price of our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generally vest in equal annual installments over periods up to four years from the date of grant. Certain PSUs may vest in their entirety at the end of three-year performance periods, if their performance conditions are met. We generally recognize expense for RSAs, PSAs and PSUs on a straight-line basis. Activity for stock-based awards in the year ended December 31, 2019 is summarized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Grant Date</w:t>
            </w:r>
          </w:p>
        </w:tc>
      </w:tr>
      <w:tr>
        <w:trPr>
          <w:trHeight w:val="228"/>
        </w:trPr>
        <w:tc>
          <w:tcPr>
            <w:tcW w:w="40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RSAs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PSAs</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PSUs</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 Shares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2018</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399,795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201,383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604,310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71.50</w:t>
            </w:r>
          </w:p>
        </w:tc>
      </w:tr>
      <w:tr>
        <w:trPr>
          <w:trHeight w:val="260"/>
        </w:trPr>
        <w:tc>
          <w:tcPr>
            <w:tcW w:w="4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243,353</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146,425</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389,778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136.23</w:t>
            </w:r>
          </w:p>
        </w:tc>
      </w:tr>
      <w:tr>
        <w:trPr>
          <w:trHeight w:val="28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(139,828)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73.98</w:t>
            </w:r>
          </w:p>
        </w:tc>
      </w:tr>
      <w:tr>
        <w:trPr>
          <w:trHeight w:val="26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(55,640)</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(13,202)</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(68,842)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90.45</w:t>
            </w:r>
          </w:p>
        </w:tc>
      </w:tr>
      <w:tr>
        <w:trPr>
          <w:trHeight w:val="24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as of December 31, 2019</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447,680</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324,078</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771,758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December 31, 2019, total unrecognized compensation expense related to unvested RSAs and PSUs was $49 million, which we expect to recognize over a remaining weighted-average period of 2.2 years, and 1.6 years, respectively. This unrecognized compensation cost assumes an estimated forfeiture rate of 15.9% for non-executive employees as of December 31, 2019, based on actual forfeitures over the last 4 years.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80</w:t>
      </w:r>
    </w:p>
    <w:p>
      <w:pPr>
        <w:sectPr>
          <w:pgSz w:w="11900" w:h="16838" w:orient="portrait"/>
          <w:cols w:equalWidth="0" w:num="1">
            <w:col w:w="11420"/>
          </w:cols>
          <w:pgMar w:left="240" w:top="57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total grant date fair value of awards granted and vested is presented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r>
      <w:tr>
        <w:trPr>
          <w:trHeight w:val="264"/>
        </w:trPr>
        <w:tc>
          <w:tcPr>
            <w:tcW w:w="74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1"/>
        </w:trPr>
        <w:tc>
          <w:tcPr>
            <w:tcW w:w="7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RSAs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PSUs</w:t>
            </w:r>
          </w:p>
        </w:tc>
        <w:tc>
          <w:tcPr>
            <w:tcW w:w="8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granted</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r>
      <w:tr>
        <w:trPr>
          <w:trHeight w:val="25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RSAs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PSAs</w:t>
            </w: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7440" w:type="dxa"/>
            <w:vAlign w:val="bottom"/>
          </w:tcPr>
          <w:p>
            <w:pPr>
              <w:ind w:left="180"/>
              <w:spacing w:after="0"/>
              <w:rPr>
                <w:sz w:val="20"/>
                <w:szCs w:val="20"/>
                <w:color w:val="auto"/>
              </w:rPr>
            </w:pPr>
            <w:r>
              <w:rPr>
                <w:rFonts w:ascii="Arial" w:cs="Arial" w:eastAsia="Arial" w:hAnsi="Arial"/>
                <w:sz w:val="16"/>
                <w:szCs w:val="16"/>
                <w:color w:val="auto"/>
              </w:rPr>
              <w:t>PSUs</w:t>
            </w:r>
          </w:p>
        </w:tc>
        <w:tc>
          <w:tcPr>
            <w:tcW w:w="880" w:type="dxa"/>
            <w:vAlign w:val="bottom"/>
          </w:tcPr>
          <w:p>
            <w:pPr>
              <w:spacing w:after="0"/>
              <w:rPr>
                <w:sz w:val="22"/>
                <w:szCs w:val="22"/>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4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vested</w:t>
            </w: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0"/>
        </w:trPr>
        <w:tc>
          <w:tcPr>
            <w:tcW w:w="7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 awards generally have an exercise price equal to the fair market value of our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vest in equal annual installments over periods up to four years from the date of grant, and have a maximum term of ten years from the date of grant. Stock option activity for the year ended December 31, 2019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Aggregate Intrinsic</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Exercise Price</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Value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Contractual term</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as of December 31, 2018</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64.79</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 options outstanding as of December 31, 2019</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405,000</w:t>
            </w:r>
          </w:p>
        </w:tc>
        <w:tc>
          <w:tcPr>
            <w:tcW w:w="3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64.79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7.4</w:t>
            </w: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color w:val="auto"/>
              </w:rPr>
              <w:t>Stock options exercisable and expected to vest as of December</w:t>
            </w:r>
          </w:p>
        </w:tc>
        <w:tc>
          <w:tcPr>
            <w:tcW w:w="16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7.4</w:t>
            </w:r>
          </w:p>
        </w:tc>
        <w:tc>
          <w:tcPr>
            <w:tcW w:w="0" w:type="dxa"/>
            <w:vAlign w:val="bottom"/>
          </w:tcPr>
          <w:p>
            <w:pPr>
              <w:spacing w:after="0"/>
              <w:rPr>
                <w:sz w:val="1"/>
                <w:szCs w:val="1"/>
                <w:color w:val="auto"/>
              </w:rPr>
            </w:pPr>
          </w:p>
        </w:tc>
      </w:tr>
      <w:tr>
        <w:trPr>
          <w:trHeight w:val="198"/>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31, 2019</w:t>
            </w: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64.79</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Exercisable as of December 31, 2019</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280,000</w:t>
            </w:r>
          </w:p>
        </w:tc>
        <w:tc>
          <w:tcPr>
            <w:tcW w:w="300" w:type="dxa"/>
            <w:vAlign w:val="bottom"/>
          </w:tcPr>
          <w:p>
            <w:pPr>
              <w:spacing w:after="0"/>
              <w:rPr>
                <w:sz w:val="19"/>
                <w:szCs w:val="19"/>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63.65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weighted-average grant date fair value per share of stock options awarded in 2017 was $41.43. We estimate the fair value of each stock option award on the grant date using the Black-Scholes option pricing model. To determine the fair value of the stock options awarded in 2017 we applied a risk-free interest rate of 2.3%, expected volatility of 38.4%, dividend yield of 0% and expected life of 8.4 years. No stock options were granted in 2019 and 2018.</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31, 2019, total unrecognized compensation expense related to unvested stock options was $4 million, which we expect to recognize over a weighted-average period of 0.8 years. The total intrinsic value of options exercised during the year ended December 31, 2017 was $2 million. No stock options were exercised in 2019 and 2018. The following is a summary of information about stock options outstanding and exercisable at December 31,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Options Exercisable</w:t>
            </w:r>
          </w:p>
        </w:tc>
      </w:tr>
      <w:tr>
        <w:trPr>
          <w:trHeight w:val="198"/>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 Life</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Weighted-Average</w:t>
            </w:r>
          </w:p>
        </w:tc>
      </w:tr>
      <w:tr>
        <w:trPr>
          <w:trHeight w:val="228"/>
        </w:trPr>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auto"/>
              </w:rPr>
              <w:t>Exercisable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Exercise Price</w:t>
            </w:r>
          </w:p>
        </w:tc>
      </w:tr>
      <w:tr>
        <w:trPr>
          <w:trHeight w:val="216"/>
        </w:trPr>
        <w:tc>
          <w:tcPr>
            <w:tcW w:w="354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$33.02</w:t>
            </w:r>
          </w:p>
        </w:tc>
        <w:tc>
          <w:tcPr>
            <w:tcW w:w="15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33.02</w:t>
            </w:r>
          </w:p>
        </w:tc>
      </w:tr>
      <w:tr>
        <w:trPr>
          <w:trHeight w:val="264"/>
        </w:trPr>
        <w:tc>
          <w:tcPr>
            <w:tcW w:w="1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$67.33</w:t>
            </w:r>
          </w:p>
        </w:tc>
        <w:tc>
          <w:tcPr>
            <w:tcW w:w="15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375,000</w:t>
            </w:r>
          </w:p>
        </w:tc>
        <w:tc>
          <w:tcPr>
            <w:tcW w:w="162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8"/>
              </w:rPr>
              <w:t>7.8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67.33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67.33</w:t>
            </w: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79" w:right="239" w:bottom="1440" w:gutter="0" w:footer="0" w:header="0"/>
        </w:sectPr>
      </w:pPr>
    </w:p>
    <w:p>
      <w:pPr>
        <w:spacing w:after="0" w:line="23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81</w:t>
      </w:r>
    </w:p>
    <w:p>
      <w:pPr>
        <w:sectPr>
          <w:pgSz w:w="11900" w:h="16838" w:orient="portrait"/>
          <w:cols w:equalWidth="0" w:num="1">
            <w:col w:w="11420"/>
          </w:cols>
          <w:pgMar w:left="240" w:top="679"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auto"/>
        </w:rPr>
        <w:t>Employee Stock Purchase Plans (“ESPPs”)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second quarter of 2019, our stockholders approved the Molina Healthcare, Inc. 2019 Employee Stock Purchase Plan (the “2019 ESPP”), which superseded the Molina Healthcare, Inc. 2011 Employee Stock Purchase Plan (the “2011 ESPP”). A maximum of 3.0 million shares of our common stock may be issued under the 2019 ESPP, the terms of which are substantially similar to the 2011 ESPP. The 2019 ESPP will continue until the earliest of: termination of the 2019 ESPP by the board of directors (which may occur at any time); issuance of all of the shares reserved for issuance under the 2019 ESPP; or May 8, 2029.</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our ESPPs, eligible employees may purchase common shares at 85% of the lower of the fair market value of our common stock on either the first or last trading day of each six-month offering period. Each participant is limited to a maximum purchase of $25,000 (as measured by the fair value of the stock acquired) per year through payroll deductions. We estimate the fair value of the stock issued using the Black-Scholes option pricing model. For the years ended December 31, 2019, 2018, and 2017, the inputs to this model were as follows: risk-free interest rates of approximately 0.6% to 2.3%; expected volatilities ranging from approximately 31% to 45%, dividend yields of 0%, and an average expected life of 0.5 years. We issued approximately 142,000, 216,000 and 351,000 shares of our common stock under the ESPPs during the years ended December 31, 2019, 2018, and 2017, respectively.</w:t>
      </w:r>
    </w:p>
    <w:p>
      <w:pPr>
        <w:spacing w:after="0" w:line="20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our employee stock plans, approximately 242,000 shares and 365,000 shares of common stock were purchased or vested, net of shares used to settle employees’ income tax obligations, during the years ended December 31, 2019, and 2018, respectively.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5"/>
          <w:szCs w:val="25"/>
          <w:color w:val="828282"/>
        </w:rPr>
        <w:t>15. Restructuring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are reported by the same name in the accompanying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Restructuring Plan</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Management’s margin recovery plan identified and implemented various profit improvement initiatives. This included the plan to restructure our information technology department (the “IT Restructuring Plan”) in 2018, which is reported in the Other segment. In connection with this plan, in early 2019, we entered into services agreements with an outsourcing vendor who manages certain of our information technology services.</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December 31, 2019, the IT Restructuring Plan was substantially complete. Under this plan, we incurred cumulative restructuring costs of $12 million, including $7 million of one-time termination benefits and $5 million of other restructuring costs (primarily consulting fees). The final amount of costs incurred is lower than the $20 million we originally estimated and reported in our Annual Report on Form 10-K for the year ended December 31, 2018. Because more of our IT employees transitioned to our outsourcing vendor than originally contemplated, such employees were no longer included in the IT Restructuring Plan, resulting in lower one-time termination costs.</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2018, $6 million was accrued under the IT Restructuring Plan, primarily for one-time termination benefits that require cash settlement. In the year ended December 31, 2019, we incurred $3 million of other restructuring costs, paid $5 million to settle one-time termination benefits, and paid $3 million to settle other restructuring costs. As of December 31, 2019, $1 million was accrued under the IT Restructuring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Restructuring Plan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2018, $18 million was accrued for the restructuring and profitability improvement plan approved by the board of directors in June 2017 (the “2017 Restructuring Plan”). In the year ended December 31, 2019, we incurred $3 million of restructuring costs for adjustments to previously recorded lease contract termination costs, and paid $9 million to settle one-time termination and lease contract termination costs. As of December 31, 2019, $12 million was accrued for lease contract termination costs under the 2017 Restructuring Plan. We expect to continue to settle these liabilities through 2025, unless the leases are terminated sooner.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color w:val="828282"/>
        </w:rPr>
        <w:t>16. Employee Benefit Plans</w:t>
      </w:r>
    </w:p>
    <w:p>
      <w:pPr>
        <w:spacing w:after="0" w:line="223"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We sponsor defined contribution 401(k) plans that cover substantially all employees of our company and its subsidiaries. Eligible employees are permitted to contribute up to the maximum amount allowed by law. We generally match up to the first 4% of compensation contributed by employees. Expense recognized in connection with our contributions to the 401(k) plans amounted to $28 million, $36 million, and $43 million in the years ended December 31, 2019, 2018, and 2017, respectively.</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82</w:t>
      </w:r>
    </w:p>
    <w:p>
      <w:pPr>
        <w:sectPr>
          <w:pgSz w:w="11900" w:h="16838" w:orient="portrait"/>
          <w:cols w:equalWidth="0" w:num="1">
            <w:col w:w="11420"/>
          </w:cols>
          <w:pgMar w:left="240" w:top="679" w:right="239" w:bottom="1440" w:gutter="0" w:footer="0" w:header="0"/>
        </w:sectPr>
      </w:pPr>
    </w:p>
    <w:bookmarkStart w:id="85" w:name="page86"/>
    <w:bookmarkEnd w:id="85"/>
    <w:p>
      <w:pPr>
        <w:jc w:val="both"/>
        <w:ind w:right="400"/>
        <w:spacing w:after="0" w:line="256" w:lineRule="auto"/>
        <w:rPr>
          <w:sz w:val="20"/>
          <w:szCs w:val="20"/>
          <w:color w:val="auto"/>
        </w:rPr>
      </w:pPr>
      <w:r>
        <w:rPr>
          <w:rFonts w:ascii="Arial" w:cs="Arial" w:eastAsia="Arial" w:hAnsi="Arial"/>
          <w:sz w:val="18"/>
          <w:szCs w:val="18"/>
          <w:color w:val="auto"/>
        </w:rPr>
        <w:t>We also have a non-qualified deferred compensation plan for certain key employees. Under this plan, eligible participants may defer up to 100% of their base salary and 100% of their bonus to provide tax-deferred growth. The funds deferred are invested in corporate-owned life insurance, under a rabbi trust.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17. Commitments and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3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health plans, which are operated by our respective wholly owned subsidiaries in those states, are subject to state laws and regulations that, among other things, require the maintenance of minimum levels of statutory capital, as defined by each state. The National Association of Insurance Commissioners (“NAIC”), has adopted rules which, if implemented by the states, set minimum capitalization requirements for insurance companies, HMOs, and other entities bearing risk for health care coverage. The requirements take the form of risk-based capital (“RBC”) rules which may vary from state to state. All of the states in which our health plans operate, except California, Florida and New York, have adopted these rules. Such requirements, if adopted by California, Florida and New York, may increase the minimum capital required for those states. Regulators in some states may also enforce capital requirements that require the retention of net worth in excess of amounts formally required by statute or regulation. As of December 31, 2019, our health plans had aggregate statutory capital and surplus of approximately $1,852 million compared with the required minimum aggregate statutory capital and surplus of approximately $1,110 million. All of our health plans were in compliance with the minimum capital requirements at December 31, 2019. We have the ability and commitment to provide additional capital to each of our health plans when necessary to ensure that statutory capital and surplus continue to meet regulatory requirements.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Such 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(after intercompany eliminations) which may not be transferable to us in the form of loans, advances, or cash dividends was approximately $1,811 million at December 31, 2019, and $2,262 million at December 31, 2018.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 – Molina Healthcare, Inc. Such cash, cash equivalents and investments amounted to $997 million and $170 million as of December 31, 2019 and 2018,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and the repayment of previously billed and collected revenues.</w:t>
      </w:r>
    </w:p>
    <w:p>
      <w:pPr>
        <w:spacing w:after="0" w:line="2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Insurance</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carry medical professional liability insurance for health care services rendered in the primary care institutions that we manage. In addition, we also carry errors and omissions insurance for all Molina entities.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828282"/>
        </w:rPr>
        <w:t>18. Segments</w:t>
      </w:r>
    </w:p>
    <w:p>
      <w:pPr>
        <w:spacing w:after="0" w:line="22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 Our Other</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83</w:t>
      </w:r>
    </w:p>
    <w:p>
      <w:pPr>
        <w:sectPr>
          <w:pgSz w:w="11900" w:h="16838" w:orient="portrait"/>
          <w:cols w:equalWidth="0" w:num="1">
            <w:col w:w="11420"/>
          </w:cols>
          <w:pgMar w:left="240" w:top="679" w:right="239" w:bottom="1440" w:gutter="0" w:footer="0" w:header="0"/>
        </w:sectPr>
      </w:pPr>
    </w:p>
    <w:bookmarkStart w:id="86" w:name="page87"/>
    <w:bookmarkEnd w:id="86"/>
    <w:p>
      <w:pPr>
        <w:ind w:right="340"/>
        <w:spacing w:after="0" w:line="262" w:lineRule="auto"/>
        <w:rPr>
          <w:sz w:val="20"/>
          <w:szCs w:val="20"/>
          <w:color w:val="auto"/>
        </w:rPr>
      </w:pPr>
      <w:r>
        <w:rPr>
          <w:rFonts w:ascii="Arial" w:cs="Arial" w:eastAsia="Arial" w:hAnsi="Arial"/>
          <w:sz w:val="18"/>
          <w:szCs w:val="18"/>
          <w:color w:val="auto"/>
        </w:rPr>
        <w:t>segment, which was insignificant to our consolidated results of operations in 2018 and 2019, includes the historical results of the MMIS and behavioral health subsidiaries we sold in late 2018, as well as certain corporate amounts not allocated to the Health Plans segment.</w:t>
      </w:r>
    </w:p>
    <w:p>
      <w:pPr>
        <w:spacing w:after="0" w:line="8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medical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 Margin for our Health Plans segment is referred to as “Medical Margin.”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Health Plans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Consolidated</w:t>
            </w:r>
          </w:p>
        </w:tc>
      </w:tr>
      <w:tr>
        <w:trPr>
          <w:trHeight w:val="251"/>
        </w:trPr>
        <w:tc>
          <w:tcPr>
            <w:tcW w:w="6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16,815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16,829</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32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5,265</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1,522</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6,787</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18,471</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18,890</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Margin</w:t>
            </w:r>
          </w:p>
        </w:tc>
        <w:tc>
          <w:tcPr>
            <w:tcW w:w="2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2,475</w:t>
            </w:r>
          </w:p>
        </w:tc>
        <w:tc>
          <w:tcPr>
            <w:tcW w:w="32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2,518</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6,165</w:t>
            </w:r>
          </w:p>
        </w:tc>
        <w:tc>
          <w:tcPr>
            <w:tcW w:w="32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989</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7,154</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19,352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19,883</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1,781</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32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6,347</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2,124</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324"/>
        </w:trPr>
        <w:tc>
          <w:tcPr>
            <w:tcW w:w="9860" w:type="dxa"/>
            <w:vAlign w:val="bottom"/>
            <w:gridSpan w:val="5"/>
          </w:tcPr>
          <w:p>
            <w:pPr>
              <w:spacing w:after="0"/>
              <w:rPr>
                <w:sz w:val="20"/>
                <w:szCs w:val="20"/>
                <w:color w:val="auto"/>
              </w:rPr>
            </w:pPr>
            <w:r>
              <w:rPr>
                <w:rFonts w:ascii="Arial" w:cs="Arial" w:eastAsia="Arial" w:hAnsi="Arial"/>
                <w:sz w:val="18"/>
                <w:szCs w:val="18"/>
                <w:color w:val="auto"/>
              </w:rPr>
              <w:t>The following table reconciles margin by segment to consolidated income (loss) before income tax expense (benefit):</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Margin: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Health Plans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1,781</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47"/>
        </w:trPr>
        <w:tc>
          <w:tcPr>
            <w:tcW w:w="6740" w:type="dxa"/>
            <w:vAlign w:val="bottom"/>
          </w:tcPr>
          <w:p>
            <w:pPr>
              <w:ind w:left="380"/>
              <w:spacing w:after="0"/>
              <w:rPr>
                <w:sz w:val="20"/>
                <w:szCs w:val="20"/>
                <w:color w:val="auto"/>
              </w:rPr>
            </w:pPr>
            <w:r>
              <w:rPr>
                <w:rFonts w:ascii="Arial" w:cs="Arial" w:eastAsia="Arial" w:hAnsi="Arial"/>
                <w:sz w:val="16"/>
                <w:szCs w:val="16"/>
                <w:color w:val="auto"/>
              </w:rPr>
              <w:t>Total margin</w:t>
            </w: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2,518</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(2,873)</w:t>
            </w: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loss on sales of subsidiaries, net of gain</w:t>
            </w: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6740" w:type="dxa"/>
            <w:vAlign w:val="bottom"/>
          </w:tcPr>
          <w:p>
            <w:pPr>
              <w:ind w:left="28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other expenses, net</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Income (loss) before income tax expense (benefit)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investment income and other revenue.</w:t>
      </w:r>
    </w:p>
    <w:p>
      <w:pPr>
        <w:spacing w:after="0" w:line="5" w:lineRule="exact"/>
        <w:rPr>
          <w:rFonts w:ascii="Arial" w:cs="Arial" w:eastAsia="Arial" w:hAnsi="Arial"/>
          <w:sz w:val="16"/>
          <w:szCs w:val="16"/>
          <w:color w:val="auto"/>
        </w:rPr>
      </w:pPr>
    </w:p>
    <w:p>
      <w:pPr>
        <w:ind w:left="340" w:right="580" w:hanging="332"/>
        <w:spacing w:after="0" w:line="26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impairment losses, and restructuring costs.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84</w:t>
      </w:r>
    </w:p>
    <w:p>
      <w:pPr>
        <w:sectPr>
          <w:pgSz w:w="11900" w:h="16838" w:orient="portrait"/>
          <w:cols w:equalWidth="0" w:num="1">
            <w:col w:w="11420"/>
          </w:cols>
          <w:pgMar w:left="240" w:top="679" w:right="239" w:bottom="1440" w:gutter="0" w:footer="0" w:header="0"/>
        </w:sectPr>
      </w:pPr>
    </w:p>
    <w:bookmarkStart w:id="87" w:name="page88"/>
    <w:bookmarkEnd w:id="87"/>
    <w:p>
      <w:pPr>
        <w:spacing w:after="0"/>
        <w:rPr>
          <w:sz w:val="20"/>
          <w:szCs w:val="20"/>
          <w:color w:val="auto"/>
        </w:rPr>
      </w:pPr>
      <w:r>
        <w:rPr>
          <w:rFonts w:ascii="Arial" w:cs="Arial" w:eastAsia="Arial" w:hAnsi="Arial"/>
          <w:sz w:val="25"/>
          <w:szCs w:val="25"/>
          <w:color w:val="828282"/>
        </w:rPr>
        <w:t>19. Quarterly Results of Operations (Unaudited)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quarterly unaudited results of operations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rPr>
              <w:t>For The Quarter Ended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98"/>
        </w:trPr>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7"/>
                <w:szCs w:val="17"/>
                <w:color w:val="auto"/>
              </w:rPr>
            </w:pPr>
          </w:p>
        </w:tc>
        <w:tc>
          <w:tcPr>
            <w:tcW w:w="1260" w:type="dxa"/>
            <w:vAlign w:val="bottom"/>
          </w:tcPr>
          <w:p>
            <w:pPr>
              <w:jc w:val="center"/>
              <w:ind w:right="180"/>
              <w:spacing w:after="0"/>
              <w:rPr>
                <w:sz w:val="20"/>
                <w:szCs w:val="20"/>
                <w:color w:val="auto"/>
              </w:rPr>
            </w:pPr>
            <w:r>
              <w:rPr>
                <w:rFonts w:ascii="Arial" w:cs="Arial" w:eastAsia="Arial" w:hAnsi="Arial"/>
                <w:sz w:val="16"/>
                <w:szCs w:val="16"/>
                <w:b w:val="1"/>
                <w:bCs w:val="1"/>
                <w:color w:val="auto"/>
                <w:w w:val="99"/>
              </w:rPr>
              <w:t>June 30,</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 30, 2019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9"/>
                <w:szCs w:val="19"/>
                <w:color w:val="auto"/>
              </w:rPr>
            </w:pPr>
          </w:p>
        </w:tc>
      </w:tr>
      <w:tr>
        <w:trPr>
          <w:trHeight w:val="251"/>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rPr>
              <w:t>(In millions, except per-share data)</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4,119</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4,193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2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Margin</w:t>
            </w:r>
          </w:p>
        </w:tc>
        <w:tc>
          <w:tcPr>
            <w:tcW w:w="2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3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583</w:t>
            </w:r>
          </w:p>
        </w:tc>
        <w:tc>
          <w:tcPr>
            <w:tcW w:w="2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578</w:t>
            </w:r>
          </w:p>
        </w:tc>
        <w:tc>
          <w:tcPr>
            <w:tcW w:w="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shd w:val="clear" w:color="auto" w:fill="CCEEFF"/>
          </w:tcPr>
          <w:p>
            <w:pPr>
              <w:spacing w:after="0"/>
              <w:rPr>
                <w:sz w:val="24"/>
                <w:szCs w:val="24"/>
                <w:color w:val="auto"/>
              </w:rPr>
            </w:pPr>
          </w:p>
        </w:tc>
      </w:tr>
      <w:tr>
        <w:trPr>
          <w:trHeight w:val="297"/>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0" w:type="dxa"/>
            <w:vAlign w:val="bottom"/>
            <w:shd w:val="clear" w:color="auto" w:fill="CCEEFF"/>
          </w:tcPr>
          <w:p>
            <w:pPr>
              <w:spacing w:after="0"/>
              <w:rPr>
                <w:sz w:val="23"/>
                <w:szCs w:val="23"/>
                <w:color w:val="auto"/>
              </w:rPr>
            </w:pPr>
          </w:p>
        </w:tc>
      </w:tr>
      <w:tr>
        <w:trPr>
          <w:trHeight w:val="32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24"/>
                <w:szCs w:val="24"/>
                <w:color w:val="auto"/>
              </w:rPr>
            </w:pPr>
          </w:p>
        </w:tc>
      </w:tr>
      <w:tr>
        <w:trPr>
          <w:trHeight w:val="450"/>
        </w:trPr>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auto"/>
              </w:rPr>
              <w:t>For The Quarter Ended</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21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7"/>
                <w:szCs w:val="17"/>
                <w:color w:val="auto"/>
              </w:rPr>
            </w:pPr>
          </w:p>
        </w:tc>
        <w:tc>
          <w:tcPr>
            <w:tcW w:w="1260" w:type="dxa"/>
            <w:vAlign w:val="bottom"/>
          </w:tcPr>
          <w:p>
            <w:pPr>
              <w:jc w:val="right"/>
              <w:ind w:right="38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 30, 2018</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9"/>
                <w:szCs w:val="19"/>
                <w:color w:val="auto"/>
              </w:rPr>
            </w:pPr>
          </w:p>
        </w:tc>
      </w:tr>
      <w:tr>
        <w:trPr>
          <w:trHeight w:val="251"/>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(In millions, except per-share data)</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4,646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4,883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4,697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4,664</w:t>
            </w:r>
          </w:p>
        </w:tc>
        <w:tc>
          <w:tcPr>
            <w:tcW w:w="20" w:type="dxa"/>
            <w:vAlign w:val="bottom"/>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Margin</w:t>
            </w:r>
          </w:p>
        </w:tc>
        <w:tc>
          <w:tcPr>
            <w:tcW w:w="2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34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673</w:t>
            </w:r>
          </w:p>
        </w:tc>
        <w:tc>
          <w:tcPr>
            <w:tcW w:w="26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566</w:t>
            </w:r>
          </w:p>
        </w:tc>
        <w:tc>
          <w:tcPr>
            <w:tcW w:w="24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2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on sales of subsidiaries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34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202</w:t>
            </w:r>
          </w:p>
        </w:tc>
        <w:tc>
          <w:tcPr>
            <w:tcW w:w="26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197</w:t>
            </w:r>
          </w:p>
        </w:tc>
        <w:tc>
          <w:tcPr>
            <w:tcW w:w="24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22"/>
                <w:szCs w:val="22"/>
                <w:color w:val="auto"/>
              </w:rPr>
            </w:pPr>
          </w:p>
        </w:tc>
      </w:tr>
      <w:tr>
        <w:trPr>
          <w:trHeight w:val="307"/>
        </w:trPr>
        <w:tc>
          <w:tcPr>
            <w:tcW w:w="5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3.29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20" w:type="dxa"/>
            <w:vAlign w:val="bottom"/>
          </w:tcPr>
          <w:p>
            <w:pPr>
              <w:spacing w:after="0"/>
              <w:rPr>
                <w:sz w:val="23"/>
                <w:szCs w:val="23"/>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23"/>
                <w:szCs w:val="23"/>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09" w:lineRule="exact"/>
        <w:rPr>
          <w:sz w:val="20"/>
          <w:szCs w:val="20"/>
          <w:color w:val="auto"/>
        </w:rPr>
      </w:pPr>
    </w:p>
    <w:p>
      <w:pPr>
        <w:jc w:val="both"/>
        <w:ind w:left="340" w:right="160" w:hanging="332"/>
        <w:spacing w:after="0" w:line="25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and is based on the weighted-average common share equivalents outstanding during each quarter. Accordingly, the sum of the quarterly net income per share amounts may not agree to the total for the year.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85</w:t>
      </w:r>
    </w:p>
    <w:p>
      <w:pPr>
        <w:sectPr>
          <w:pgSz w:w="11900" w:h="16838" w:orient="portrait"/>
          <w:cols w:equalWidth="0" w:num="1">
            <w:col w:w="11420"/>
          </w:cols>
          <w:pgMar w:left="240" w:top="681" w:right="239" w:bottom="1440" w:gutter="0" w:footer="0" w:header="0"/>
        </w:sectPr>
      </w:pPr>
    </w:p>
    <w:bookmarkStart w:id="88" w:name="page89"/>
    <w:bookmarkEnd w:id="88"/>
    <w:p>
      <w:pPr>
        <w:spacing w:after="0"/>
        <w:rPr>
          <w:sz w:val="20"/>
          <w:szCs w:val="20"/>
          <w:color w:val="auto"/>
        </w:rPr>
      </w:pPr>
      <w:r>
        <w:rPr>
          <w:rFonts w:ascii="Arial" w:cs="Arial" w:eastAsia="Arial" w:hAnsi="Arial"/>
          <w:sz w:val="25"/>
          <w:szCs w:val="25"/>
          <w:color w:val="828282"/>
        </w:rPr>
        <w:t>20. Condensed Financial Information of Registrant</w:t>
      </w:r>
    </w:p>
    <w:p>
      <w:pPr>
        <w:spacing w:after="0" w:line="22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condensed balance sheets as of December 31, 2019 and 2018, and the related condensed statements of operations, comprehensive income (loss) and cash flows for each of the three years in the period ended December 31, 2019 for our parent company Molina Healthcare, Inc. (the “Registrant”), are presented below.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85"/>
        </w:trPr>
        <w:tc>
          <w:tcPr>
            <w:tcW w:w="8340" w:type="dxa"/>
            <w:vAlign w:val="bottom"/>
          </w:tcPr>
          <w:p>
            <w:pPr>
              <w:spacing w:after="0"/>
              <w:rPr>
                <w:sz w:val="24"/>
                <w:szCs w:val="24"/>
                <w:color w:val="auto"/>
              </w:rPr>
            </w:pPr>
          </w:p>
        </w:tc>
        <w:tc>
          <w:tcPr>
            <w:tcW w:w="3080" w:type="dxa"/>
            <w:vAlign w:val="bottom"/>
            <w:gridSpan w:val="5"/>
          </w:tcPr>
          <w:p>
            <w:pPr>
              <w:jc w:val="center"/>
              <w:ind w:left="160"/>
              <w:spacing w:after="0"/>
              <w:rPr>
                <w:sz w:val="20"/>
                <w:szCs w:val="20"/>
                <w:color w:val="auto"/>
              </w:rPr>
            </w:pPr>
            <w:r>
              <w:rPr>
                <w:rFonts w:ascii="Arial" w:cs="Arial" w:eastAsia="Arial" w:hAnsi="Arial"/>
                <w:sz w:val="14"/>
                <w:szCs w:val="14"/>
                <w:b w:val="1"/>
                <w:bCs w:val="1"/>
                <w:color w:val="auto"/>
              </w:rPr>
              <w:t>(In millions, except per-share data)</w:t>
            </w: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Due from affiliates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asset</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Investments in subsidiaries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Advances to related parties and other assets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Derivative liability</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4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96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Finance lease liabilities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$0.001 par value; 150 million shares authorized; outstanding: 62 million shares at each of</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340"/>
              <w:spacing w:after="0"/>
              <w:rPr>
                <w:sz w:val="20"/>
                <w:szCs w:val="20"/>
                <w:color w:val="auto"/>
              </w:rPr>
            </w:pPr>
            <w:r>
              <w:rPr>
                <w:rFonts w:ascii="Arial" w:cs="Arial" w:eastAsia="Arial" w:hAnsi="Arial"/>
                <w:sz w:val="16"/>
                <w:szCs w:val="16"/>
                <w:color w:val="auto"/>
              </w:rPr>
              <w:t>December 31, 2019, and December 31, 2018</w:t>
            </w:r>
          </w:p>
        </w:tc>
        <w:tc>
          <w:tcPr>
            <w:tcW w:w="96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Retained earnings</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9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96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86</w:t>
      </w:r>
    </w:p>
    <w:p>
      <w:pPr>
        <w:sectPr>
          <w:pgSz w:w="11900" w:h="16838" w:orient="portrait"/>
          <w:cols w:equalWidth="0" w:num="1">
            <w:col w:w="11420"/>
          </w:cols>
          <w:pgMar w:left="240" w:top="68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24"/>
        </w:trPr>
        <w:tc>
          <w:tcPr>
            <w:tcW w:w="6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Administrative services fees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1,317</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income and other revenue</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5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1,082</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Other operating expenses</w:t>
            </w:r>
          </w:p>
        </w:tc>
        <w:tc>
          <w:tcPr>
            <w:tcW w:w="9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costs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64"/>
        </w:trPr>
        <w:tc>
          <w:tcPr>
            <w:tcW w:w="6740" w:type="dxa"/>
            <w:vAlign w:val="bottom"/>
          </w:tcPr>
          <w:p>
            <w:pPr>
              <w:ind w:left="180"/>
              <w:spacing w:after="0"/>
              <w:rPr>
                <w:sz w:val="20"/>
                <w:szCs w:val="20"/>
                <w:color w:val="auto"/>
              </w:rPr>
            </w:pPr>
            <w:r>
              <w:rPr>
                <w:rFonts w:ascii="Arial" w:cs="Arial" w:eastAsia="Arial" w:hAnsi="Arial"/>
                <w:sz w:val="16"/>
                <w:szCs w:val="16"/>
                <w:color w:val="auto"/>
              </w:rPr>
              <w:t>Impairment losses</w:t>
            </w:r>
          </w:p>
        </w:tc>
        <w:tc>
          <w:tcPr>
            <w:tcW w:w="9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50"/>
        </w:trPr>
        <w:tc>
          <w:tcPr>
            <w:tcW w:w="67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r>
      <w:tr>
        <w:trPr>
          <w:trHeight w:val="250"/>
        </w:trPr>
        <w:tc>
          <w:tcPr>
            <w:tcW w:w="6740" w:type="dxa"/>
            <w:vAlign w:val="bottom"/>
          </w:tcPr>
          <w:p>
            <w:pPr>
              <w:ind w:left="40"/>
              <w:spacing w:after="0"/>
              <w:rPr>
                <w:sz w:val="20"/>
                <w:szCs w:val="20"/>
                <w:color w:val="auto"/>
              </w:rPr>
            </w:pPr>
            <w:r>
              <w:rPr>
                <w:rFonts w:ascii="Arial" w:cs="Arial" w:eastAsia="Arial" w:hAnsi="Arial"/>
                <w:sz w:val="16"/>
                <w:szCs w:val="16"/>
                <w:color w:val="auto"/>
              </w:rPr>
              <w:t>Gain on sale of subsidiary</w:t>
            </w:r>
          </w:p>
        </w:tc>
        <w:tc>
          <w:tcPr>
            <w:tcW w:w="9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96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Loss before income tax (benefit) expense and equity in net earnings (losses) of subsidiaries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Net loss before equity in net earnings (losses) of subsidiaries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net earnings (losses) of subsidiaries</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 (Loss)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1"/>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investment income (loss)</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effect of income taxes</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87</w:t>
      </w:r>
    </w:p>
    <w:p>
      <w:pPr>
        <w:sectPr>
          <w:pgSz w:w="11900" w:h="16838" w:orient="portrait"/>
          <w:cols w:equalWidth="0" w:num="1">
            <w:col w:w="11420"/>
          </w:cols>
          <w:pgMar w:left="240" w:top="65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24"/>
        </w:trPr>
        <w:tc>
          <w:tcPr>
            <w:tcW w:w="6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Capital contributions to subsidiaries</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received from subsidiaries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received from sale of subsidiaries</w:t>
            </w:r>
          </w:p>
        </w:tc>
        <w:tc>
          <w:tcPr>
            <w:tcW w:w="9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Change in amounts due to/from affiliates</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principal amount of convertible notes</w:t>
            </w:r>
          </w:p>
        </w:tc>
        <w:tc>
          <w:tcPr>
            <w:tcW w:w="9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settlement of conversion option</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Cash received for partial settlement of call option</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termination of warrants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borrowings under term loan facility</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purchases</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credit facility</w:t>
            </w:r>
          </w:p>
        </w:tc>
        <w:tc>
          <w:tcPr>
            <w:tcW w:w="9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9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9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636</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Registrant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9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Transactions with Subsidiaries</w:t>
      </w:r>
    </w:p>
    <w:p>
      <w:pPr>
        <w:spacing w:after="0" w:line="139"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The Registrant provides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underwriting, finance, accounting, legal and public</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88</w:t>
      </w:r>
    </w:p>
    <w:p>
      <w:pPr>
        <w:sectPr>
          <w:pgSz w:w="11900" w:h="16838" w:orient="portrait"/>
          <w:cols w:equalWidth="0" w:num="1">
            <w:col w:w="11420"/>
          </w:cols>
          <w:pgMar w:left="240" w:top="657" w:right="239" w:bottom="1440" w:gutter="0" w:footer="0" w:header="0"/>
        </w:sectPr>
      </w:pPr>
    </w:p>
    <w:bookmarkStart w:id="91" w:name="page92"/>
    <w:bookmarkEnd w:id="91"/>
    <w:p>
      <w:pPr>
        <w:ind w:right="20"/>
        <w:spacing w:after="0" w:line="254" w:lineRule="auto"/>
        <w:rPr>
          <w:sz w:val="20"/>
          <w:szCs w:val="20"/>
          <w:color w:val="auto"/>
        </w:rPr>
      </w:pPr>
      <w:r>
        <w:rPr>
          <w:rFonts w:ascii="Arial" w:cs="Arial" w:eastAsia="Arial" w:hAnsi="Arial"/>
          <w:sz w:val="18"/>
          <w:szCs w:val="18"/>
          <w:color w:val="auto"/>
        </w:rPr>
        <w:t>relations. Fees are based on the fair market value of services rendered and are recorded as operating revenue. Payment is subordinated to the subsidiaries’ ability to comply with minimum capital and other restrictive financial requirements of the states in which they operate. Charges in 2019, 2018, and 2017 for these services amounted to $1,038 million, $1,137 million, and $1,317 million, respectively, and are included in operating revenue.</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 be expensed by the subsidiary if it filed a separate tax return. Net operating loss benefits are paid to the subsidiary by the Registrant to the extent such losses are utilized in the consolidated tax returns.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Dividends and Capital Contributions</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When the Registrant receives dividends from its subsidiaries, such amounts are recorded as a reduction to the investments in the respective subsidiaries.</w:t>
      </w:r>
    </w:p>
    <w:p>
      <w:pPr>
        <w:spacing w:after="0" w:line="88"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89</w:t>
      </w:r>
    </w:p>
    <w:p>
      <w:pPr>
        <w:sectPr>
          <w:pgSz w:w="11900" w:h="16838" w:orient="portrait"/>
          <w:cols w:equalWidth="0" w:num="1">
            <w:col w:w="11420"/>
          </w:cols>
          <w:pgMar w:left="240" w:top="679" w:right="239" w:bottom="1440" w:gutter="0" w:footer="0" w:header="0"/>
        </w:sectPr>
      </w:pPr>
    </w:p>
    <w:bookmarkStart w:id="92" w:name="page93"/>
    <w:bookmarkEnd w:id="92"/>
    <w:p>
      <w:pPr>
        <w:spacing w:after="0"/>
        <w:rPr>
          <w:sz w:val="20"/>
          <w:szCs w:val="20"/>
          <w:color w:val="auto"/>
        </w:rPr>
      </w:pPr>
      <w:r>
        <w:rPr>
          <w:rFonts w:ascii="Arial" w:cs="Arial" w:eastAsia="Arial" w:hAnsi="Arial"/>
          <w:sz w:val="25"/>
          <w:szCs w:val="25"/>
          <w:b w:val="1"/>
          <w:bCs w:val="1"/>
          <w:color w:val="0F7C7F"/>
        </w:rPr>
        <w:t>CONTROLS AND PROCEDURES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MANAGEMENT’S EVALUATION OF DISCLOSURE CONTROLS AND PROCEDURES</w:t>
      </w:r>
    </w:p>
    <w:p>
      <w:pPr>
        <w:spacing w:after="0" w:line="2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Securities Exchange Act of 1934, as amended (the Exchange Act), that are designed to provide reasonable assurance that information required to be disclosed by us in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21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carried out an evaluation of the effectiveness of our disclosure controls and procedures as of the end of the period covered by this Form 10-K pursuant to Rule 13a-15(b) and Rule 15d-15(b) of the Exchange Act. Based on this evaluation, our chief executive officer and our chief financial officer concluded that our disclosure controls and procedures were effective as of December 31, 2019,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828282"/>
        </w:rPr>
        <w:t>MANAGEMENT’S REPORT ON INTERNAL CONTROL OVER FINANCIAL REPORTING</w:t>
      </w:r>
    </w:p>
    <w:p>
      <w:pPr>
        <w:spacing w:after="0" w:line="2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Management concluded that we maintained effective internal control over financial reporting as of December 31, 2019, based on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Rule 13a-15(f) of the Exchange Act) during the quarter ended December 31, 2019, that has materially affected, or is reasonably likely to materially affect, our internal control over financial reporting.</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90</w:t>
      </w:r>
    </w:p>
    <w:p>
      <w:pPr>
        <w:sectPr>
          <w:pgSz w:w="11900" w:h="16838" w:orient="portrait"/>
          <w:cols w:equalWidth="0" w:num="1">
            <w:col w:w="11420"/>
          </w:cols>
          <w:pgMar w:left="240" w:top="649" w:right="239" w:bottom="1440" w:gutter="0" w:footer="0" w:header="0"/>
        </w:sectPr>
      </w:pPr>
    </w:p>
    <w:bookmarkStart w:id="93" w:name="page94"/>
    <w:bookmarkEnd w:id="93"/>
    <w:p>
      <w:pPr>
        <w:spacing w:after="0"/>
        <w:rPr>
          <w:sz w:val="20"/>
          <w:szCs w:val="20"/>
          <w:color w:val="auto"/>
        </w:rPr>
      </w:pPr>
      <w:r>
        <w:rPr>
          <w:rFonts w:ascii="Arial" w:cs="Arial" w:eastAsia="Arial" w:hAnsi="Arial"/>
          <w:sz w:val="25"/>
          <w:szCs w:val="25"/>
          <w:color w:val="828282"/>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audited Molina Healthcare, Inc.’s internal control over financial reporting as of December 31, 2019, based on criteria established in Internal Control-Integrated Framework issued by the Committee of Sponsoring Organizations of the Treadway Commission (2013 framework) (the “COSO criteria”). In our opinion, Molina Healthcare, Inc. (the “Company”) maintained, in all material respects, effective internal control over financial reporting as of December 31, 2019, based on the COSO criteria.</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and the related consolidated statements of operations, comprehensive income (loss), stockholders’ equity and cash flows for each of the three years in the period ended December 31, 2019, and the related notes and our report dated February 14, 2020,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91</w:t>
      </w:r>
    </w:p>
    <w:p>
      <w:pPr>
        <w:sectPr>
          <w:pgSz w:w="11900" w:h="16838" w:orient="portrait"/>
          <w:cols w:equalWidth="0" w:num="1">
            <w:col w:w="11420"/>
          </w:cols>
          <w:pgMar w:left="240" w:top="681" w:right="239" w:bottom="1440" w:gutter="0" w:footer="0" w:header="0"/>
        </w:sectPr>
      </w:pPr>
    </w:p>
    <w:bookmarkStart w:id="94" w:name="page95"/>
    <w:bookmarkEnd w:id="94"/>
    <w:p>
      <w:pPr>
        <w:spacing w:after="0"/>
        <w:rPr>
          <w:sz w:val="20"/>
          <w:szCs w:val="20"/>
          <w:color w:val="auto"/>
        </w:rPr>
      </w:pPr>
      <w:r>
        <w:rPr>
          <w:rFonts w:ascii="Arial" w:cs="Arial" w:eastAsia="Arial" w:hAnsi="Arial"/>
          <w:sz w:val="25"/>
          <w:szCs w:val="25"/>
          <w:color w:val="828282"/>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audited the accompanying consolidated balance sheets of Molina Healthcare, Inc. (the “Company”) as of December 31, 2019 and 2018, the related consolidated statements of operations, comprehensive income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U.S. generally accepted accounting principles.</w:t>
      </w:r>
    </w:p>
    <w:p>
      <w:pPr>
        <w:spacing w:after="0" w:line="20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14, 2020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Valuation of incurred but not paid fee-for-service claims</w:t>
      </w:r>
    </w:p>
    <w:p>
      <w:pPr>
        <w:sectPr>
          <w:pgSz w:w="11900" w:h="16838" w:orient="portrait"/>
          <w:cols w:equalWidth="0" w:num="1">
            <w:col w:w="11420"/>
          </w:cols>
          <w:pgMar w:left="240" w:top="68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hanging="1620"/>
        <w:spacing w:after="0" w:line="251" w:lineRule="auto"/>
        <w:rPr>
          <w:sz w:val="20"/>
          <w:szCs w:val="20"/>
          <w:color w:val="auto"/>
        </w:rPr>
      </w:pPr>
      <w:r>
        <w:rPr>
          <w:rFonts w:ascii="Arial" w:cs="Arial" w:eastAsia="Arial" w:hAnsi="Arial"/>
          <w:sz w:val="18"/>
          <w:szCs w:val="18"/>
          <w:color w:val="auto"/>
        </w:rPr>
        <w:t>As of December 31, 2019, the Company’s liability for fee-for-service claims incurred but not paid (“IBNP”) comprised $1,406 million of the $1,854 million of Medical Claims and Benefits Payable. As discussed in Note 10 to the consolidated financial statements, the Company’s IBNP liability is determined using actuarial methods that include a number of factors and assumptions, including completion factors, which seek to measure the cumulative percentage of claims expense that will have been paid for a given month of service as of the reporting date, based on historical payment patterns, and assumed health care cost trend factors, which represent an estimate of claims expense based on recent claims expense levels and healthcare cost levels. There is a significant uncertainty inherent in determining management’s best estimate of completion and trend factors, w</w:t>
      </w:r>
    </w:p>
    <w:p>
      <w:pPr>
        <w:spacing w:after="0" w:line="200" w:lineRule="exact"/>
        <w:rPr>
          <w:sz w:val="20"/>
          <w:szCs w:val="20"/>
          <w:color w:val="auto"/>
        </w:rPr>
      </w:pPr>
    </w:p>
    <w:p>
      <w:pPr>
        <w:sectPr>
          <w:pgSz w:w="11900" w:h="16838" w:orient="portrait"/>
          <w:cols w:equalWidth="0" w:num="2">
            <w:col w:w="4800" w:space="720"/>
            <w:col w:w="5900"/>
          </w:cols>
          <w:pgMar w:left="240" w:top="681" w:right="239" w:bottom="1440" w:gutter="0" w:footer="0" w:header="0"/>
          <w:type w:val="continuous"/>
        </w:sectPr>
      </w:pPr>
    </w:p>
    <w:p>
      <w:pPr>
        <w:spacing w:after="0" w:line="11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92</w:t>
      </w:r>
    </w:p>
    <w:p>
      <w:pPr>
        <w:sectPr>
          <w:pgSz w:w="11900" w:h="16838" w:orient="portrait"/>
          <w:cols w:equalWidth="0" w:num="1">
            <w:col w:w="11420"/>
          </w:cols>
          <w:pgMar w:left="240" w:top="681" w:right="239" w:bottom="1440" w:gutter="0" w:footer="0" w:header="0"/>
          <w:type w:val="continuous"/>
        </w:sectPr>
      </w:pPr>
    </w:p>
    <w:bookmarkStart w:id="95" w:name="page96"/>
    <w:bookmarkEnd w:id="95"/>
    <w:p>
      <w:pPr>
        <w:ind w:left="3900"/>
        <w:spacing w:after="0"/>
        <w:rPr>
          <w:sz w:val="20"/>
          <w:szCs w:val="20"/>
          <w:color w:val="auto"/>
        </w:rPr>
      </w:pPr>
      <w:r>
        <w:rPr>
          <w:rFonts w:ascii="Arial" w:cs="Arial" w:eastAsia="Arial" w:hAnsi="Arial"/>
          <w:sz w:val="18"/>
          <w:szCs w:val="18"/>
          <w:color w:val="auto"/>
        </w:rPr>
        <w:t>hich are used to calculate actuarial estimates of incurred but not paid claims.</w:t>
      </w:r>
    </w:p>
    <w:p>
      <w:pPr>
        <w:spacing w:after="0" w:line="117" w:lineRule="exact"/>
        <w:rPr>
          <w:sz w:val="20"/>
          <w:szCs w:val="20"/>
          <w:color w:val="auto"/>
        </w:rPr>
      </w:pPr>
    </w:p>
    <w:p>
      <w:pPr>
        <w:ind w:left="3900" w:right="60" w:firstLine="2269"/>
        <w:spacing w:after="0" w:line="254" w:lineRule="auto"/>
        <w:rPr>
          <w:sz w:val="20"/>
          <w:szCs w:val="20"/>
          <w:color w:val="auto"/>
        </w:rPr>
      </w:pPr>
      <w:r>
        <w:rPr>
          <w:rFonts w:ascii="Arial" w:cs="Arial" w:eastAsia="Arial" w:hAnsi="Arial"/>
          <w:sz w:val="18"/>
          <w:szCs w:val="18"/>
          <w:color w:val="auto"/>
        </w:rPr>
        <w:t>Auditing management’s best estimate of the IBNP liability was complex and required the involvement of our actuarial specialists due to the highly judgmental nature of completion and trend factor assumptions used in the valuation process. These assumptions have a significant effect on the valuation of the IBNP liability.</w:t>
      </w:r>
    </w:p>
    <w:p>
      <w:pPr>
        <w:spacing w:after="0" w:line="294" w:lineRule="exact"/>
        <w:rPr>
          <w:sz w:val="20"/>
          <w:szCs w:val="20"/>
          <w:color w:val="auto"/>
        </w:rPr>
      </w:pPr>
    </w:p>
    <w:p>
      <w:pPr>
        <w:ind w:left="3900" w:right="180" w:hanging="3889"/>
        <w:spacing w:after="0" w:line="253" w:lineRule="auto"/>
        <w:tabs>
          <w:tab w:leader="none" w:pos="3880" w:val="left"/>
        </w:tabs>
        <w:rPr>
          <w:sz w:val="20"/>
          <w:szCs w:val="20"/>
          <w:color w:val="auto"/>
        </w:rPr>
      </w:pPr>
      <w:r>
        <w:rPr>
          <w:rFonts w:ascii="Arial" w:cs="Arial" w:eastAsia="Arial" w:hAnsi="Arial"/>
          <w:sz w:val="18"/>
          <w:szCs w:val="18"/>
          <w:i w:val="1"/>
          <w:iCs w:val="1"/>
          <w:color w:val="auto"/>
        </w:rPr>
        <w:t>How We Addressed the Matter in Our Audit</w:t>
      </w:r>
      <w:r>
        <w:rPr>
          <w:sz w:val="20"/>
          <w:szCs w:val="20"/>
          <w:color w:val="auto"/>
        </w:rPr>
        <w:tab/>
      </w:r>
      <w:r>
        <w:rPr>
          <w:rFonts w:ascii="Arial" w:cs="Arial" w:eastAsia="Arial" w:hAnsi="Arial"/>
          <w:sz w:val="18"/>
          <w:szCs w:val="18"/>
          <w:color w:val="auto"/>
        </w:rPr>
        <w:t>We obtained an understanding, evaluated the design, and tested the operating effectiveness of the Company’s controls over the process for estimating the IBNP liability. This included testing management review controls over completion and trend factor assumptions, and management’s review and approval of actuarial methods used to calculate IBNP liability, including the data inputs and outputs of those models.</w:t>
      </w:r>
    </w:p>
    <w:p>
      <w:pPr>
        <w:spacing w:after="0" w:line="224" w:lineRule="exact"/>
        <w:rPr>
          <w:sz w:val="20"/>
          <w:szCs w:val="20"/>
          <w:color w:val="auto"/>
        </w:rPr>
      </w:pPr>
    </w:p>
    <w:p>
      <w:pPr>
        <w:ind w:left="3900" w:right="20"/>
        <w:spacing w:after="0" w:line="251" w:lineRule="auto"/>
        <w:rPr>
          <w:sz w:val="20"/>
          <w:szCs w:val="20"/>
          <w:color w:val="auto"/>
        </w:rPr>
      </w:pPr>
      <w:r>
        <w:rPr>
          <w:rFonts w:ascii="Arial" w:cs="Arial" w:eastAsia="Arial" w:hAnsi="Arial"/>
          <w:sz w:val="18"/>
          <w:szCs w:val="18"/>
          <w:color w:val="auto"/>
        </w:rPr>
        <w:t>To test IBNP liability,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 With the assistance of EY actuarial specialists, we evaluated the Company’s selection and weighting of actuarial methods by comparing the weightings used in the current estimate to those used in prior periods and those used in the industry for the specific types of insurance. To evaluate significant assumptions used by management in the actuarial methods, we compared assumptions to current and historical claims trends, to those used historically and to current industry benchmarks. We also compared management’s recorded IBNP liability to a range of reasonable IBNP estimates calculated independently by our EY actuarial specialists. Additionally, we performed a review of the prior period estimates using subsequent claims development, and we reviewed and evaluated management’s disclosures surrounding fee-for-service claims IBNP.</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93</w:t>
      </w:r>
    </w:p>
    <w:p>
      <w:pPr>
        <w:sectPr>
          <w:pgSz w:w="11900" w:h="16838" w:orient="portrait"/>
          <w:cols w:equalWidth="0" w:num="1">
            <w:col w:w="11420"/>
          </w:cols>
          <w:pgMar w:left="240" w:top="679" w:right="239" w:bottom="1440" w:gutter="0" w:footer="0" w:header="0"/>
        </w:sectPr>
      </w:pPr>
    </w:p>
    <w:bookmarkStart w:id="96" w:name="page97"/>
    <w:bookmarkEnd w:id="96"/>
    <w:p>
      <w:pPr>
        <w:spacing w:after="0"/>
        <w:rPr>
          <w:sz w:val="20"/>
          <w:szCs w:val="20"/>
          <w:color w:val="auto"/>
        </w:rPr>
      </w:pPr>
      <w:r>
        <w:rPr>
          <w:rFonts w:ascii="Arial" w:cs="Arial" w:eastAsia="Arial" w:hAnsi="Arial"/>
          <w:sz w:val="25"/>
          <w:szCs w:val="25"/>
          <w:b w:val="1"/>
          <w:bCs w:val="1"/>
          <w:color w:val="0F7C7F"/>
        </w:rPr>
        <w:t>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DIRECTORS, EXECUTIVE OFFICERS, AND CORPORATE GOVERNANCE</w:t>
      </w:r>
    </w:p>
    <w:p>
      <w:pPr>
        <w:spacing w:after="0" w:line="25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Information required by Item 10 of Part III will be included in our Proxy Statement relating to our 2020 Annual Meeting of Stockholders, and is incorporated herein by reference. This information is included in the following sections of the Proxy Statement:</w:t>
      </w:r>
    </w:p>
    <w:p>
      <w:pPr>
        <w:spacing w:after="0" w:line="8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About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About Directors Continuing in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Information About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Corporate Governance and Board of Directors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About the Executive Officers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Information relating to our Code of Business Conduct and Ethics and compliance with Section 16(a) of the 1934 Act is set forth in our Proxy Statement relating to our 2020 Annual Meeting of Stockholders and is incorporated herein by reference. To the extent permissible under NYSE rules, we intend to disclose amendments to our Code of Business Conduct and Ethics, as well as waivers of the provisions thereof, on our investor relations website under the heading “Investor Information—Corporate Governance” at molinahealthcare.com.</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EXECUTIVE COMPENSATION</w:t>
      </w:r>
    </w:p>
    <w:p>
      <w:pPr>
        <w:spacing w:after="0" w:line="22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Information required by Item 11 of Part III will be included in our Proxy Statement relating to our 2020 Annual Meeting of Stockholders in the section entitled “Executive Compensation,” and is incorporated herein by reference.</w:t>
      </w:r>
    </w:p>
    <w:p>
      <w:pPr>
        <w:spacing w:after="0" w:line="140" w:lineRule="exact"/>
        <w:rPr>
          <w:sz w:val="20"/>
          <w:szCs w:val="20"/>
          <w:color w:val="auto"/>
        </w:rPr>
      </w:pPr>
    </w:p>
    <w:p>
      <w:pPr>
        <w:ind w:right="1000"/>
        <w:spacing w:after="0" w:line="288" w:lineRule="auto"/>
        <w:rPr>
          <w:sz w:val="20"/>
          <w:szCs w:val="20"/>
          <w:color w:val="auto"/>
        </w:rPr>
      </w:pPr>
      <w:r>
        <w:rPr>
          <w:rFonts w:ascii="Arial" w:cs="Arial" w:eastAsia="Arial" w:hAnsi="Arial"/>
          <w:sz w:val="25"/>
          <w:szCs w:val="25"/>
          <w:b w:val="1"/>
          <w:bCs w:val="1"/>
          <w:color w:val="0F7C7F"/>
        </w:rPr>
        <w:t>SECURITY OWNERSHIP OF CERTAIN BENEFICIAL OWNERS AND MANAGEMENT AND RELATED SHAREHOLDER MATTERS</w:t>
      </w:r>
    </w:p>
    <w:p>
      <w:pPr>
        <w:spacing w:after="0" w:line="123"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Information required by Item 12 of Part III will be included in our Proxy Statement relating to our 2020 Annual Meeting of Stockholders in the section entitled “Security Ownership of Certain Beneficial Owners and Management,”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CERTAIN RELATIONSHIPS AND RELATED TRANSACTIONS, AND DIRECTOR INDEPENDENCE</w:t>
      </w:r>
    </w:p>
    <w:p>
      <w:pPr>
        <w:spacing w:after="0" w:line="22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Information required by Item 13 of Part III will be included in our Proxy Statement relating to our 2020 Annual Meeting of Stockholders in the sections entitled “Related Party Transactions,” and “Corporate Governance and Board of Directors Matters—Director Independence,” and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PRINCIPAL ACCOUNTANT FEES AND SERVICES</w:t>
      </w:r>
    </w:p>
    <w:p>
      <w:pPr>
        <w:spacing w:after="0" w:line="22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Information required by Item 14 of Part III will be included in our Proxy Statement relating to our 2020 Annual Meeting of Stockholders in the section entitled “Fees Paid to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94</w:t>
      </w:r>
    </w:p>
    <w:p>
      <w:pPr>
        <w:sectPr>
          <w:pgSz w:w="11900" w:h="16838" w:orient="portrait"/>
          <w:cols w:equalWidth="0" w:num="1">
            <w:col w:w="11420"/>
          </w:cols>
          <w:pgMar w:left="240" w:top="649" w:right="239" w:bottom="1440" w:gutter="0" w:footer="0" w:header="0"/>
        </w:sectPr>
      </w:pPr>
    </w:p>
    <w:bookmarkStart w:id="97" w:name="page98"/>
    <w:bookmarkEnd w:id="97"/>
    <w:p>
      <w:pPr>
        <w:spacing w:after="0"/>
        <w:rPr>
          <w:sz w:val="20"/>
          <w:szCs w:val="20"/>
          <w:color w:val="auto"/>
        </w:rPr>
      </w:pPr>
      <w:r>
        <w:rPr>
          <w:rFonts w:ascii="Arial" w:cs="Arial" w:eastAsia="Arial" w:hAnsi="Arial"/>
          <w:sz w:val="25"/>
          <w:szCs w:val="25"/>
          <w:b w:val="1"/>
          <w:bCs w:val="1"/>
          <w:color w:val="0F7C7F"/>
        </w:rPr>
        <w:t>EXHIBITS AND FINANCIAL STATEMENT SCHEDULES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828282"/>
        </w:rPr>
        <w:t>FINANCIAL STATEMENTS AND SUPPLEMENTARY DATA</w:t>
      </w:r>
    </w:p>
    <w:p>
      <w:pPr>
        <w:spacing w:after="0" w:line="250" w:lineRule="exact"/>
        <w:rPr>
          <w:sz w:val="20"/>
          <w:szCs w:val="20"/>
          <w:color w:val="auto"/>
        </w:rPr>
      </w:pPr>
    </w:p>
    <w:p>
      <w:pPr>
        <w:ind w:left="880" w:right="320" w:hanging="467"/>
        <w:spacing w:after="0" w:line="262"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consolidated financial statements are included in this report in the section entitled “Financial Statements and Supplementary Data.”</w:t>
      </w:r>
    </w:p>
    <w:p>
      <w:pPr>
        <w:spacing w:after="0" w:line="223" w:lineRule="exact"/>
        <w:rPr>
          <w:rFonts w:ascii="Arial" w:cs="Arial" w:eastAsia="Arial" w:hAnsi="Arial"/>
          <w:sz w:val="18"/>
          <w:szCs w:val="18"/>
          <w:color w:val="auto"/>
        </w:rPr>
      </w:pPr>
    </w:p>
    <w:p>
      <w:pPr>
        <w:ind w:left="880" w:hanging="46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98" w:lineRule="exact"/>
        <w:rPr>
          <w:sz w:val="20"/>
          <w:szCs w:val="20"/>
          <w:color w:val="auto"/>
        </w:rPr>
      </w:pPr>
    </w:p>
    <w:p>
      <w:pPr>
        <w:ind w:left="900" w:right="340"/>
        <w:spacing w:after="0" w:line="256" w:lineRule="auto"/>
        <w:rPr>
          <w:sz w:val="20"/>
          <w:szCs w:val="20"/>
          <w:color w:val="auto"/>
        </w:rPr>
      </w:pPr>
      <w:r>
        <w:rPr>
          <w:rFonts w:ascii="Arial" w:cs="Arial" w:eastAsia="Arial" w:hAnsi="Arial"/>
          <w:sz w:val="18"/>
          <w:szCs w:val="18"/>
          <w:color w:val="auto"/>
        </w:rPr>
        <w:t>Schedules for which provision is made in the applicable accounting regulations of the SEC are not required under the related instructions, are inapplicable, or the required information is included in the consolidated financial statements, and therefore have been omitted.</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828282"/>
        </w:rPr>
        <w:t>EXHIBITS</w:t>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95</w:t>
      </w:r>
    </w:p>
    <w:p>
      <w:pPr>
        <w:sectPr>
          <w:pgSz w:w="11900" w:h="16838" w:orient="portrait"/>
          <w:cols w:equalWidth="0" w:num="1">
            <w:col w:w="11420"/>
          </w:cols>
          <w:pgMar w:left="240" w:top="649" w:right="239" w:bottom="1440" w:gutter="0" w:footer="0" w:header="0"/>
        </w:sectPr>
      </w:pPr>
    </w:p>
    <w:bookmarkStart w:id="98" w:name="page99"/>
    <w:bookmarkEnd w:id="98"/>
    <w:p>
      <w:pPr>
        <w:spacing w:after="0"/>
        <w:rPr>
          <w:sz w:val="20"/>
          <w:szCs w:val="20"/>
          <w:color w:val="auto"/>
        </w:rPr>
      </w:pPr>
      <w:r>
        <w:rPr>
          <w:rFonts w:ascii="Arial" w:cs="Arial" w:eastAsia="Arial" w:hAnsi="Arial"/>
          <w:sz w:val="25"/>
          <w:szCs w:val="25"/>
          <w:b w:val="1"/>
          <w:bCs w:val="1"/>
          <w:color w:val="0F7C7F"/>
        </w:rPr>
        <w:t>SIGNATURES</w:t>
      </w:r>
    </w:p>
    <w:p>
      <w:pPr>
        <w:spacing w:after="0" w:line="28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undersigned registrant has duly caused this report to be signed on its behalf by the undersigned, thereunto duly authorized, on the 14th day of February, 2020.</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MOLINA HEALTHCARE, INC.</w:t>
      </w:r>
    </w:p>
    <w:p>
      <w:pPr>
        <w:spacing w:after="0" w:line="198" w:lineRule="exact"/>
        <w:rPr>
          <w:sz w:val="20"/>
          <w:szCs w:val="20"/>
          <w:color w:val="auto"/>
        </w:rPr>
      </w:pPr>
    </w:p>
    <w:p>
      <w:pPr>
        <w:ind w:left="482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23495</wp:posOffset>
            </wp:positionV>
            <wp:extent cx="3910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Chief Executive Officer</w:t>
      </w:r>
    </w:p>
    <w:p>
      <w:pPr>
        <w:spacing w:after="0" w:line="1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(Principal Executive Officer)</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as indicated, as of February 14, 2020.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7"/>
                <w:szCs w:val="17"/>
                <w:color w:val="auto"/>
              </w:rPr>
            </w:pPr>
          </w:p>
        </w:tc>
        <w:tc>
          <w:tcPr>
            <w:tcW w:w="7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54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Joseph M. Zubretsky</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9"/>
              </w:rPr>
              <w:t>Chief Executive Officer, President and Director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Joseph M. Zubretsky</w:t>
            </w:r>
          </w:p>
        </w:tc>
        <w:tc>
          <w:tcPr>
            <w:tcW w:w="120" w:type="dxa"/>
            <w:vAlign w:val="bottom"/>
          </w:tcPr>
          <w:p>
            <w:pPr>
              <w:spacing w:after="0"/>
              <w:rPr>
                <w:sz w:val="21"/>
                <w:szCs w:val="21"/>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L. Tran</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Thomas L. Tran</w:t>
            </w:r>
          </w:p>
        </w:tc>
        <w:tc>
          <w:tcPr>
            <w:tcW w:w="120" w:type="dxa"/>
            <w:vAlign w:val="bottom"/>
          </w:tcPr>
          <w:p>
            <w:pPr>
              <w:spacing w:after="0"/>
              <w:rPr>
                <w:sz w:val="21"/>
                <w:szCs w:val="21"/>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Maurice S. Hebert</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Maurice S. Hebert</w:t>
            </w:r>
          </w:p>
        </w:tc>
        <w:tc>
          <w:tcPr>
            <w:tcW w:w="120" w:type="dxa"/>
            <w:vAlign w:val="bottom"/>
          </w:tcPr>
          <w:p>
            <w:pPr>
              <w:spacing w:after="0"/>
              <w:rPr>
                <w:sz w:val="21"/>
                <w:szCs w:val="21"/>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Garrey E. Carruthers</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Garrey E. Carruthers, Ph.D.</w:t>
            </w:r>
          </w:p>
        </w:tc>
        <w:tc>
          <w:tcPr>
            <w:tcW w:w="120" w:type="dxa"/>
            <w:vAlign w:val="bottom"/>
          </w:tcPr>
          <w:p>
            <w:pPr>
              <w:spacing w:after="0"/>
              <w:rPr>
                <w:sz w:val="21"/>
                <w:szCs w:val="21"/>
                <w:color w:val="auto"/>
              </w:rPr>
            </w:pPr>
          </w:p>
        </w:tc>
        <w:tc>
          <w:tcPr>
            <w:tcW w:w="7180" w:type="dxa"/>
            <w:vAlign w:val="bottom"/>
          </w:tcPr>
          <w:p>
            <w:pPr>
              <w:spacing w:after="0"/>
              <w:rPr>
                <w:sz w:val="21"/>
                <w:szCs w:val="21"/>
                <w:color w:val="auto"/>
              </w:rPr>
            </w:pP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Daniel Cooperman</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Daniel Cooperman</w:t>
            </w:r>
          </w:p>
        </w:tc>
        <w:tc>
          <w:tcPr>
            <w:tcW w:w="120" w:type="dxa"/>
            <w:vAlign w:val="bottom"/>
          </w:tcPr>
          <w:p>
            <w:pPr>
              <w:spacing w:after="0"/>
              <w:rPr>
                <w:sz w:val="21"/>
                <w:szCs w:val="21"/>
                <w:color w:val="auto"/>
              </w:rPr>
            </w:pPr>
          </w:p>
        </w:tc>
        <w:tc>
          <w:tcPr>
            <w:tcW w:w="7180" w:type="dxa"/>
            <w:vAlign w:val="bottom"/>
          </w:tcPr>
          <w:p>
            <w:pPr>
              <w:spacing w:after="0"/>
              <w:rPr>
                <w:sz w:val="21"/>
                <w:szCs w:val="21"/>
                <w:color w:val="auto"/>
              </w:rPr>
            </w:pP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Barbara L. Brasier</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Barbara L. Brasier</w:t>
            </w:r>
          </w:p>
        </w:tc>
        <w:tc>
          <w:tcPr>
            <w:tcW w:w="120" w:type="dxa"/>
            <w:vAlign w:val="bottom"/>
          </w:tcPr>
          <w:p>
            <w:pPr>
              <w:spacing w:after="0"/>
              <w:rPr>
                <w:sz w:val="21"/>
                <w:szCs w:val="21"/>
                <w:color w:val="auto"/>
              </w:rPr>
            </w:pPr>
          </w:p>
        </w:tc>
        <w:tc>
          <w:tcPr>
            <w:tcW w:w="7180" w:type="dxa"/>
            <w:vAlign w:val="bottom"/>
          </w:tcPr>
          <w:p>
            <w:pPr>
              <w:spacing w:after="0"/>
              <w:rPr>
                <w:sz w:val="21"/>
                <w:szCs w:val="21"/>
                <w:color w:val="auto"/>
              </w:rPr>
            </w:pP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J. Orlando</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Steven J. Orlando</w:t>
            </w:r>
          </w:p>
        </w:tc>
        <w:tc>
          <w:tcPr>
            <w:tcW w:w="120" w:type="dxa"/>
            <w:vAlign w:val="bottom"/>
          </w:tcPr>
          <w:p>
            <w:pPr>
              <w:spacing w:after="0"/>
              <w:rPr>
                <w:sz w:val="21"/>
                <w:szCs w:val="21"/>
                <w:color w:val="auto"/>
              </w:rPr>
            </w:pPr>
          </w:p>
        </w:tc>
        <w:tc>
          <w:tcPr>
            <w:tcW w:w="7180" w:type="dxa"/>
            <w:vAlign w:val="bottom"/>
          </w:tcPr>
          <w:p>
            <w:pPr>
              <w:spacing w:after="0"/>
              <w:rPr>
                <w:sz w:val="21"/>
                <w:szCs w:val="21"/>
                <w:color w:val="auto"/>
              </w:rPr>
            </w:pPr>
          </w:p>
        </w:tc>
      </w:tr>
      <w:tr>
        <w:trPr>
          <w:trHeight w:val="561"/>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Ronna E. Romney</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Ronna E. Romney</w:t>
            </w:r>
          </w:p>
        </w:tc>
        <w:tc>
          <w:tcPr>
            <w:tcW w:w="120" w:type="dxa"/>
            <w:vAlign w:val="bottom"/>
          </w:tcPr>
          <w:p>
            <w:pPr>
              <w:spacing w:after="0"/>
              <w:rPr>
                <w:sz w:val="21"/>
                <w:szCs w:val="21"/>
                <w:color w:val="auto"/>
              </w:rPr>
            </w:pPr>
          </w:p>
        </w:tc>
        <w:tc>
          <w:tcPr>
            <w:tcW w:w="7180" w:type="dxa"/>
            <w:vAlign w:val="bottom"/>
          </w:tcPr>
          <w:p>
            <w:pPr>
              <w:spacing w:after="0"/>
              <w:rPr>
                <w:sz w:val="21"/>
                <w:szCs w:val="21"/>
                <w:color w:val="auto"/>
              </w:rPr>
            </w:pPr>
          </w:p>
        </w:tc>
      </w:tr>
      <w:tr>
        <w:trPr>
          <w:trHeight w:val="554"/>
        </w:trPr>
        <w:tc>
          <w:tcPr>
            <w:tcW w:w="4120" w:type="dxa"/>
            <w:vAlign w:val="bottom"/>
          </w:tcPr>
          <w:p>
            <w:pPr>
              <w:ind w:left="40"/>
              <w:spacing w:after="0"/>
              <w:rPr>
                <w:sz w:val="20"/>
                <w:szCs w:val="20"/>
                <w:color w:val="auto"/>
              </w:rPr>
            </w:pPr>
            <w:r>
              <w:rPr>
                <w:rFonts w:ascii="Arial" w:cs="Arial" w:eastAsia="Arial" w:hAnsi="Arial"/>
                <w:sz w:val="18"/>
                <w:szCs w:val="18"/>
                <w:color w:val="auto"/>
              </w:rPr>
              <w:t>/s/ Richard M. Schapiro</w:t>
            </w:r>
          </w:p>
        </w:tc>
        <w:tc>
          <w:tcPr>
            <w:tcW w:w="12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8"/>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6155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Richard M. Schapiro</w:t>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Dale B.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Dale B. Wolf</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C. 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155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Richard C. Zoretic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448" w:lineRule="exact"/>
        <w:rPr>
          <w:sz w:val="20"/>
          <w:szCs w:val="20"/>
          <w:color w:val="auto"/>
        </w:rPr>
      </w:pPr>
    </w:p>
    <w:p>
      <w:pPr>
        <w:sectPr>
          <w:pgSz w:w="11900" w:h="16838" w:orient="portrait"/>
          <w:cols w:equalWidth="0" w:num="2">
            <w:col w:w="6200" w:space="720"/>
            <w:col w:w="4500"/>
          </w:cols>
          <w:pgMar w:left="240" w:top="649" w:right="2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96</w:t>
      </w:r>
    </w:p>
    <w:p>
      <w:pPr>
        <w:sectPr>
          <w:pgSz w:w="11900" w:h="16838" w:orient="portrait"/>
          <w:cols w:equalWidth="0" w:num="1">
            <w:col w:w="11420"/>
          </w:cols>
          <w:pgMar w:left="240" w:top="649"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25"/>
          <w:szCs w:val="25"/>
          <w:b w:val="1"/>
          <w:bCs w:val="1"/>
          <w:color w:val="0F7C7F"/>
        </w:rPr>
        <w:t>INDEX TO EXHIBITS</w:t>
      </w:r>
    </w:p>
    <w:p>
      <w:pPr>
        <w:spacing w:after="0" w:line="25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exhibits, which are furnished with this Annual Report on Form 10-K (this “Form 10-K”) or incorporated herein by reference, are filed as part of this annual report.</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ectPr>
          <w:pgSz w:w="11900" w:h="16838" w:orient="portrait"/>
          <w:cols w:equalWidth="0" w:num="1">
            <w:col w:w="11420"/>
          </w:cols>
          <w:pgMar w:left="240" w:top="649" w:right="239" w:bottom="1440" w:gutter="0" w:footer="0" w:header="0"/>
        </w:sect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auto"/>
              </w:rPr>
              <w:t>Number</w:t>
            </w:r>
          </w:p>
        </w:tc>
        <w:tc>
          <w:tcPr>
            <w:tcW w:w="5700" w:type="dxa"/>
            <w:vAlign w:val="bottom"/>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183"/>
        </w:trPr>
        <w:tc>
          <w:tcPr>
            <w:tcW w:w="260" w:type="dxa"/>
            <w:vAlign w:val="bottom"/>
            <w:gridSpan w:val="2"/>
          </w:tcPr>
          <w:p>
            <w:pPr>
              <w:ind w:left="40"/>
              <w:spacing w:after="0" w:line="183" w:lineRule="exact"/>
              <w:rPr>
                <w:rFonts w:ascii="Arial" w:cs="Arial" w:eastAsia="Arial" w:hAnsi="Arial"/>
                <w:sz w:val="16"/>
                <w:szCs w:val="16"/>
                <w:color w:val="0000FF"/>
                <w:w w:val="89"/>
              </w:rPr>
            </w:pPr>
            <w:hyperlink r:id="rId48">
              <w:r>
                <w:rPr>
                  <w:rFonts w:ascii="Arial" w:cs="Arial" w:eastAsia="Arial" w:hAnsi="Arial"/>
                  <w:sz w:val="16"/>
                  <w:szCs w:val="16"/>
                  <w:color w:val="0000FF"/>
                  <w:w w:val="89"/>
                </w:rPr>
                <w:t>2.</w:t>
              </w:r>
              <w:r>
                <w:rPr>
                  <w:rFonts w:ascii="Arial" w:cs="Arial" w:eastAsia="Arial" w:hAnsi="Arial"/>
                  <w:sz w:val="16"/>
                  <w:szCs w:val="16"/>
                  <w:u w:val="single" w:color="auto"/>
                  <w:color w:val="0000FF"/>
                  <w:w w:val="89"/>
                </w:rPr>
                <w:t>1</w:t>
              </w:r>
            </w:hyperlink>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tcPr>
          <w:p>
            <w:pPr>
              <w:ind w:left="40"/>
              <w:spacing w:after="0" w:line="183" w:lineRule="exact"/>
              <w:rPr>
                <w:sz w:val="20"/>
                <w:szCs w:val="20"/>
                <w:color w:val="auto"/>
              </w:rPr>
            </w:pPr>
            <w:r>
              <w:rPr>
                <w:rFonts w:ascii="Arial" w:cs="Arial" w:eastAsia="Arial" w:hAnsi="Arial"/>
                <w:sz w:val="16"/>
                <w:szCs w:val="16"/>
                <w:color w:val="auto"/>
              </w:rPr>
              <w:t>Purchase and Sale Agreement, dated as of June 26, 2018, by and between</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Healthcare, Inc. and DXC Technology Company**</w:t>
            </w:r>
          </w:p>
        </w:tc>
      </w:tr>
      <w:tr>
        <w:trPr>
          <w:trHeight w:val="398"/>
        </w:trPr>
        <w:tc>
          <w:tcPr>
            <w:tcW w:w="260" w:type="dxa"/>
            <w:vAlign w:val="bottom"/>
            <w:gridSpan w:val="2"/>
          </w:tcPr>
          <w:p>
            <w:pPr>
              <w:ind w:left="40"/>
              <w:spacing w:after="0"/>
              <w:rPr>
                <w:rFonts w:ascii="Arial" w:cs="Arial" w:eastAsia="Arial" w:hAnsi="Arial"/>
                <w:sz w:val="16"/>
                <w:szCs w:val="16"/>
                <w:color w:val="0000FF"/>
                <w:w w:val="89"/>
              </w:rPr>
            </w:pPr>
            <w:hyperlink r:id="rId49">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Certificate of Incorporation</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50">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Certificate of Amendment to Certificate of Incorporation</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66"/>
        </w:trPr>
        <w:tc>
          <w:tcPr>
            <w:tcW w:w="260" w:type="dxa"/>
            <w:vAlign w:val="bottom"/>
            <w:gridSpan w:val="2"/>
          </w:tcPr>
          <w:p>
            <w:pPr>
              <w:ind w:left="40"/>
              <w:spacing w:after="0"/>
              <w:rPr>
                <w:rFonts w:ascii="Arial" w:cs="Arial" w:eastAsia="Arial" w:hAnsi="Arial"/>
                <w:sz w:val="16"/>
                <w:szCs w:val="16"/>
                <w:color w:val="0000FF"/>
                <w:w w:val="89"/>
              </w:rPr>
            </w:pPr>
            <w:hyperlink r:id="rId5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Certificate of Amendment to Certificate of Incorporation</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5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4</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Sixth Amended and Restated Bylaws of Molina Healthcare, Inc.</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5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Indenture dated November 10, 2015, by and among Molina Healthcare, Inc.,</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the guarantor parties thereto and U.S. Bank National Association, as Trustee</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5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2</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5.375% Senior Notes due 2022</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12"/>
        </w:trPr>
        <w:tc>
          <w:tcPr>
            <w:tcW w:w="260" w:type="dxa"/>
            <w:vAlign w:val="bottom"/>
            <w:gridSpan w:val="2"/>
          </w:tcPr>
          <w:p>
            <w:pPr>
              <w:ind w:left="40"/>
              <w:spacing w:after="0"/>
              <w:rPr>
                <w:rFonts w:ascii="Arial" w:cs="Arial" w:eastAsia="Arial" w:hAnsi="Arial"/>
                <w:sz w:val="16"/>
                <w:szCs w:val="16"/>
                <w:color w:val="0000FF"/>
                <w:w w:val="89"/>
              </w:rPr>
            </w:pPr>
            <w:hyperlink r:id="rId53">
              <w:r>
                <w:rPr>
                  <w:rFonts w:ascii="Arial" w:cs="Arial" w:eastAsia="Arial" w:hAnsi="Arial"/>
                  <w:sz w:val="16"/>
                  <w:szCs w:val="16"/>
                  <w:color w:val="0000FF"/>
                  <w:w w:val="89"/>
                </w:rPr>
                <w:t>4.</w:t>
              </w:r>
              <w:r>
                <w:rPr>
                  <w:rFonts w:ascii="Arial" w:cs="Arial" w:eastAsia="Arial" w:hAnsi="Arial"/>
                  <w:sz w:val="16"/>
                  <w:szCs w:val="16"/>
                  <w:u w:val="single" w:color="auto"/>
                  <w:color w:val="0000FF"/>
                  <w:w w:val="89"/>
                </w:rPr>
                <w:t>3</w:t>
              </w:r>
            </w:hyperlink>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Guarantee pursuant to Indenture, dated as of November 10, 2015, by</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and among Molina Healthcare, Inc., the guarantors party thereto and U.S.</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Bank National Association, as Trustee</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54">
              <w:r>
                <w:rPr>
                  <w:rFonts w:ascii="Arial" w:cs="Arial" w:eastAsia="Arial" w:hAnsi="Arial"/>
                  <w:sz w:val="16"/>
                  <w:szCs w:val="16"/>
                  <w:color w:val="0000FF"/>
                  <w:w w:val="89"/>
                </w:rPr>
                <w:t>4.</w:t>
              </w:r>
              <w:r>
                <w:rPr>
                  <w:rFonts w:ascii="Arial" w:cs="Arial" w:eastAsia="Arial" w:hAnsi="Arial"/>
                  <w:sz w:val="16"/>
                  <w:szCs w:val="16"/>
                  <w:u w:val="single" w:color="auto"/>
                  <w:color w:val="0000FF"/>
                  <w:w w:val="89"/>
                </w:rPr>
                <w:t>4</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First Supplemental Indenture, dated as of February 16, 2016, by and among</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Molina Healthcare, Inc., the guarantors party thereto and U.S. Bank National</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Association, as Trustee</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55">
              <w:r>
                <w:rPr>
                  <w:rFonts w:ascii="Arial" w:cs="Arial" w:eastAsia="Arial" w:hAnsi="Arial"/>
                  <w:sz w:val="16"/>
                  <w:szCs w:val="16"/>
                  <w:color w:val="0000FF"/>
                  <w:w w:val="89"/>
                </w:rPr>
                <w:t>4.</w:t>
              </w:r>
              <w:r>
                <w:rPr>
                  <w:rFonts w:ascii="Arial" w:cs="Arial" w:eastAsia="Arial" w:hAnsi="Arial"/>
                  <w:sz w:val="16"/>
                  <w:szCs w:val="16"/>
                  <w:u w:val="single" w:color="auto"/>
                  <w:color w:val="0000FF"/>
                  <w:w w:val="89"/>
                </w:rPr>
                <w:t>5</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Indenture, dated June 6, 2017, by and among Molina Healthcare, Inc., the</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Guarantors party thereto and U.S. Bank National Association, as Trustee</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55">
              <w:r>
                <w:rPr>
                  <w:rFonts w:ascii="Arial" w:cs="Arial" w:eastAsia="Arial" w:hAnsi="Arial"/>
                  <w:sz w:val="16"/>
                  <w:szCs w:val="16"/>
                  <w:color w:val="0000FF"/>
                  <w:w w:val="89"/>
                </w:rPr>
                <w:t>4.</w:t>
              </w:r>
              <w:r>
                <w:rPr>
                  <w:rFonts w:ascii="Arial" w:cs="Arial" w:eastAsia="Arial" w:hAnsi="Arial"/>
                  <w:sz w:val="16"/>
                  <w:szCs w:val="16"/>
                  <w:u w:val="single" w:color="auto"/>
                  <w:color w:val="0000FF"/>
                  <w:w w:val="89"/>
                </w:rPr>
                <w:t>6</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4.875% Senior Notes (included in Exhibit 4.1 to registrant’s Form 8-K</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filed June 6, 2017).</w:t>
            </w:r>
          </w:p>
        </w:tc>
      </w:tr>
      <w:tr>
        <w:trPr>
          <w:trHeight w:val="209"/>
        </w:trPr>
        <w:tc>
          <w:tcPr>
            <w:tcW w:w="260" w:type="dxa"/>
            <w:vAlign w:val="bottom"/>
            <w:gridSpan w:val="2"/>
          </w:tcPr>
          <w:p>
            <w:pPr>
              <w:ind w:left="40"/>
              <w:spacing w:after="0"/>
              <w:rPr>
                <w:rFonts w:ascii="Arial" w:cs="Arial" w:eastAsia="Arial" w:hAnsi="Arial"/>
                <w:sz w:val="16"/>
                <w:szCs w:val="16"/>
                <w:color w:val="0000FF"/>
                <w:w w:val="89"/>
              </w:rPr>
            </w:pPr>
            <w:hyperlink r:id="rId55">
              <w:r>
                <w:rPr>
                  <w:rFonts w:ascii="Arial" w:cs="Arial" w:eastAsia="Arial" w:hAnsi="Arial"/>
                  <w:sz w:val="16"/>
                  <w:szCs w:val="16"/>
                  <w:color w:val="0000FF"/>
                  <w:w w:val="89"/>
                </w:rPr>
                <w:t>4.</w:t>
              </w:r>
              <w:r>
                <w:rPr>
                  <w:rFonts w:ascii="Arial" w:cs="Arial" w:eastAsia="Arial" w:hAnsi="Arial"/>
                  <w:sz w:val="16"/>
                  <w:szCs w:val="16"/>
                  <w:u w:val="single" w:color="auto"/>
                  <w:color w:val="0000FF"/>
                  <w:w w:val="89"/>
                </w:rPr>
                <w:t>7</w:t>
              </w:r>
            </w:hyperlink>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Form of Guarantees (included in Exhibit 4.1 to registrant’s Form 8-K filed June</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6, 2017)</w:t>
            </w:r>
          </w:p>
        </w:tc>
      </w:tr>
      <w:tr>
        <w:trPr>
          <w:trHeight w:val="209"/>
        </w:trPr>
        <w:tc>
          <w:tcPr>
            <w:tcW w:w="920" w:type="dxa"/>
            <w:vAlign w:val="bottom"/>
            <w:gridSpan w:val="4"/>
          </w:tcPr>
          <w:p>
            <w:pPr>
              <w:ind w:left="40"/>
              <w:spacing w:after="0"/>
              <w:rPr>
                <w:rFonts w:ascii="Arial" w:cs="Arial" w:eastAsia="Arial" w:hAnsi="Arial"/>
                <w:sz w:val="16"/>
                <w:szCs w:val="16"/>
                <w:color w:val="0000FF"/>
              </w:rPr>
            </w:pPr>
            <w:hyperlink r:id="rId56">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Base Warrants Confirmation, dated as of February 11, 2013, between Molina</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and JPMorgan Chase Bank, National Association, London</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Branch</w:t>
            </w:r>
          </w:p>
        </w:tc>
      </w:tr>
      <w:tr>
        <w:trPr>
          <w:trHeight w:val="209"/>
        </w:trPr>
        <w:tc>
          <w:tcPr>
            <w:tcW w:w="920" w:type="dxa"/>
            <w:vAlign w:val="bottom"/>
            <w:gridSpan w:val="4"/>
          </w:tcPr>
          <w:p>
            <w:pPr>
              <w:ind w:left="40"/>
              <w:spacing w:after="0"/>
              <w:rPr>
                <w:rFonts w:ascii="Arial" w:cs="Arial" w:eastAsia="Arial" w:hAnsi="Arial"/>
                <w:sz w:val="16"/>
                <w:szCs w:val="16"/>
                <w:color w:val="0000FF"/>
              </w:rPr>
            </w:pPr>
            <w:hyperlink r:id="rId57">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Base Warrants Confirmation, dated as of February 11, 2013, between Molina</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Healthcare, Inc. and Bank of America, N.A.</w:t>
            </w:r>
          </w:p>
        </w:tc>
      </w:tr>
      <w:tr>
        <w:trPr>
          <w:trHeight w:val="209"/>
        </w:trPr>
        <w:tc>
          <w:tcPr>
            <w:tcW w:w="920" w:type="dxa"/>
            <w:vAlign w:val="bottom"/>
            <w:gridSpan w:val="4"/>
          </w:tcPr>
          <w:p>
            <w:pPr>
              <w:ind w:left="40"/>
              <w:spacing w:after="0"/>
              <w:rPr>
                <w:rFonts w:ascii="Arial" w:cs="Arial" w:eastAsia="Arial" w:hAnsi="Arial"/>
                <w:sz w:val="16"/>
                <w:szCs w:val="16"/>
                <w:color w:val="0000FF"/>
              </w:rPr>
            </w:pPr>
            <w:hyperlink r:id="rId58">
              <w:r>
                <w:rPr>
                  <w:rFonts w:ascii="Arial" w:cs="Arial" w:eastAsia="Arial" w:hAnsi="Arial"/>
                  <w:sz w:val="16"/>
                  <w:szCs w:val="16"/>
                  <w:color w:val="0000FF"/>
                </w:rPr>
                <w:t>10.</w:t>
              </w:r>
              <w:r>
                <w:rPr>
                  <w:rFonts w:ascii="Arial" w:cs="Arial" w:eastAsia="Arial" w:hAnsi="Arial"/>
                  <w:sz w:val="16"/>
                  <w:szCs w:val="16"/>
                  <w:u w:val="single" w:color="auto"/>
                  <w:color w:val="0000FF"/>
                </w:rPr>
                <w:t>3</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Additional Base Warrants Confirmation, dated as of February 13, 2013,</w:t>
            </w:r>
          </w:p>
        </w:tc>
      </w:tr>
      <w:tr>
        <w:trPr>
          <w:trHeight w:val="198"/>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JPMorgan Chase Bank, National</w:t>
            </w:r>
          </w:p>
        </w:tc>
      </w:tr>
      <w:tr>
        <w:trPr>
          <w:trHeight w:val="19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Association, London Branch</w:t>
            </w:r>
          </w:p>
        </w:tc>
      </w:tr>
      <w:tr>
        <w:trPr>
          <w:trHeight w:val="209"/>
        </w:trPr>
        <w:tc>
          <w:tcPr>
            <w:tcW w:w="920" w:type="dxa"/>
            <w:vAlign w:val="bottom"/>
            <w:gridSpan w:val="4"/>
          </w:tcPr>
          <w:p>
            <w:pPr>
              <w:ind w:left="40"/>
              <w:spacing w:after="0"/>
              <w:rPr>
                <w:rFonts w:ascii="Arial" w:cs="Arial" w:eastAsia="Arial" w:hAnsi="Arial"/>
                <w:sz w:val="16"/>
                <w:szCs w:val="16"/>
                <w:color w:val="0000FF"/>
              </w:rPr>
            </w:pPr>
            <w:hyperlink r:id="rId59">
              <w:r>
                <w:rPr>
                  <w:rFonts w:ascii="Arial" w:cs="Arial" w:eastAsia="Arial" w:hAnsi="Arial"/>
                  <w:sz w:val="16"/>
                  <w:szCs w:val="16"/>
                  <w:color w:val="0000FF"/>
                </w:rPr>
                <w:t>10.</w:t>
              </w:r>
              <w:r>
                <w:rPr>
                  <w:rFonts w:ascii="Arial" w:cs="Arial" w:eastAsia="Arial" w:hAnsi="Arial"/>
                  <w:sz w:val="16"/>
                  <w:szCs w:val="16"/>
                  <w:u w:val="single" w:color="auto"/>
                  <w:color w:val="0000FF"/>
                </w:rPr>
                <w:t>4</w:t>
              </w:r>
            </w:hyperlink>
          </w:p>
        </w:tc>
        <w:tc>
          <w:tcPr>
            <w:tcW w:w="120" w:type="dxa"/>
            <w:vAlign w:val="bottom"/>
          </w:tcPr>
          <w:p>
            <w:pPr>
              <w:spacing w:after="0"/>
              <w:rPr>
                <w:sz w:val="18"/>
                <w:szCs w:val="18"/>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Additional Base Warrants Confirmation, dated as of February 13, 2013,</w:t>
            </w:r>
          </w:p>
        </w:tc>
      </w:tr>
      <w:tr>
        <w:trPr>
          <w:trHeight w:val="204"/>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6"/>
                <w:szCs w:val="16"/>
                <w:color w:val="auto"/>
              </w:rPr>
              <w:t>between Molina Healthcare, Inc. and Bank of America, N.A.</w:t>
            </w: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Filed as Exhibit 2.1 to registrant’s Form 8-K filed June 27, 2018</w:t>
      </w:r>
    </w:p>
    <w:p>
      <w:pPr>
        <w:spacing w:after="0" w:line="22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Filed as Exhibit 3.2 to registrant’s Registration Statement on Form S-1 filed December 30, 2002</w:t>
      </w:r>
    </w:p>
    <w:p>
      <w:pPr>
        <w:spacing w:after="0" w:line="6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Appendix A to registrant’s Definitive Proxy Statement on Form DEF 14A filed March 25, 2013</w:t>
      </w:r>
    </w:p>
    <w:p>
      <w:pPr>
        <w:spacing w:after="0" w:line="6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Appendix A to registrant’s Definitive Proxy Statement on Form DEF 14A filed March 25, 2019</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3.3 to registrant’s Form 10-K filed February 19, 2019</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3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Filed as Exhibit 4.1 to registrant’s Form 8-K filed November 10, 2015</w:t>
      </w:r>
    </w:p>
    <w:p>
      <w:pPr>
        <w:spacing w:after="0" w:line="22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4.1 to registrant’s Form 8-K filed February 18, 2016</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Filed as Exhibit 1.1 to registrant’s Form 8-K filed June 6,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as Exhibit 1.1 to registrant’s Form 8-K filed June 6,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as Exhibit 1.1 to registrant’s Form 8-K filed June 6, 2017</w:t>
      </w:r>
    </w:p>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10.3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10.4 to registrant’s Form 8-K filed February 15, 2013</w:t>
      </w:r>
    </w:p>
    <w:p>
      <w:pPr>
        <w:spacing w:after="0" w:line="3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10.7 to registrant’s Form 8-K filed February 15, 2013</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Filed as Exhibit 10.8 to registrant’s Form 8-K filed February 15, 2013</w:t>
      </w:r>
    </w:p>
    <w:p>
      <w:pPr>
        <w:spacing w:after="0" w:line="200" w:lineRule="exact"/>
        <w:rPr>
          <w:sz w:val="20"/>
          <w:szCs w:val="20"/>
          <w:color w:val="auto"/>
        </w:rPr>
      </w:pPr>
    </w:p>
    <w:p>
      <w:pPr>
        <w:sectPr>
          <w:pgSz w:w="11900" w:h="16838" w:orient="portrait"/>
          <w:cols w:equalWidth="0" w:num="2">
            <w:col w:w="6740" w:space="140"/>
            <w:col w:w="4540"/>
          </w:cols>
          <w:pgMar w:left="240" w:top="649" w:right="239" w:bottom="1440" w:gutter="0" w:footer="0" w:header="0"/>
          <w:type w:val="continuous"/>
        </w:sectPr>
      </w:pPr>
    </w:p>
    <w:p>
      <w:pPr>
        <w:spacing w:after="0" w:line="12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Molina Healthcare, Inc. 2019 Form 10-K | 97</w:t>
      </w:r>
    </w:p>
    <w:p>
      <w:pPr>
        <w:sectPr>
          <w:pgSz w:w="11900" w:h="16838" w:orient="portrait"/>
          <w:cols w:equalWidth="0" w:num="1">
            <w:col w:w="11420"/>
          </w:cols>
          <w:pgMar w:left="240" w:top="649"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15"/>
        </w:trPr>
        <w:tc>
          <w:tcPr>
            <w:tcW w:w="1040" w:type="dxa"/>
            <w:vAlign w:val="bottom"/>
            <w:gridSpan w:val="7"/>
          </w:tcPr>
          <w:p>
            <w:pPr>
              <w:ind w:left="40"/>
              <w:spacing w:after="0"/>
              <w:rPr>
                <w:sz w:val="20"/>
                <w:szCs w:val="20"/>
                <w:color w:val="auto"/>
              </w:rPr>
            </w:pPr>
            <w:r>
              <w:rPr>
                <w:rFonts w:ascii="Arial" w:cs="Arial" w:eastAsia="Arial" w:hAnsi="Arial"/>
                <w:sz w:val="16"/>
                <w:szCs w:val="16"/>
                <w:b w:val="1"/>
                <w:bCs w:val="1"/>
                <w:color w:val="auto"/>
              </w:rPr>
              <w:t>Number</w:t>
            </w:r>
          </w:p>
        </w:tc>
        <w:tc>
          <w:tcPr>
            <w:tcW w:w="420" w:type="dxa"/>
            <w:vAlign w:val="bottom"/>
          </w:tcPr>
          <w:p>
            <w:pPr>
              <w:spacing w:after="0"/>
              <w:rPr>
                <w:sz w:val="18"/>
                <w:szCs w:val="18"/>
                <w:color w:val="auto"/>
              </w:rPr>
            </w:pPr>
          </w:p>
        </w:tc>
        <w:tc>
          <w:tcPr>
            <w:tcW w:w="5280" w:type="dxa"/>
            <w:vAlign w:val="bottom"/>
          </w:tcPr>
          <w:p>
            <w:pPr>
              <w:ind w:left="2000"/>
              <w:spacing w:after="0"/>
              <w:rPr>
                <w:sz w:val="20"/>
                <w:szCs w:val="20"/>
                <w:color w:val="auto"/>
              </w:rPr>
            </w:pPr>
            <w:r>
              <w:rPr>
                <w:rFonts w:ascii="Arial" w:cs="Arial" w:eastAsia="Arial" w:hAnsi="Arial"/>
                <w:sz w:val="16"/>
                <w:szCs w:val="16"/>
                <w:b w:val="1"/>
                <w:bCs w:val="1"/>
                <w:color w:val="auto"/>
              </w:rPr>
              <w:t>Description</w:t>
            </w:r>
          </w:p>
        </w:tc>
      </w:tr>
      <w:tr>
        <w:trPr>
          <w:trHeight w:val="47"/>
        </w:trPr>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700" w:type="dxa"/>
            <w:vAlign w:val="bottom"/>
            <w:tcBorders>
              <w:bottom w:val="single" w:sz="8" w:color="auto"/>
            </w:tcBorders>
            <w:gridSpan w:val="2"/>
          </w:tcPr>
          <w:p>
            <w:pPr>
              <w:spacing w:after="0"/>
              <w:rPr>
                <w:sz w:val="4"/>
                <w:szCs w:val="4"/>
                <w:color w:val="auto"/>
              </w:rPr>
            </w:pPr>
          </w:p>
        </w:tc>
      </w:tr>
      <w:tr>
        <w:trPr>
          <w:trHeight w:val="183"/>
        </w:trPr>
        <w:tc>
          <w:tcPr>
            <w:tcW w:w="500" w:type="dxa"/>
            <w:vAlign w:val="bottom"/>
            <w:gridSpan w:val="5"/>
          </w:tcPr>
          <w:p>
            <w:pPr>
              <w:ind w:left="40"/>
              <w:spacing w:after="0" w:line="183" w:lineRule="exact"/>
              <w:rPr>
                <w:rFonts w:ascii="Arial" w:cs="Arial" w:eastAsia="Arial" w:hAnsi="Arial"/>
                <w:sz w:val="16"/>
                <w:szCs w:val="16"/>
                <w:color w:val="0000FF"/>
              </w:rPr>
            </w:pPr>
            <w:hyperlink r:id="rId61">
              <w:r>
                <w:rPr>
                  <w:rFonts w:ascii="Arial" w:cs="Arial" w:eastAsia="Arial" w:hAnsi="Arial"/>
                  <w:sz w:val="16"/>
                  <w:szCs w:val="16"/>
                  <w:color w:val="0000FF"/>
                </w:rPr>
                <w:t>10.</w:t>
              </w:r>
              <w:r>
                <w:rPr>
                  <w:rFonts w:ascii="Arial" w:cs="Arial" w:eastAsia="Arial" w:hAnsi="Arial"/>
                  <w:sz w:val="16"/>
                  <w:szCs w:val="16"/>
                  <w:u w:val="single" w:color="auto"/>
                  <w:color w:val="0000FF"/>
                </w:rPr>
                <w:t>5</w:t>
              </w:r>
            </w:hyperlink>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Amended and Restated Base Warrants Confirmation, dated as of April 22,</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2013, between Molina Healthcare, Inc. and JPMorgan Chase Bank, National</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Association, London Branch</w:t>
            </w:r>
          </w:p>
        </w:tc>
      </w:tr>
      <w:tr>
        <w:trPr>
          <w:trHeight w:val="209"/>
        </w:trPr>
        <w:tc>
          <w:tcPr>
            <w:tcW w:w="500" w:type="dxa"/>
            <w:vAlign w:val="bottom"/>
            <w:gridSpan w:val="5"/>
          </w:tcPr>
          <w:p>
            <w:pPr>
              <w:ind w:left="40"/>
              <w:spacing w:after="0"/>
              <w:rPr>
                <w:rFonts w:ascii="Arial" w:cs="Arial" w:eastAsia="Arial" w:hAnsi="Arial"/>
                <w:sz w:val="16"/>
                <w:szCs w:val="16"/>
                <w:color w:val="0000FF"/>
              </w:rPr>
            </w:pPr>
            <w:hyperlink r:id="rId62">
              <w:r>
                <w:rPr>
                  <w:rFonts w:ascii="Arial" w:cs="Arial" w:eastAsia="Arial" w:hAnsi="Arial"/>
                  <w:sz w:val="16"/>
                  <w:szCs w:val="16"/>
                  <w:color w:val="0000FF"/>
                </w:rPr>
                <w:t>10.</w:t>
              </w:r>
              <w:r>
                <w:rPr>
                  <w:rFonts w:ascii="Arial" w:cs="Arial" w:eastAsia="Arial" w:hAnsi="Arial"/>
                  <w:sz w:val="16"/>
                  <w:szCs w:val="16"/>
                  <w:u w:val="single" w:color="auto"/>
                  <w:color w:val="0000FF"/>
                </w:rPr>
                <w:t>6</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Amended and Restated Base Warrants Confirmation, dated as of April 22,</w:t>
            </w:r>
          </w:p>
        </w:tc>
      </w:tr>
      <w:tr>
        <w:trPr>
          <w:trHeight w:val="204"/>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2013, between Molina Healthcare, Inc. and Bank of America, N.A.</w:t>
            </w:r>
          </w:p>
        </w:tc>
      </w:tr>
      <w:tr>
        <w:trPr>
          <w:trHeight w:val="209"/>
        </w:trPr>
        <w:tc>
          <w:tcPr>
            <w:tcW w:w="500" w:type="dxa"/>
            <w:vAlign w:val="bottom"/>
            <w:gridSpan w:val="5"/>
          </w:tcPr>
          <w:p>
            <w:pPr>
              <w:ind w:left="40"/>
              <w:spacing w:after="0"/>
              <w:rPr>
                <w:rFonts w:ascii="Arial" w:cs="Arial" w:eastAsia="Arial" w:hAnsi="Arial"/>
                <w:sz w:val="16"/>
                <w:szCs w:val="16"/>
                <w:color w:val="0000FF"/>
              </w:rPr>
            </w:pPr>
            <w:hyperlink r:id="rId63">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Additional Amended and Restated Base Warrants Confirmation, dated as of</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April 22, 2013, between Molina Healthcare, Inc. and JPMorgan Chase Bank,</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National Association, London Branch</w:t>
            </w:r>
          </w:p>
        </w:tc>
      </w:tr>
      <w:tr>
        <w:trPr>
          <w:trHeight w:val="209"/>
        </w:trPr>
        <w:tc>
          <w:tcPr>
            <w:tcW w:w="500" w:type="dxa"/>
            <w:vAlign w:val="bottom"/>
            <w:gridSpan w:val="5"/>
          </w:tcPr>
          <w:p>
            <w:pPr>
              <w:ind w:left="40"/>
              <w:spacing w:after="0"/>
              <w:rPr>
                <w:rFonts w:ascii="Arial" w:cs="Arial" w:eastAsia="Arial" w:hAnsi="Arial"/>
                <w:sz w:val="16"/>
                <w:szCs w:val="16"/>
                <w:color w:val="0000FF"/>
              </w:rPr>
            </w:pPr>
            <w:hyperlink r:id="rId64">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Additional Amended and Restated Base Warrants Confirmation, dated as of</w:t>
            </w:r>
          </w:p>
        </w:tc>
      </w:tr>
      <w:tr>
        <w:trPr>
          <w:trHeight w:val="204"/>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April 22, 2013, between Molina Healthcare, Inc. and Bank of America, N.A.</w:t>
            </w:r>
          </w:p>
        </w:tc>
      </w:tr>
      <w:tr>
        <w:trPr>
          <w:trHeight w:val="209"/>
        </w:trPr>
        <w:tc>
          <w:tcPr>
            <w:tcW w:w="500" w:type="dxa"/>
            <w:vAlign w:val="bottom"/>
            <w:gridSpan w:val="5"/>
          </w:tcPr>
          <w:p>
            <w:pPr>
              <w:ind w:left="40"/>
              <w:spacing w:after="0"/>
              <w:rPr>
                <w:rFonts w:ascii="Arial" w:cs="Arial" w:eastAsia="Arial" w:hAnsi="Arial"/>
                <w:sz w:val="16"/>
                <w:szCs w:val="16"/>
                <w:color w:val="0000FF"/>
              </w:rPr>
            </w:pPr>
            <w:hyperlink r:id="rId65">
              <w:r>
                <w:rPr>
                  <w:rFonts w:ascii="Arial" w:cs="Arial" w:eastAsia="Arial" w:hAnsi="Arial"/>
                  <w:sz w:val="16"/>
                  <w:szCs w:val="16"/>
                  <w:color w:val="0000FF"/>
                </w:rPr>
                <w:t>10.</w:t>
              </w:r>
              <w:r>
                <w:rPr>
                  <w:rFonts w:ascii="Arial" w:cs="Arial" w:eastAsia="Arial" w:hAnsi="Arial"/>
                  <w:sz w:val="16"/>
                  <w:szCs w:val="16"/>
                  <w:u w:val="single" w:color="auto"/>
                  <w:color w:val="0000FF"/>
                </w:rPr>
                <w:t>9</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Sixth Amendment to Credit Agreement, dated as of January 31, 2019, by and</w:t>
            </w:r>
          </w:p>
        </w:tc>
      </w:tr>
      <w:tr>
        <w:trPr>
          <w:trHeight w:val="198"/>
        </w:trPr>
        <w:tc>
          <w:tcPr>
            <w:tcW w:w="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among Molina Healthcare, Inc., the Guarantors party thereto, the Lenders</w:t>
            </w: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party thereto and SunTrust Bank, in its capacity as Administrative Agent,</w:t>
            </w: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including the amended and restated Credit Agreement attached as Exhibit A</w:t>
            </w: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thereto, the amended and restated Schedule I to the Credit Agreement</w:t>
            </w: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attached as Exhibit B thereto and the amended and restated Exhibit 2.5 to the</w:t>
            </w:r>
          </w:p>
        </w:tc>
      </w:tr>
      <w:tr>
        <w:trPr>
          <w:trHeight w:val="195"/>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Credit Agreement attached as Exhibit C thereto</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66">
              <w:r>
                <w:rPr>
                  <w:rFonts w:ascii="Arial" w:cs="Arial" w:eastAsia="Arial" w:hAnsi="Arial"/>
                  <w:sz w:val="16"/>
                  <w:szCs w:val="16"/>
                  <w:color w:val="0000FF"/>
                  <w:w w:val="95"/>
                </w:rPr>
                <w:t>10.10</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Molina Healthcare, Inc. 2011 Employee Stock Purchase Plan</w:t>
            </w:r>
          </w:p>
        </w:tc>
      </w:tr>
      <w:tr>
        <w:trPr>
          <w:trHeight w:val="20"/>
        </w:trPr>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67">
              <w:r>
                <w:rPr>
                  <w:rFonts w:ascii="Arial" w:cs="Arial" w:eastAsia="Arial" w:hAnsi="Arial"/>
                  <w:sz w:val="16"/>
                  <w:szCs w:val="16"/>
                  <w:color w:val="0000FF"/>
                  <w:w w:val="95"/>
                </w:rPr>
                <w:t>10.11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Molina Healthcare, Inc. 2011 Equity Incentive Plan</w:t>
            </w:r>
          </w:p>
        </w:tc>
      </w:tr>
      <w:tr>
        <w:trPr>
          <w:trHeight w:val="20"/>
        </w:trPr>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68">
              <w:r>
                <w:rPr>
                  <w:rFonts w:ascii="Arial" w:cs="Arial" w:eastAsia="Arial" w:hAnsi="Arial"/>
                  <w:sz w:val="16"/>
                  <w:szCs w:val="16"/>
                  <w:color w:val="0000FF"/>
                  <w:w w:val="95"/>
                </w:rPr>
                <w:t>10.12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2011</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Stock Option Agreement (Director)</w:t>
            </w:r>
          </w:p>
        </w:tc>
      </w:tr>
      <w:tr>
        <w:trPr>
          <w:trHeight w:val="20"/>
        </w:trPr>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69">
              <w:r>
                <w:rPr>
                  <w:rFonts w:ascii="Arial" w:cs="Arial" w:eastAsia="Arial" w:hAnsi="Arial"/>
                  <w:sz w:val="16"/>
                  <w:szCs w:val="16"/>
                  <w:color w:val="0000FF"/>
                  <w:w w:val="95"/>
                </w:rPr>
                <w:t>10.13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2011</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Restricted Stock Award Agreement</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(Employee)</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0">
              <w:r>
                <w:rPr>
                  <w:rFonts w:ascii="Arial" w:cs="Arial" w:eastAsia="Arial" w:hAnsi="Arial"/>
                  <w:sz w:val="16"/>
                  <w:szCs w:val="16"/>
                  <w:color w:val="0000FF"/>
                  <w:w w:val="95"/>
                </w:rPr>
                <w:t>10.14</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2011</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Performance Unit Award Agreement 1</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(Executive Officer)</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1">
              <w:r>
                <w:rPr>
                  <w:rFonts w:ascii="Arial" w:cs="Arial" w:eastAsia="Arial" w:hAnsi="Arial"/>
                  <w:sz w:val="16"/>
                  <w:szCs w:val="16"/>
                  <w:color w:val="0000FF"/>
                  <w:w w:val="95"/>
                </w:rPr>
                <w:t>10.15</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2011</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Performance Unit Award Agreement 2</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(Executive Officer)</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51">
              <w:r>
                <w:rPr>
                  <w:rFonts w:ascii="Arial" w:cs="Arial" w:eastAsia="Arial" w:hAnsi="Arial"/>
                  <w:sz w:val="16"/>
                  <w:szCs w:val="16"/>
                  <w:color w:val="0000FF"/>
                  <w:w w:val="95"/>
                </w:rPr>
                <w:t>10.16</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r>
      <w:tr>
        <w:trPr>
          <w:trHeight w:val="20"/>
        </w:trPr>
        <w:tc>
          <w:tcPr>
            <w:tcW w:w="120" w:type="dxa"/>
            <w:vAlign w:val="bottom"/>
            <w:gridSpan w:val="3"/>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51">
              <w:r>
                <w:rPr>
                  <w:rFonts w:ascii="Arial" w:cs="Arial" w:eastAsia="Arial" w:hAnsi="Arial"/>
                  <w:sz w:val="16"/>
                  <w:szCs w:val="16"/>
                  <w:color w:val="0000FF"/>
                  <w:w w:val="95"/>
                </w:rPr>
                <w:t>10.17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Molina Healthcare, Inc. 2019 Equity Incentive Plan</w:t>
            </w:r>
          </w:p>
        </w:tc>
      </w:tr>
      <w:tr>
        <w:trPr>
          <w:trHeight w:val="20"/>
        </w:trPr>
        <w:tc>
          <w:tcPr>
            <w:tcW w:w="120" w:type="dxa"/>
            <w:vAlign w:val="bottom"/>
            <w:gridSpan w:val="3"/>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2">
              <w:r>
                <w:rPr>
                  <w:rFonts w:ascii="Arial" w:cs="Arial" w:eastAsia="Arial" w:hAnsi="Arial"/>
                  <w:sz w:val="16"/>
                  <w:szCs w:val="16"/>
                  <w:color w:val="0000FF"/>
                  <w:w w:val="95"/>
                </w:rPr>
                <w:t>10.18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Restricted Stock Award Agreement</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(Employee/Officer with No Employment Agreement)</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3">
              <w:r>
                <w:rPr>
                  <w:rFonts w:ascii="Arial" w:cs="Arial" w:eastAsia="Arial" w:hAnsi="Arial"/>
                  <w:sz w:val="16"/>
                  <w:szCs w:val="16"/>
                  <w:color w:val="0000FF"/>
                  <w:w w:val="95"/>
                </w:rPr>
                <w:t>10.19</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Performance Stock Unit Award</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Agreement (Employee/Officer with No Employment Agreement)</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4">
              <w:r>
                <w:rPr>
                  <w:rFonts w:ascii="Arial" w:cs="Arial" w:eastAsia="Arial" w:hAnsi="Arial"/>
                  <w:sz w:val="16"/>
                  <w:szCs w:val="16"/>
                  <w:color w:val="0000FF"/>
                  <w:w w:val="95"/>
                </w:rPr>
                <w:t>10.20</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Restricted Stock Award Agreement</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(Officer with Employment Agreement)</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5">
              <w:r>
                <w:rPr>
                  <w:rFonts w:ascii="Arial" w:cs="Arial" w:eastAsia="Arial" w:hAnsi="Arial"/>
                  <w:sz w:val="16"/>
                  <w:szCs w:val="16"/>
                  <w:color w:val="0000FF"/>
                  <w:w w:val="95"/>
                </w:rPr>
                <w:t>10.21</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Pr>
          <w:p>
            <w:pPr>
              <w:ind w:left="20"/>
              <w:spacing w:after="0"/>
              <w:rPr>
                <w:sz w:val="20"/>
                <w:szCs w:val="20"/>
                <w:color w:val="auto"/>
              </w:rPr>
            </w:pPr>
            <w:r>
              <w:rPr>
                <w:rFonts w:ascii="Arial" w:cs="Arial" w:eastAsia="Arial" w:hAnsi="Arial"/>
                <w:sz w:val="16"/>
                <w:szCs w:val="16"/>
                <w:color w:val="auto"/>
              </w:rPr>
              <w:t>Equity Incentive Plan - Form of Performance Stock Unit Award</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Agreement (Officer with Employment Agreement)</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6">
              <w:r>
                <w:rPr>
                  <w:rFonts w:ascii="Arial" w:cs="Arial" w:eastAsia="Arial" w:hAnsi="Arial"/>
                  <w:sz w:val="16"/>
                  <w:szCs w:val="16"/>
                  <w:color w:val="0000FF"/>
                  <w:w w:val="95"/>
                </w:rPr>
                <w:t>10.22</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Molina Healthcare, Inc. Amended and Restated Change in Control Severance</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Plan</w:t>
            </w:r>
          </w:p>
        </w:tc>
        <w:tc>
          <w:tcPr>
            <w:tcW w:w="5280" w:type="dxa"/>
            <w:vAlign w:val="bottom"/>
          </w:tcPr>
          <w:p>
            <w:pPr>
              <w:spacing w:after="0"/>
              <w:rPr>
                <w:sz w:val="17"/>
                <w:szCs w:val="17"/>
                <w:color w:val="auto"/>
              </w:rPr>
            </w:pP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7">
              <w:r>
                <w:rPr>
                  <w:rFonts w:ascii="Arial" w:cs="Arial" w:eastAsia="Arial" w:hAnsi="Arial"/>
                  <w:sz w:val="16"/>
                  <w:szCs w:val="16"/>
                  <w:color w:val="0000FF"/>
                  <w:w w:val="95"/>
                </w:rPr>
                <w:t>10.23</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Form of Indemnification Agreement</w:t>
            </w:r>
          </w:p>
        </w:tc>
      </w:tr>
      <w:tr>
        <w:trPr>
          <w:trHeight w:val="20"/>
        </w:trPr>
        <w:tc>
          <w:tcPr>
            <w:tcW w:w="120" w:type="dxa"/>
            <w:vAlign w:val="bottom"/>
            <w:gridSpan w:val="3"/>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8">
              <w:r>
                <w:rPr>
                  <w:rFonts w:ascii="Arial" w:cs="Arial" w:eastAsia="Arial" w:hAnsi="Arial"/>
                  <w:sz w:val="16"/>
                  <w:szCs w:val="16"/>
                  <w:color w:val="0000FF"/>
                  <w:w w:val="95"/>
                </w:rPr>
                <w:t>10.24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Molina Healthcare, Inc. Amended and Restated Deferred Compensation Plan</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(2018)</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w:anchor="page103">
              <w:r>
                <w:rPr>
                  <w:rFonts w:ascii="Arial" w:cs="Arial" w:eastAsia="Arial" w:hAnsi="Arial"/>
                  <w:sz w:val="16"/>
                  <w:szCs w:val="16"/>
                  <w:color w:val="0000FF"/>
                  <w:w w:val="95"/>
                </w:rPr>
                <w:t>10.25</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Amendment No. One to the Molina Healthcare, Inc. Amended and Restated</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Deferred Compensation Plan (2018)</w:t>
            </w:r>
          </w:p>
        </w:tc>
      </w:tr>
      <w:tr>
        <w:trPr>
          <w:trHeight w:val="209"/>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79">
              <w:r>
                <w:rPr>
                  <w:rFonts w:ascii="Arial" w:cs="Arial" w:eastAsia="Arial" w:hAnsi="Arial"/>
                  <w:sz w:val="16"/>
                  <w:szCs w:val="16"/>
                  <w:color w:val="0000FF"/>
                  <w:w w:val="95"/>
                </w:rPr>
                <w:t>10.26</w:t>
              </w:r>
            </w:hyperlink>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Employment Agreement with Jeff Barlow dated June 14, 2013</w:t>
            </w:r>
          </w:p>
        </w:tc>
      </w:tr>
      <w:tr>
        <w:trPr>
          <w:trHeight w:val="20"/>
        </w:trPr>
        <w:tc>
          <w:tcPr>
            <w:tcW w:w="120" w:type="dxa"/>
            <w:vAlign w:val="bottom"/>
            <w:gridSpan w:val="3"/>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12"/>
        </w:trPr>
        <w:tc>
          <w:tcPr>
            <w:tcW w:w="500" w:type="dxa"/>
            <w:vAlign w:val="bottom"/>
            <w:gridSpan w:val="5"/>
          </w:tcPr>
          <w:p>
            <w:pPr>
              <w:ind w:left="40"/>
              <w:spacing w:after="0"/>
              <w:rPr>
                <w:rFonts w:ascii="Arial" w:cs="Arial" w:eastAsia="Arial" w:hAnsi="Arial"/>
                <w:sz w:val="16"/>
                <w:szCs w:val="16"/>
                <w:color w:val="auto"/>
                <w:w w:val="95"/>
              </w:rPr>
            </w:pPr>
            <w:r>
              <w:rPr>
                <w:rFonts w:ascii="Arial" w:cs="Arial" w:eastAsia="Arial" w:hAnsi="Arial"/>
                <w:sz w:val="16"/>
                <w:szCs w:val="16"/>
                <w:color w:val="auto"/>
                <w:w w:val="95"/>
              </w:rPr>
              <w:t>*</w:t>
            </w:r>
            <w:hyperlink r:id="rId80">
              <w:r>
                <w:rPr>
                  <w:rFonts w:ascii="Arial" w:cs="Arial" w:eastAsia="Arial" w:hAnsi="Arial"/>
                  <w:sz w:val="16"/>
                  <w:szCs w:val="16"/>
                  <w:color w:val="0000FF"/>
                  <w:w w:val="95"/>
                </w:rPr>
                <w:t>10.27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6"/>
                <w:szCs w:val="16"/>
                <w:color w:val="auto"/>
              </w:rPr>
              <w:t>Change in Control Agreement with Jeff D. Barlow, dated as of September 18,</w:t>
            </w:r>
          </w:p>
        </w:tc>
      </w:tr>
      <w:tr>
        <w:trPr>
          <w:trHeight w:val="204"/>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2012</w:t>
            </w:r>
          </w:p>
        </w:tc>
        <w:tc>
          <w:tcPr>
            <w:tcW w:w="5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10.1 to registrant’s Form 10-Q filed May 3, 2013</w:t>
      </w:r>
    </w:p>
    <w:p>
      <w:pPr>
        <w:spacing w:after="0" w:line="22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10.2 to registrant’s Form 10-Q filed May 3, 2013</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10.3 to registrant’s Form 10-Q filed May 3, 2013</w:t>
      </w:r>
    </w:p>
    <w:p>
      <w:pPr>
        <w:spacing w:after="0" w:line="22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10.4 to registrant’s Form 10-Q filed May 3, 2013</w:t>
      </w:r>
    </w:p>
    <w:p>
      <w:pPr>
        <w:spacing w:after="0" w:line="3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Filed as Exhibit 10.1 to registrant’s Form 8-K filed January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Filed as Exhibit 10.6 to registrant’s Form 10-K filed February 26, 2015</w:t>
      </w:r>
    </w:p>
    <w:p>
      <w:pPr>
        <w:spacing w:after="0" w:line="3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Filed as Exhibit 10.8 to registrant’s Form 10-K filed February 26, 2014</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10.2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10.3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10.4 to registrant’s Form 10-Q filed May 4, 2017</w:t>
      </w:r>
    </w:p>
    <w:p>
      <w:pPr>
        <w:spacing w:after="0" w:line="3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Filed as Exhibit 10.5 to registrant’s Form 10-Q filed May 4, 2017</w:t>
      </w:r>
    </w:p>
    <w:p>
      <w:pPr>
        <w:spacing w:after="0" w:line="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Appendix B to registrant’s Definitive Proxy Statement on Form DEF 14A filed March 25, 2019</w:t>
      </w:r>
    </w:p>
    <w:p>
      <w:pPr>
        <w:spacing w:after="0" w:line="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Appendix B to registrant’s Definitive Proxy Statement on Form DEF 14A filed March 25, 2019</w:t>
      </w:r>
    </w:p>
    <w:p>
      <w:pPr>
        <w:spacing w:after="0" w:line="3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Filed as Exhibit 10.1 to registrant’s Form 10-Q filed July 31, 2019</w:t>
      </w:r>
    </w:p>
    <w:p>
      <w:pPr>
        <w:spacing w:after="0" w:line="3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Filed as Exhibit 10.2 to registrant’s Form 10-Q filed July 31, 2019</w:t>
      </w:r>
    </w:p>
    <w:p>
      <w:pPr>
        <w:spacing w:after="0" w:line="3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Filed as Exhibit 10.3 to registrant’s Form 10-Q filed July 31, 2019</w:t>
      </w:r>
    </w:p>
    <w:p>
      <w:pPr>
        <w:spacing w:after="0" w:line="3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Filed as Exhibit 10.4 to registrant’s Form 10-Q filed July 31, 2019</w:t>
      </w:r>
    </w:p>
    <w:p>
      <w:pPr>
        <w:spacing w:after="0" w:line="3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Filed as Exhibit 10.1 to registrant’s Form 10-K filed February 19, 2019</w:t>
      </w:r>
    </w:p>
    <w:p>
      <w:pPr>
        <w:spacing w:after="0" w:line="3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Filed as Exhibit 10.14 to registrant’s Form 10-K filed March 14, 2007</w:t>
      </w:r>
    </w:p>
    <w:p>
      <w:pPr>
        <w:spacing w:after="0" w:line="3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Filed as Exhibit 10.2 to registrant’s Form 10-Q filed August 1, 2018</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4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Filed as Exhibit 10.3 to registrant’s Form 8-K filed June 14, 2013</w:t>
      </w:r>
    </w:p>
    <w:p>
      <w:pPr>
        <w:spacing w:after="0" w:line="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10.16 to registrant’s Form 10-K filed February 28, 2013</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98</w:t>
      </w:r>
    </w:p>
    <w:p>
      <w:pPr>
        <w:sectPr>
          <w:pgSz w:w="11900" w:h="16838" w:orient="portrait"/>
          <w:cols w:equalWidth="0" w:num="2">
            <w:col w:w="6740" w:space="140"/>
            <w:col w:w="4540"/>
          </w:cols>
          <w:pgMar w:left="240" w:top="824" w:right="239" w:bottom="1440" w:gutter="0" w:footer="0" w:header="0"/>
        </w:sectPr>
      </w:pPr>
    </w:p>
    <w:bookmarkStart w:id="101" w:name="page102"/>
    <w:bookmarkEnd w:id="101"/>
    <w:p>
      <w:pPr>
        <w:ind w:left="5"/>
        <w:spacing w:after="0"/>
        <w:tabs>
          <w:tab w:leader="none" w:pos="3405"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42792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100" w:lineRule="exact"/>
        <w:rPr>
          <w:sz w:val="20"/>
          <w:szCs w:val="20"/>
          <w:color w:val="auto"/>
        </w:rPr>
      </w:pPr>
    </w:p>
    <w:p>
      <w:pPr>
        <w:ind w:left="1045" w:right="400" w:hanging="1039"/>
        <w:spacing w:after="0" w:line="260" w:lineRule="auto"/>
        <w:tabs>
          <w:tab w:leader="none" w:pos="1025" w:val="left"/>
        </w:tabs>
        <w:rPr>
          <w:rFonts w:ascii="Arial" w:cs="Arial" w:eastAsia="Arial" w:hAnsi="Arial"/>
          <w:sz w:val="16"/>
          <w:szCs w:val="16"/>
          <w:color w:val="auto"/>
        </w:rPr>
      </w:pPr>
      <w:r>
        <w:rPr>
          <w:rFonts w:ascii="Arial" w:cs="Arial" w:eastAsia="Arial" w:hAnsi="Arial"/>
          <w:sz w:val="16"/>
          <w:szCs w:val="16"/>
          <w:color w:val="auto"/>
        </w:rPr>
        <w:t>*</w:t>
      </w:r>
      <w:hyperlink r:id="rId83">
        <w:r>
          <w:rPr>
            <w:rFonts w:ascii="Arial" w:cs="Arial" w:eastAsia="Arial" w:hAnsi="Arial"/>
            <w:sz w:val="16"/>
            <w:szCs w:val="16"/>
            <w:u w:val="single" w:color="auto"/>
            <w:color w:val="0000FF"/>
          </w:rPr>
          <w:t>10.28</w:t>
        </w:r>
      </w:hyperlink>
      <w:r>
        <w:rPr>
          <w:rFonts w:ascii="Arial" w:cs="Arial" w:eastAsia="Arial" w:hAnsi="Arial"/>
          <w:sz w:val="16"/>
          <w:szCs w:val="16"/>
          <w:color w:val="auto"/>
        </w:rPr>
        <w:tab/>
        <w:t>Employment Agreement, dated October 9, 2017, by and between Molina Healthcare, Inc. and Joseph M. Zubretsky</w:t>
      </w:r>
    </w:p>
    <w:p>
      <w:pPr>
        <w:spacing w:after="0" w:line="34" w:lineRule="exact"/>
        <w:rPr>
          <w:sz w:val="20"/>
          <w:szCs w:val="20"/>
          <w:color w:val="auto"/>
        </w:rPr>
      </w:pPr>
    </w:p>
    <w:p>
      <w:pPr>
        <w:ind w:left="1045" w:right="120" w:hanging="1039"/>
        <w:spacing w:after="0" w:line="260" w:lineRule="auto"/>
        <w:tabs>
          <w:tab w:leader="none" w:pos="1025" w:val="left"/>
        </w:tabs>
        <w:rPr>
          <w:rFonts w:ascii="Arial" w:cs="Arial" w:eastAsia="Arial" w:hAnsi="Arial"/>
          <w:sz w:val="16"/>
          <w:szCs w:val="16"/>
          <w:color w:val="auto"/>
        </w:rPr>
      </w:pPr>
      <w:r>
        <w:rPr>
          <w:rFonts w:ascii="Arial" w:cs="Arial" w:eastAsia="Arial" w:hAnsi="Arial"/>
          <w:sz w:val="16"/>
          <w:szCs w:val="16"/>
          <w:color w:val="auto"/>
        </w:rPr>
        <w:t>*</w:t>
      </w:r>
      <w:hyperlink r:id="rId84">
        <w:r>
          <w:rPr>
            <w:rFonts w:ascii="Arial" w:cs="Arial" w:eastAsia="Arial" w:hAnsi="Arial"/>
            <w:sz w:val="16"/>
            <w:szCs w:val="16"/>
            <w:u w:val="single" w:color="auto"/>
            <w:color w:val="0000FF"/>
          </w:rPr>
          <w:t>10.29</w:t>
        </w:r>
      </w:hyperlink>
      <w:r>
        <w:rPr>
          <w:rFonts w:ascii="Arial" w:cs="Arial" w:eastAsia="Arial" w:hAnsi="Arial"/>
          <w:sz w:val="16"/>
          <w:szCs w:val="16"/>
          <w:color w:val="auto"/>
        </w:rPr>
        <w:tab/>
        <w:t>Offer Letter, dated May 4, 2018, by and between Molina Healthcare, Inc. and Thomas L. Tran</w:t>
      </w:r>
    </w:p>
    <w:p>
      <w:pPr>
        <w:spacing w:after="0" w:line="34" w:lineRule="exact"/>
        <w:rPr>
          <w:sz w:val="20"/>
          <w:szCs w:val="20"/>
          <w:color w:val="auto"/>
        </w:rPr>
      </w:pPr>
    </w:p>
    <w:p>
      <w:pPr>
        <w:ind w:left="1045" w:hanging="1039"/>
        <w:spacing w:after="0" w:line="260" w:lineRule="auto"/>
        <w:tabs>
          <w:tab w:leader="none" w:pos="1025" w:val="left"/>
        </w:tabs>
        <w:rPr>
          <w:rFonts w:ascii="Arial" w:cs="Arial" w:eastAsia="Arial" w:hAnsi="Arial"/>
          <w:sz w:val="16"/>
          <w:szCs w:val="16"/>
          <w:color w:val="auto"/>
        </w:rPr>
      </w:pPr>
      <w:r>
        <w:rPr>
          <w:rFonts w:ascii="Arial" w:cs="Arial" w:eastAsia="Arial" w:hAnsi="Arial"/>
          <w:sz w:val="16"/>
          <w:szCs w:val="16"/>
          <w:color w:val="auto"/>
        </w:rPr>
        <w:t>+</w:t>
      </w:r>
      <w:hyperlink r:id="rId85">
        <w:r>
          <w:rPr>
            <w:rFonts w:ascii="Arial" w:cs="Arial" w:eastAsia="Arial" w:hAnsi="Arial"/>
            <w:sz w:val="16"/>
            <w:szCs w:val="16"/>
            <w:u w:val="single" w:color="auto"/>
            <w:color w:val="0000FF"/>
          </w:rPr>
          <w:t>10.30</w:t>
        </w:r>
      </w:hyperlink>
      <w:r>
        <w:rPr>
          <w:rFonts w:ascii="Arial" w:cs="Arial" w:eastAsia="Arial" w:hAnsi="Arial"/>
          <w:sz w:val="16"/>
          <w:szCs w:val="16"/>
          <w:color w:val="auto"/>
        </w:rPr>
        <w:tab/>
        <w:t>Master Services Agreement for Information Technology Services, dated February 4, 2019, by and between Molina Healthcare, Inc. and Infosys Limited</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Filed as Exhibit 10.1 to registrant’s Form 8-K filed October 10, 2017</w:t>
      </w:r>
    </w:p>
    <w:p>
      <w:pPr>
        <w:spacing w:after="0" w:line="3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Filed as Exhibit 10.1 to registrant’s Form 8-K filed May 24, 2018</w:t>
      </w:r>
    </w:p>
    <w:p>
      <w:pPr>
        <w:spacing w:after="0" w:line="3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Filed as Exhibit 10.36 to registrant’s Form 10-K filed February 19, 2019</w:t>
      </w:r>
    </w:p>
    <w:p>
      <w:pPr>
        <w:spacing w:after="0" w:line="199" w:lineRule="exact"/>
        <w:rPr>
          <w:sz w:val="20"/>
          <w:szCs w:val="20"/>
          <w:color w:val="auto"/>
        </w:rPr>
      </w:pPr>
    </w:p>
    <w:p>
      <w:pPr>
        <w:sectPr>
          <w:pgSz w:w="11900" w:h="16838" w:orient="portrait"/>
          <w:cols w:equalWidth="0" w:num="2">
            <w:col w:w="6645" w:space="200"/>
            <w:col w:w="4540"/>
          </w:cols>
          <w:pgMar w:left="275" w:top="824" w:right="239" w:bottom="1440" w:gutter="0" w:footer="0" w:header="0"/>
        </w:sectPr>
      </w:pPr>
    </w:p>
    <w:tbl>
      <w:tblPr>
        <w:tblLayout w:type="fixed"/>
        <w:tblInd w:w="5" w:type="dxa"/>
        <w:tblCellMar>
          <w:top w:w="0" w:type="dxa"/>
          <w:left w:w="0" w:type="dxa"/>
          <w:bottom w:w="0" w:type="dxa"/>
          <w:right w:w="0" w:type="dxa"/>
        </w:tblCellMar>
      </w:tblPr>
      <w:tr>
        <w:trPr>
          <w:trHeight w:val="184"/>
        </w:trPr>
        <w:tc>
          <w:tcPr>
            <w:tcW w:w="720" w:type="dxa"/>
            <w:vAlign w:val="bottom"/>
            <w:gridSpan w:val="2"/>
          </w:tcPr>
          <w:p>
            <w:pPr>
              <w:jc w:val="right"/>
              <w:ind w:right="320"/>
              <w:spacing w:after="0"/>
              <w:rPr>
                <w:rFonts w:ascii="Arial" w:cs="Arial" w:eastAsia="Arial" w:hAnsi="Arial"/>
                <w:sz w:val="16"/>
                <w:szCs w:val="16"/>
                <w:color w:val="0000FF"/>
                <w:w w:val="94"/>
              </w:rPr>
            </w:pPr>
            <w:hyperlink r:id="rId87">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31</w:t>
              </w:r>
            </w:hyperlink>
          </w:p>
        </w:tc>
        <w:tc>
          <w:tcPr>
            <w:tcW w:w="5960" w:type="dxa"/>
            <w:vAlign w:val="bottom"/>
          </w:tcPr>
          <w:p>
            <w:pPr>
              <w:ind w:left="320"/>
              <w:spacing w:after="0"/>
              <w:rPr>
                <w:sz w:val="20"/>
                <w:szCs w:val="20"/>
                <w:color w:val="auto"/>
              </w:rPr>
            </w:pPr>
            <w:r>
              <w:rPr>
                <w:rFonts w:ascii="Arial" w:cs="Arial" w:eastAsia="Arial" w:hAnsi="Arial"/>
                <w:sz w:val="16"/>
                <w:szCs w:val="16"/>
                <w:color w:val="auto"/>
              </w:rPr>
              <w:t>First Amendment, dated August 1, 2019, to the Master Services Agreement for</w:t>
            </w:r>
          </w:p>
        </w:tc>
      </w:tr>
      <w:tr>
        <w:trPr>
          <w:trHeight w:val="198"/>
        </w:trPr>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Information Technology Services, dated February 4, 2019, by and between</w:t>
            </w:r>
          </w:p>
        </w:tc>
      </w:tr>
      <w:tr>
        <w:trPr>
          <w:trHeight w:val="195"/>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60" w:type="dxa"/>
            <w:vAlign w:val="bottom"/>
          </w:tcPr>
          <w:p>
            <w:pPr>
              <w:ind w:left="320"/>
              <w:spacing w:after="0"/>
              <w:rPr>
                <w:sz w:val="20"/>
                <w:szCs w:val="20"/>
                <w:color w:val="auto"/>
              </w:rPr>
            </w:pPr>
            <w:r>
              <w:rPr>
                <w:rFonts w:ascii="Arial" w:cs="Arial" w:eastAsia="Arial" w:hAnsi="Arial"/>
                <w:sz w:val="16"/>
                <w:szCs w:val="16"/>
                <w:color w:val="auto"/>
              </w:rPr>
              <w:t>Molina Healthcare, Inc. and Infosys Limited</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Filed as Exhibit 10.1 to registrant’s Form 10-Q filed October 30, 2019</w:t>
      </w:r>
    </w:p>
    <w:p>
      <w:pPr>
        <w:spacing w:after="0" w:line="199" w:lineRule="exact"/>
        <w:rPr>
          <w:sz w:val="20"/>
          <w:szCs w:val="20"/>
          <w:color w:val="auto"/>
        </w:rPr>
      </w:pPr>
    </w:p>
    <w:p>
      <w:pPr>
        <w:sectPr>
          <w:pgSz w:w="11900" w:h="16838" w:orient="portrait"/>
          <w:cols w:equalWidth="0" w:num="2">
            <w:col w:w="6685" w:space="160"/>
            <w:col w:w="4540"/>
          </w:cols>
          <w:pgMar w:left="275" w:top="824" w:right="239" w:bottom="1440" w:gutter="0" w:footer="0" w:header="0"/>
          <w:type w:val="continuous"/>
        </w:sectPr>
      </w:pPr>
    </w:p>
    <w:tbl>
      <w:tblPr>
        <w:tblLayout w:type="fixed"/>
        <w:tblInd w:w="5" w:type="dxa"/>
        <w:tblCellMar>
          <w:top w:w="0" w:type="dxa"/>
          <w:left w:w="0" w:type="dxa"/>
          <w:bottom w:w="0" w:type="dxa"/>
          <w:right w:w="0" w:type="dxa"/>
        </w:tblCellMar>
      </w:tblPr>
      <w:tr>
        <w:trPr>
          <w:trHeight w:val="184"/>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07">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hyperlink>
          </w:p>
        </w:tc>
        <w:tc>
          <w:tcPr>
            <w:tcW w:w="520" w:type="dxa"/>
            <w:vAlign w:val="bottom"/>
          </w:tcPr>
          <w:p>
            <w:pPr>
              <w:spacing w:after="0"/>
              <w:rPr>
                <w:sz w:val="16"/>
                <w:szCs w:val="16"/>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List of subsidiaries</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08">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Consent of Independent Registered Public Accounting Firm</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09">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Section 302 Certification of Chief Executive Officer</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10">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Section 302 Certification of Chief Financial Officer</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11">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5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Certificate of Chief Executive Officer pursuant to 18 U.S.C. Section 1350, as</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04"/>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adopted pursuant to Section 906 of the Sarbanes-Oxley Act of 2002</w:t>
            </w:r>
          </w:p>
        </w:tc>
        <w:tc>
          <w:tcPr>
            <w:tcW w:w="1200" w:type="dxa"/>
            <w:vAlign w:val="bottom"/>
          </w:tcPr>
          <w:p>
            <w:pPr>
              <w:spacing w:after="0"/>
              <w:rPr>
                <w:sz w:val="17"/>
                <w:szCs w:val="17"/>
                <w:color w:val="auto"/>
              </w:rPr>
            </w:pPr>
          </w:p>
        </w:tc>
      </w:tr>
      <w:tr>
        <w:trPr>
          <w:trHeight w:val="209"/>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112">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5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Certificate of Chief Financial Officer pursuant to 18 U.S.C. Section 1350, as</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04"/>
        </w:trPr>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20" w:type="dxa"/>
            <w:vAlign w:val="bottom"/>
          </w:tcPr>
          <w:p>
            <w:pPr>
              <w:ind w:left="200"/>
              <w:spacing w:after="0"/>
              <w:rPr>
                <w:sz w:val="20"/>
                <w:szCs w:val="20"/>
                <w:color w:val="auto"/>
              </w:rPr>
            </w:pPr>
            <w:r>
              <w:rPr>
                <w:rFonts w:ascii="Arial" w:cs="Arial" w:eastAsia="Arial" w:hAnsi="Arial"/>
                <w:sz w:val="16"/>
                <w:szCs w:val="16"/>
                <w:color w:val="auto"/>
              </w:rPr>
              <w:t>adopted pursuant to Section 906 of the Sarbanes-Oxley Act of 2002</w:t>
            </w:r>
          </w:p>
        </w:tc>
        <w:tc>
          <w:tcPr>
            <w:tcW w:w="1200" w:type="dxa"/>
            <w:vAlign w:val="bottom"/>
          </w:tcPr>
          <w:p>
            <w:pPr>
              <w:spacing w:after="0"/>
              <w:rPr>
                <w:sz w:val="17"/>
                <w:szCs w:val="17"/>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Instance Document</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8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582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c>
          <w:tcPr>
            <w:tcW w:w="1200" w:type="dxa"/>
            <w:vAlign w:val="bottom"/>
          </w:tcPr>
          <w:p>
            <w:pPr>
              <w:ind w:left="180"/>
              <w:spacing w:after="0"/>
              <w:rPr>
                <w:sz w:val="20"/>
                <w:szCs w:val="20"/>
                <w:color w:val="auto"/>
              </w:rPr>
            </w:pPr>
            <w:r>
              <w:rPr>
                <w:rFonts w:ascii="Arial" w:cs="Arial" w:eastAsia="Arial" w:hAnsi="Arial"/>
                <w:sz w:val="16"/>
                <w:szCs w:val="16"/>
                <w:color w:val="auto"/>
              </w:rPr>
              <w:t>Filed herewith</w:t>
            </w:r>
          </w:p>
        </w:tc>
      </w:tr>
    </w:tbl>
    <w:p>
      <w:pPr>
        <w:spacing w:after="0" w:line="319" w:lineRule="exact"/>
        <w:rPr>
          <w:sz w:val="20"/>
          <w:szCs w:val="20"/>
          <w:color w:val="auto"/>
        </w:rPr>
      </w:pPr>
    </w:p>
    <w:p>
      <w:pPr>
        <w:ind w:left="1045" w:right="140" w:hanging="1045"/>
        <w:spacing w:after="0" w:line="260" w:lineRule="auto"/>
        <w:tabs>
          <w:tab w:leader="none" w:pos="10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(and/or incorporated by reference) as an exhibit to this Annual Report on Form 10-K pursuant to Item 15(b) of Form 10-K.</w:t>
      </w:r>
    </w:p>
    <w:p>
      <w:pPr>
        <w:spacing w:after="0" w:line="34" w:lineRule="exact"/>
        <w:rPr>
          <w:sz w:val="20"/>
          <w:szCs w:val="20"/>
          <w:color w:val="auto"/>
        </w:rPr>
      </w:pPr>
    </w:p>
    <w:p>
      <w:pPr>
        <w:ind w:left="1045" w:right="40" w:hanging="1045"/>
        <w:spacing w:after="0" w:line="260" w:lineRule="auto"/>
        <w:tabs>
          <w:tab w:leader="none" w:pos="10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34" w:lineRule="exact"/>
        <w:rPr>
          <w:sz w:val="20"/>
          <w:szCs w:val="20"/>
          <w:color w:val="auto"/>
        </w:rPr>
      </w:pPr>
    </w:p>
    <w:p>
      <w:pPr>
        <w:ind w:left="1045" w:right="160" w:hanging="1045"/>
        <w:spacing w:after="0" w:line="253" w:lineRule="auto"/>
        <w:tabs>
          <w:tab w:leader="none" w:pos="10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under Rule 24b-2. The omitted confidential material has been filed separately. The location of the redacted confidential information is indicated in the exhibit as “[redacted]”.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2019 Form 10-K | 99</w:t>
      </w:r>
    </w:p>
    <w:p>
      <w:pPr>
        <w:sectPr>
          <w:pgSz w:w="11900" w:h="16838" w:orient="portrait"/>
          <w:cols w:equalWidth="0" w:num="1">
            <w:col w:w="11385"/>
          </w:cols>
          <w:pgMar w:left="275" w:top="824" w:right="239" w:bottom="1440" w:gutter="0" w:footer="0" w:header="0"/>
          <w:type w:val="continuous"/>
        </w:sectPr>
      </w:pPr>
    </w:p>
    <w:bookmarkStart w:id="102" w:name="page103"/>
    <w:bookmarkEnd w:id="102"/>
    <w:p>
      <w:pPr>
        <w:jc w:val="center"/>
        <w:ind w:right="-39"/>
        <w:spacing w:after="0"/>
        <w:rPr>
          <w:sz w:val="20"/>
          <w:szCs w:val="20"/>
          <w:color w:val="auto"/>
        </w:rPr>
      </w:pPr>
      <w:r>
        <w:rPr>
          <w:rFonts w:ascii="Arial" w:cs="Arial" w:eastAsia="Arial" w:hAnsi="Arial"/>
          <w:sz w:val="20"/>
          <w:szCs w:val="20"/>
          <w:color w:val="auto"/>
        </w:rPr>
        <w:t>AMENDMENT NO. ONE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TO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MOLINA HEALTHCARE, INC.</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AMENDED AND RESTATED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DEFERRED COMPENSATION PLAN (2018)</w:t>
      </w:r>
    </w:p>
    <w:p>
      <w:pPr>
        <w:spacing w:after="0" w:line="13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Section 7 of the Molina Healthcare, Inc. Amended and Restated Deferred Compensation Plan (2018) effective for amounts earned and deferred on or after January 1, 2018 (the “Plan”) allows Molina Healthcare, Inc. (the “Company”) to amend the terms of the Plan, at any time by resolution of the Plan Committee. Accordingly, the Plan Committee amends the Plan as follows, effective, unless otherwise specified herein, for Written Elections for amounts earned and deferred on or after January 1, 2020.</w:t>
      </w:r>
    </w:p>
    <w:p>
      <w:pPr>
        <w:spacing w:after="0" w:line="11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new Section 1.8 is added to read as follows:</w:t>
      </w:r>
    </w:p>
    <w:p>
      <w:pPr>
        <w:spacing w:after="0" w:line="15" w:lineRule="exact"/>
        <w:rPr>
          <w:rFonts w:ascii="Arial" w:cs="Arial" w:eastAsia="Arial" w:hAnsi="Arial"/>
          <w:sz w:val="20"/>
          <w:szCs w:val="20"/>
          <w:color w:val="auto"/>
        </w:rPr>
      </w:pPr>
    </w:p>
    <w:p>
      <w:pPr>
        <w:ind w:left="660"/>
        <w:spacing w:after="0" w:line="244" w:lineRule="auto"/>
        <w:rPr>
          <w:rFonts w:ascii="Arial" w:cs="Arial" w:eastAsia="Arial" w:hAnsi="Arial"/>
          <w:sz w:val="20"/>
          <w:szCs w:val="20"/>
          <w:color w:val="auto"/>
        </w:rPr>
      </w:pPr>
      <w:r>
        <w:rPr>
          <w:rFonts w:ascii="Arial" w:cs="Arial" w:eastAsia="Arial" w:hAnsi="Arial"/>
          <w:sz w:val="20"/>
          <w:szCs w:val="20"/>
          <w:color w:val="auto"/>
        </w:rPr>
        <w:t>“Eligible Employee means a Key Employee who has been designated by the Plan Committee or its designee as eligible to participate in the Plan.”</w:t>
      </w:r>
    </w:p>
    <w:p>
      <w:pPr>
        <w:spacing w:after="0" w:line="110"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Existing Sections 1.8 through 1.15 are renumbered as Sections 1.9 through 1.16 and references to such sections in the remainder of the Plan are updated accordingly.</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Section 1.9, as renumbered, is amended to read as follows:</w:t>
      </w:r>
    </w:p>
    <w:p>
      <w:pPr>
        <w:spacing w:after="0" w:line="229" w:lineRule="exact"/>
        <w:rPr>
          <w:rFonts w:ascii="Arial" w:cs="Arial" w:eastAsia="Arial" w:hAnsi="Arial"/>
          <w:sz w:val="20"/>
          <w:szCs w:val="20"/>
          <w:color w:val="auto"/>
        </w:rPr>
      </w:pPr>
    </w:p>
    <w:p>
      <w:pPr>
        <w:ind w:left="660" w:right="100"/>
        <w:spacing w:after="0" w:line="246" w:lineRule="auto"/>
        <w:rPr>
          <w:rFonts w:ascii="Arial" w:cs="Arial" w:eastAsia="Arial" w:hAnsi="Arial"/>
          <w:sz w:val="20"/>
          <w:szCs w:val="20"/>
          <w:color w:val="auto"/>
        </w:rPr>
      </w:pPr>
      <w:r>
        <w:rPr>
          <w:rFonts w:ascii="Arial" w:cs="Arial" w:eastAsia="Arial" w:hAnsi="Arial"/>
          <w:sz w:val="20"/>
          <w:szCs w:val="20"/>
          <w:color w:val="auto"/>
        </w:rPr>
        <w:t>“Key Employee means an employee of the Company or a Subsidiary, who is (A) a member of a select group of management or highly compensated employees within the meaning of §2520.104-23 of the Department of Labor Regulations, and (B) projected to receive Plan Year Compensation (base pay plus bonus), plus amounts deferred to any 401(k) plan, deferred compensation plan, or cafeteria plan maintained by the Company, of $200,000 or more.”</w:t>
      </w:r>
    </w:p>
    <w:p>
      <w:pPr>
        <w:spacing w:after="0" w:line="110" w:lineRule="exact"/>
        <w:rPr>
          <w:rFonts w:ascii="Arial" w:cs="Arial" w:eastAsia="Arial" w:hAnsi="Arial"/>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Section 1.10, as renumbered, is amended to read as follows:</w:t>
      </w:r>
    </w:p>
    <w:p>
      <w:pPr>
        <w:spacing w:after="0" w:line="229" w:lineRule="exact"/>
        <w:rPr>
          <w:rFonts w:ascii="Arial" w:cs="Arial" w:eastAsia="Arial" w:hAnsi="Arial"/>
          <w:sz w:val="20"/>
          <w:szCs w:val="20"/>
          <w:color w:val="auto"/>
        </w:rPr>
      </w:pPr>
    </w:p>
    <w:p>
      <w:pPr>
        <w:ind w:left="660" w:right="80"/>
        <w:spacing w:after="0" w:line="278" w:lineRule="auto"/>
        <w:rPr>
          <w:rFonts w:ascii="Arial" w:cs="Arial" w:eastAsia="Arial" w:hAnsi="Arial"/>
          <w:sz w:val="20"/>
          <w:szCs w:val="20"/>
          <w:color w:val="auto"/>
        </w:rPr>
      </w:pPr>
      <w:r>
        <w:rPr>
          <w:rFonts w:ascii="Arial" w:cs="Arial" w:eastAsia="Arial" w:hAnsi="Arial"/>
          <w:sz w:val="18"/>
          <w:szCs w:val="18"/>
          <w:color w:val="auto"/>
        </w:rPr>
        <w:t>“Participant means (A) an Eligible Employee who timely files a Written Election pursuant to Section 2.3, below, and (B) a former employee who, at the time of his Separation from Service, death, or Disability, retains, or whose beneficiary retains, benefits earned under the Plan in accordance with its terms. A Participant is considered an Active Participant in the Plan (even if the Participant no longer satisfies the requirements of Section 1.9(B) but subject to the right of the Plan Committee or its designee to no longer designate such employee as an Eligible Employee) until the Participant separates from service under the terms of this Plan.”</w:t>
      </w:r>
    </w:p>
    <w:p>
      <w:pPr>
        <w:spacing w:after="0" w:line="84" w:lineRule="exact"/>
        <w:rPr>
          <w:rFonts w:ascii="Arial" w:cs="Arial" w:eastAsia="Arial" w:hAnsi="Arial"/>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Section 1.14, as renumbered, is amended to read as follows:</w:t>
      </w:r>
    </w:p>
    <w:p>
      <w:pPr>
        <w:spacing w:after="0" w:line="229" w:lineRule="exact"/>
        <w:rPr>
          <w:rFonts w:ascii="Arial" w:cs="Arial" w:eastAsia="Arial" w:hAnsi="Arial"/>
          <w:sz w:val="20"/>
          <w:szCs w:val="20"/>
          <w:color w:val="auto"/>
        </w:rPr>
      </w:pPr>
    </w:p>
    <w:p>
      <w:pPr>
        <w:ind w:left="660" w:right="20"/>
        <w:spacing w:after="0" w:line="246" w:lineRule="auto"/>
        <w:rPr>
          <w:rFonts w:ascii="Arial" w:cs="Arial" w:eastAsia="Arial" w:hAnsi="Arial"/>
          <w:sz w:val="20"/>
          <w:szCs w:val="20"/>
          <w:color w:val="auto"/>
        </w:rPr>
      </w:pPr>
      <w:r>
        <w:rPr>
          <w:rFonts w:ascii="Arial" w:cs="Arial" w:eastAsia="Arial" w:hAnsi="Arial"/>
          <w:sz w:val="20"/>
          <w:szCs w:val="20"/>
          <w:color w:val="auto"/>
        </w:rPr>
        <w:t>“Plan Year Compensation means base salary, annual bonus, commissions, PTO cashout and other cash compensation earned during the Plan Year (or portion thereof in which the Eligible Employee is a Participant in this Plan) other than reimbursements and expense allowances, cash stipends, sign-on bonus, relocation bonus and retention bonus. Plan Year Compensation excludes all equity-based compensation.”</w:t>
      </w:r>
    </w:p>
    <w:p>
      <w:pPr>
        <w:spacing w:after="0" w:line="110" w:lineRule="exact"/>
        <w:rPr>
          <w:rFonts w:ascii="Arial" w:cs="Arial" w:eastAsia="Arial" w:hAnsi="Arial"/>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Section 1.16, as renumbered, is deleted.</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919" w:right="279" w:bottom="1440" w:gutter="0" w:footer="0" w:header="0"/>
        </w:sectPr>
      </w:pPr>
    </w:p>
    <w:bookmarkStart w:id="103" w:name="page104"/>
    <w:bookmarkEnd w:id="103"/>
    <w:p>
      <w:pPr>
        <w:ind w:left="328" w:hanging="328"/>
        <w:spacing w:after="0"/>
        <w:tabs>
          <w:tab w:leader="none" w:pos="328"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Section 1.19 is amended to read as follows:</w:t>
      </w:r>
    </w:p>
    <w:p>
      <w:pPr>
        <w:spacing w:after="0" w:line="229" w:lineRule="exact"/>
        <w:rPr>
          <w:rFonts w:ascii="Arial" w:cs="Arial" w:eastAsia="Arial" w:hAnsi="Arial"/>
          <w:sz w:val="20"/>
          <w:szCs w:val="20"/>
          <w:color w:val="auto"/>
        </w:rPr>
      </w:pPr>
    </w:p>
    <w:p>
      <w:pPr>
        <w:ind w:left="328"/>
        <w:spacing w:after="0"/>
        <w:rPr>
          <w:rFonts w:ascii="Arial" w:cs="Arial" w:eastAsia="Arial" w:hAnsi="Arial"/>
          <w:sz w:val="20"/>
          <w:szCs w:val="20"/>
          <w:color w:val="auto"/>
        </w:rPr>
      </w:pPr>
      <w:r>
        <w:rPr>
          <w:rFonts w:ascii="Arial" w:cs="Arial" w:eastAsia="Arial" w:hAnsi="Arial"/>
          <w:sz w:val="20"/>
          <w:szCs w:val="20"/>
          <w:color w:val="auto"/>
        </w:rPr>
        <w:t>“Trustee means the institutional trustee under the terms of the Trust Agreement established in connection with this Plan.”</w:t>
      </w:r>
    </w:p>
    <w:p>
      <w:pPr>
        <w:spacing w:after="0" w:line="134" w:lineRule="exact"/>
        <w:rPr>
          <w:rFonts w:ascii="Arial" w:cs="Arial" w:eastAsia="Arial" w:hAnsi="Arial"/>
          <w:sz w:val="20"/>
          <w:szCs w:val="20"/>
          <w:color w:val="auto"/>
        </w:rPr>
      </w:pPr>
    </w:p>
    <w:p>
      <w:pPr>
        <w:ind w:left="328" w:hanging="328"/>
        <w:spacing w:after="0"/>
        <w:tabs>
          <w:tab w:leader="none" w:pos="328"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Section 2.1 is amended to read as follows:</w:t>
      </w:r>
    </w:p>
    <w:p>
      <w:pPr>
        <w:spacing w:after="0" w:line="229" w:lineRule="exact"/>
        <w:rPr>
          <w:rFonts w:ascii="Arial" w:cs="Arial" w:eastAsia="Arial" w:hAnsi="Arial"/>
          <w:sz w:val="20"/>
          <w:szCs w:val="20"/>
          <w:color w:val="auto"/>
        </w:rPr>
      </w:pPr>
    </w:p>
    <w:p>
      <w:pPr>
        <w:ind w:left="328" w:right="160"/>
        <w:spacing w:after="0" w:line="250" w:lineRule="auto"/>
        <w:rPr>
          <w:rFonts w:ascii="Arial" w:cs="Arial" w:eastAsia="Arial" w:hAnsi="Arial"/>
          <w:sz w:val="20"/>
          <w:szCs w:val="20"/>
          <w:color w:val="auto"/>
        </w:rPr>
      </w:pPr>
      <w:r>
        <w:rPr>
          <w:rFonts w:ascii="Arial" w:cs="Arial" w:eastAsia="Arial" w:hAnsi="Arial"/>
          <w:sz w:val="20"/>
          <w:szCs w:val="20"/>
          <w:color w:val="auto"/>
        </w:rPr>
        <w:t>“Eligibility. Employees who are newly designated as Eligible Employees will be provided written notice of eligibility and enrollment materials for entry into the Plan. A Participant will remain eligible to participate in the Plan for each subsequent Plan Year unless notified otherwise by the Plan Committee.”</w:t>
      </w:r>
    </w:p>
    <w:p>
      <w:pPr>
        <w:spacing w:after="0" w:line="199" w:lineRule="exact"/>
        <w:rPr>
          <w:rFonts w:ascii="Arial" w:cs="Arial" w:eastAsia="Arial" w:hAnsi="Arial"/>
          <w:sz w:val="20"/>
          <w:szCs w:val="20"/>
          <w:color w:val="auto"/>
        </w:rPr>
      </w:pPr>
    </w:p>
    <w:p>
      <w:pPr>
        <w:ind w:left="328" w:hanging="328"/>
        <w:spacing w:after="0"/>
        <w:tabs>
          <w:tab w:leader="none" w:pos="328"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Section 2.2 is amended to read as follows:</w:t>
      </w:r>
    </w:p>
    <w:p>
      <w:pPr>
        <w:spacing w:after="0" w:line="229" w:lineRule="exact"/>
        <w:rPr>
          <w:rFonts w:ascii="Arial" w:cs="Arial" w:eastAsia="Arial" w:hAnsi="Arial"/>
          <w:sz w:val="20"/>
          <w:szCs w:val="20"/>
          <w:color w:val="auto"/>
        </w:rPr>
      </w:pPr>
    </w:p>
    <w:p>
      <w:pPr>
        <w:ind w:left="328" w:right="200"/>
        <w:spacing w:after="0" w:line="246" w:lineRule="auto"/>
        <w:rPr>
          <w:rFonts w:ascii="Arial" w:cs="Arial" w:eastAsia="Arial" w:hAnsi="Arial"/>
          <w:sz w:val="20"/>
          <w:szCs w:val="20"/>
          <w:color w:val="auto"/>
        </w:rPr>
      </w:pPr>
      <w:r>
        <w:rPr>
          <w:rFonts w:ascii="Arial" w:cs="Arial" w:eastAsia="Arial" w:hAnsi="Arial"/>
          <w:sz w:val="20"/>
          <w:szCs w:val="20"/>
          <w:color w:val="auto"/>
        </w:rPr>
        <w:t>“Entry Date. An Eligible Employee becomes a Participant on the first day of the calendar quarter immediately following receipt of notice of eligibility; provided, that, the Eligible Employee timely submits a Written Election in accordance with Section 2.3. An Eligible Employee who fails to meet the requirements of Section 2.3 shall become a Participant on the first day of the next Plan Year following timely submission of a Written Election as specified in Section 2.3.”</w:t>
      </w:r>
    </w:p>
    <w:p>
      <w:pPr>
        <w:spacing w:after="0" w:line="205" w:lineRule="exact"/>
        <w:rPr>
          <w:rFonts w:ascii="Arial" w:cs="Arial" w:eastAsia="Arial" w:hAnsi="Arial"/>
          <w:sz w:val="20"/>
          <w:szCs w:val="20"/>
          <w:color w:val="auto"/>
        </w:rPr>
      </w:pPr>
    </w:p>
    <w:p>
      <w:pPr>
        <w:ind w:left="328" w:hanging="328"/>
        <w:spacing w:after="0"/>
        <w:tabs>
          <w:tab w:leader="none" w:pos="32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first paragraph of Section 2.3 is amended to read as follows:</w:t>
      </w:r>
    </w:p>
    <w:p>
      <w:pPr>
        <w:spacing w:after="0" w:line="229" w:lineRule="exact"/>
        <w:rPr>
          <w:rFonts w:ascii="Arial" w:cs="Arial" w:eastAsia="Arial" w:hAnsi="Arial"/>
          <w:sz w:val="20"/>
          <w:szCs w:val="20"/>
          <w:color w:val="auto"/>
        </w:rPr>
      </w:pPr>
    </w:p>
    <w:p>
      <w:pPr>
        <w:ind w:left="328"/>
        <w:spacing w:after="0" w:line="272" w:lineRule="auto"/>
        <w:rPr>
          <w:rFonts w:ascii="Arial" w:cs="Arial" w:eastAsia="Arial" w:hAnsi="Arial"/>
          <w:sz w:val="20"/>
          <w:szCs w:val="20"/>
          <w:color w:val="auto"/>
        </w:rPr>
      </w:pPr>
      <w:r>
        <w:rPr>
          <w:rFonts w:ascii="Arial" w:cs="Arial" w:eastAsia="Arial" w:hAnsi="Arial"/>
          <w:sz w:val="18"/>
          <w:szCs w:val="18"/>
          <w:color w:val="auto"/>
        </w:rPr>
        <w:t>“Written Election by Participant. A newly Eligible Employee may defer Plan Year Compensation to be earned in the same Plan Year of his or her initial eligibility by submitting a Written Election in accordance with the procedures approved by the Plan Committee not later than 30 days after he or she first receives enrollment materials under Section 2.1. Such election becomes irrevocable on the 30th day after he or she first receives enrollment materials and is effective for the first payroll period beginning in the next calendar quarter. To the extent the election applies to an item of Plan Year Compensation earned over more than one payroll period that commenced prior to the beginning of such calendar quarter, the maximum deferrable amount of such Plan Year Compensation is a fraction of such compensation with the numerator equal to the number of days from the beginning of the calendar quarter in which the Written Election is effective and the denominator is the total number of days in the service period. In no event will the amount of an item of deferrable Plan Year Compensation exceed the limits set forth in Section 3.1.</w:t>
      </w:r>
    </w:p>
    <w:p>
      <w:pPr>
        <w:spacing w:after="0" w:line="184" w:lineRule="exact"/>
        <w:rPr>
          <w:rFonts w:ascii="Arial" w:cs="Arial" w:eastAsia="Arial" w:hAnsi="Arial"/>
          <w:sz w:val="20"/>
          <w:szCs w:val="20"/>
          <w:color w:val="auto"/>
        </w:rPr>
      </w:pPr>
    </w:p>
    <w:p>
      <w:pPr>
        <w:ind w:left="328" w:right="120"/>
        <w:spacing w:after="0" w:line="260" w:lineRule="auto"/>
        <w:rPr>
          <w:rFonts w:ascii="Arial" w:cs="Arial" w:eastAsia="Arial" w:hAnsi="Arial"/>
          <w:sz w:val="20"/>
          <w:szCs w:val="20"/>
          <w:color w:val="auto"/>
        </w:rPr>
      </w:pPr>
      <w:r>
        <w:rPr>
          <w:rFonts w:ascii="Arial" w:cs="Arial" w:eastAsia="Arial" w:hAnsi="Arial"/>
          <w:sz w:val="19"/>
          <w:szCs w:val="19"/>
          <w:color w:val="auto"/>
        </w:rPr>
        <w:t>All Participants may submit Written Elections applicable to Plan Year Compensation earned in the next following Plan Year by submitting Written Elections no later than the last day of the current Plan Year. A Written Election applicable to Plan Year Compensation earned over more than one Plan Year shall be made before the Plan Year in which the service period applicable to such Plan Year Compensation begins and shall remain in effect for all Plan Years in which the related services are performed. Elections for the next Plan Year become irrevocable on the last day of the current Plan Year.</w:t>
      </w:r>
    </w:p>
    <w:p>
      <w:pPr>
        <w:spacing w:after="0" w:line="194" w:lineRule="exact"/>
        <w:rPr>
          <w:rFonts w:ascii="Arial" w:cs="Arial" w:eastAsia="Arial" w:hAnsi="Arial"/>
          <w:sz w:val="20"/>
          <w:szCs w:val="20"/>
          <w:color w:val="auto"/>
        </w:rPr>
      </w:pPr>
    </w:p>
    <w:p>
      <w:pPr>
        <w:jc w:val="both"/>
        <w:ind w:left="328" w:right="40"/>
        <w:spacing w:after="0" w:line="246" w:lineRule="auto"/>
        <w:rPr>
          <w:rFonts w:ascii="Arial" w:cs="Arial" w:eastAsia="Arial" w:hAnsi="Arial"/>
          <w:sz w:val="20"/>
          <w:szCs w:val="20"/>
          <w:color w:val="auto"/>
        </w:rPr>
      </w:pPr>
      <w:r>
        <w:rPr>
          <w:rFonts w:ascii="Arial" w:cs="Arial" w:eastAsia="Arial" w:hAnsi="Arial"/>
          <w:sz w:val="20"/>
          <w:szCs w:val="20"/>
          <w:color w:val="auto"/>
        </w:rPr>
        <w:t>In order to be valid for purposes of Code Section 409A, all Written Elections must contain the items set forth in Section 2.3(a), except subparagraph (iii); provided, however, a Participant’s initial election in Section 2.3(a) subparagraphs (iv) and (v) shall remain in effect for all subsequent Plan Years unless changed in accordance with Section 2.3(e). Valid elections (those meeting the requirements of this Section 2.3) are referred to herein as ‘Written Elections’.”</w:t>
      </w:r>
    </w:p>
    <w:p>
      <w:pPr>
        <w:spacing w:after="0" w:line="200" w:lineRule="exact"/>
        <w:rPr>
          <w:sz w:val="20"/>
          <w:szCs w:val="20"/>
          <w:color w:val="auto"/>
        </w:rPr>
      </w:pPr>
    </w:p>
    <w:p>
      <w:pPr>
        <w:spacing w:after="0" w:line="224"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8"/>
          </w:cols>
          <w:pgMar w:left="572" w:top="555" w:right="299" w:bottom="1440" w:gutter="0" w:footer="0" w:header="0"/>
        </w:sectPr>
      </w:pPr>
    </w:p>
    <w:bookmarkStart w:id="104" w:name="page105"/>
    <w:bookmarkEnd w:id="104"/>
    <w:p>
      <w:pPr>
        <w:ind w:left="8"/>
        <w:spacing w:after="0"/>
        <w:rPr>
          <w:sz w:val="20"/>
          <w:szCs w:val="20"/>
          <w:color w:val="auto"/>
        </w:rPr>
      </w:pPr>
      <w:r>
        <w:rPr>
          <w:rFonts w:ascii="Arial" w:cs="Arial" w:eastAsia="Arial" w:hAnsi="Arial"/>
          <w:sz w:val="16"/>
          <w:szCs w:val="16"/>
          <w:color w:val="auto"/>
        </w:rPr>
        <w:t>11. Section 2.3(a) is amended to read as follows:</w:t>
      </w:r>
    </w:p>
    <w:p>
      <w:pPr>
        <w:sectPr>
          <w:pgSz w:w="11900" w:h="16838" w:orient="portrait"/>
          <w:cols w:equalWidth="0" w:num="1">
            <w:col w:w="11088"/>
          </w:cols>
          <w:pgMar w:left="572" w:top="784" w:right="239" w:bottom="1440" w:gutter="0" w:footer="0" w:header="0"/>
        </w:sectPr>
      </w:pPr>
    </w:p>
    <w:p>
      <w:pPr>
        <w:spacing w:after="0" w:line="27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Such Written Election shall be made on the form presented to the Participant by the Plan Committee or its designee and shall set forth:</w:t>
      </w:r>
    </w:p>
    <w:p>
      <w:pPr>
        <w:spacing w:after="0" w:line="190" w:lineRule="exact"/>
        <w:rPr>
          <w:sz w:val="20"/>
          <w:szCs w:val="20"/>
          <w:color w:val="auto"/>
        </w:rPr>
      </w:pPr>
    </w:p>
    <w:p>
      <w:pPr>
        <w:sectPr>
          <w:pgSz w:w="11900" w:h="16838" w:orient="portrait"/>
          <w:cols w:equalWidth="0" w:num="2">
            <w:col w:w="548" w:space="420"/>
            <w:col w:w="10120"/>
          </w:cols>
          <w:pgMar w:left="572" w:top="784" w:right="239" w:bottom="1440" w:gutter="0" w:footer="0" w:header="0"/>
          <w:type w:val="continuous"/>
        </w:sectPr>
      </w:pPr>
    </w:p>
    <w:p>
      <w:pPr>
        <w:ind w:left="1628" w:hanging="655"/>
        <w:spacing w:after="0"/>
        <w:tabs>
          <w:tab w:leader="none" w:pos="1628" w:val="left"/>
        </w:tabs>
        <w:numPr>
          <w:ilvl w:val="1"/>
          <w:numId w:val="46"/>
        </w:numPr>
        <w:rPr>
          <w:rFonts w:ascii="Arial" w:cs="Arial" w:eastAsia="Arial" w:hAnsi="Arial"/>
          <w:sz w:val="20"/>
          <w:szCs w:val="20"/>
          <w:color w:val="auto"/>
        </w:rPr>
      </w:pPr>
      <w:r>
        <w:rPr>
          <w:rFonts w:ascii="Arial" w:cs="Arial" w:eastAsia="Arial" w:hAnsi="Arial"/>
          <w:sz w:val="20"/>
          <w:szCs w:val="20"/>
          <w:color w:val="auto"/>
        </w:rPr>
        <w:t>his election to participate in this Plan under the terms hereof;</w:t>
      </w:r>
    </w:p>
    <w:p>
      <w:pPr>
        <w:spacing w:after="0" w:line="229" w:lineRule="exact"/>
        <w:rPr>
          <w:rFonts w:ascii="Arial" w:cs="Arial" w:eastAsia="Arial" w:hAnsi="Arial"/>
          <w:sz w:val="20"/>
          <w:szCs w:val="20"/>
          <w:color w:val="auto"/>
        </w:rPr>
      </w:pPr>
    </w:p>
    <w:p>
      <w:pPr>
        <w:ind w:left="1628" w:right="620" w:hanging="655"/>
        <w:spacing w:after="0" w:line="260" w:lineRule="auto"/>
        <w:tabs>
          <w:tab w:leader="none" w:pos="1628"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amount of Plan Year Compensation the Participant has determined to defer under the Plan for the Plan Year, pursuant to Section 3.1 below;</w:t>
      </w:r>
    </w:p>
    <w:p>
      <w:pPr>
        <w:spacing w:after="0" w:line="190" w:lineRule="exact"/>
        <w:rPr>
          <w:rFonts w:ascii="Arial" w:cs="Arial" w:eastAsia="Arial" w:hAnsi="Arial"/>
          <w:sz w:val="20"/>
          <w:szCs w:val="20"/>
          <w:color w:val="auto"/>
        </w:rPr>
      </w:pPr>
    </w:p>
    <w:p>
      <w:pPr>
        <w:ind w:left="1628" w:right="20" w:hanging="655"/>
        <w:spacing w:after="0" w:line="250" w:lineRule="auto"/>
        <w:tabs>
          <w:tab w:leader="none" w:pos="1628"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investment vehicles into which the Participant desires to have his Account attributable to deferral of Plan Year Compensation invested, as provided in Section 3.5 below, and the percentage of such Account allocated to each elected investment vehicle;</w:t>
      </w:r>
    </w:p>
    <w:p>
      <w:pPr>
        <w:spacing w:after="0" w:line="199" w:lineRule="exact"/>
        <w:rPr>
          <w:rFonts w:ascii="Arial" w:cs="Arial" w:eastAsia="Arial" w:hAnsi="Arial"/>
          <w:sz w:val="20"/>
          <w:szCs w:val="20"/>
          <w:color w:val="auto"/>
        </w:rPr>
      </w:pPr>
    </w:p>
    <w:p>
      <w:pPr>
        <w:ind w:left="1628" w:right="200" w:hanging="655"/>
        <w:spacing w:after="0" w:line="250" w:lineRule="auto"/>
        <w:tabs>
          <w:tab w:leader="none" w:pos="1628"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date on which distribution of his benefit is to be made or commence, which is the earlier of: (a) the date specified for an In-Service Withdrawal; or (b) the date he separates from service with the Company or a Subsidiary for any reason; and</w:t>
      </w:r>
    </w:p>
    <w:p>
      <w:pPr>
        <w:spacing w:after="0" w:line="199" w:lineRule="exact"/>
        <w:rPr>
          <w:rFonts w:ascii="Arial" w:cs="Arial" w:eastAsia="Arial" w:hAnsi="Arial"/>
          <w:sz w:val="20"/>
          <w:szCs w:val="20"/>
          <w:color w:val="auto"/>
        </w:rPr>
      </w:pPr>
    </w:p>
    <w:p>
      <w:pPr>
        <w:ind w:left="1628" w:hanging="655"/>
        <w:spacing w:after="0" w:line="260" w:lineRule="auto"/>
        <w:tabs>
          <w:tab w:leader="none" w:pos="1628" w:val="left"/>
        </w:tabs>
        <w:numPr>
          <w:ilvl w:val="1"/>
          <w:numId w:val="46"/>
        </w:numPr>
        <w:rPr>
          <w:rFonts w:ascii="Arial" w:cs="Arial" w:eastAsia="Arial" w:hAnsi="Arial"/>
          <w:sz w:val="20"/>
          <w:szCs w:val="20"/>
          <w:color w:val="auto"/>
        </w:rPr>
      </w:pPr>
      <w:r>
        <w:rPr>
          <w:rFonts w:ascii="Arial" w:cs="Arial" w:eastAsia="Arial" w:hAnsi="Arial"/>
          <w:sz w:val="20"/>
          <w:szCs w:val="20"/>
          <w:color w:val="auto"/>
        </w:rPr>
        <w:t>the form in which his benefit is to be distributed upon an In-Service Withdrawal, Separation from Service, Disability or death.”</w:t>
      </w:r>
    </w:p>
    <w:p>
      <w:pPr>
        <w:spacing w:after="0" w:line="190" w:lineRule="exact"/>
        <w:rPr>
          <w:rFonts w:ascii="Arial" w:cs="Arial" w:eastAsia="Arial" w:hAnsi="Arial"/>
          <w:sz w:val="20"/>
          <w:szCs w:val="20"/>
          <w:color w:val="auto"/>
        </w:rPr>
      </w:pPr>
    </w:p>
    <w:p>
      <w:pPr>
        <w:ind w:left="328" w:hanging="328"/>
        <w:spacing w:after="0"/>
        <w:tabs>
          <w:tab w:leader="none" w:pos="328" w:val="left"/>
        </w:tabs>
        <w:numPr>
          <w:ilvl w:val="0"/>
          <w:numId w:val="47"/>
        </w:numPr>
        <w:rPr>
          <w:rFonts w:ascii="Arial" w:cs="Arial" w:eastAsia="Arial" w:hAnsi="Arial"/>
          <w:sz w:val="20"/>
          <w:szCs w:val="20"/>
          <w:color w:val="auto"/>
        </w:rPr>
      </w:pPr>
      <w:r>
        <w:rPr>
          <w:rFonts w:ascii="Arial" w:cs="Arial" w:eastAsia="Arial" w:hAnsi="Arial"/>
          <w:sz w:val="20"/>
          <w:szCs w:val="20"/>
          <w:color w:val="auto"/>
        </w:rPr>
        <w:t>Section 2.3(b) is amended to read as follows:</w:t>
      </w:r>
    </w:p>
    <w:p>
      <w:pPr>
        <w:spacing w:after="0" w:line="229" w:lineRule="exact"/>
        <w:rPr>
          <w:rFonts w:ascii="Arial" w:cs="Arial" w:eastAsia="Arial" w:hAnsi="Arial"/>
          <w:sz w:val="20"/>
          <w:szCs w:val="20"/>
          <w:color w:val="auto"/>
        </w:rPr>
      </w:pPr>
    </w:p>
    <w:p>
      <w:pPr>
        <w:ind w:left="328" w:right="20"/>
        <w:spacing w:after="0" w:line="287" w:lineRule="auto"/>
        <w:rPr>
          <w:rFonts w:ascii="Arial" w:cs="Arial" w:eastAsia="Arial" w:hAnsi="Arial"/>
          <w:sz w:val="20"/>
          <w:szCs w:val="20"/>
          <w:color w:val="auto"/>
        </w:rPr>
      </w:pPr>
      <w:r>
        <w:rPr>
          <w:rFonts w:ascii="Arial" w:cs="Arial" w:eastAsia="Arial" w:hAnsi="Arial"/>
          <w:sz w:val="19"/>
          <w:szCs w:val="19"/>
          <w:color w:val="auto"/>
        </w:rPr>
        <w:t>“Beginning with the 2020 enrollment for the 2021 Plan Year, Written Elections will continue in effect for subsequent Plan Years, unless revoked or modified in writing by the Participant or the Plan Committee prior to the last day of the current Plan Year.</w:t>
      </w:r>
    </w:p>
    <w:p>
      <w:pPr>
        <w:spacing w:after="0" w:line="71" w:lineRule="exact"/>
        <w:rPr>
          <w:rFonts w:ascii="Arial" w:cs="Arial" w:eastAsia="Arial" w:hAnsi="Arial"/>
          <w:sz w:val="20"/>
          <w:szCs w:val="20"/>
          <w:color w:val="auto"/>
        </w:rPr>
      </w:pPr>
    </w:p>
    <w:p>
      <w:pPr>
        <w:ind w:left="328" w:right="160"/>
        <w:spacing w:after="0" w:line="246" w:lineRule="auto"/>
        <w:rPr>
          <w:rFonts w:ascii="Arial" w:cs="Arial" w:eastAsia="Arial" w:hAnsi="Arial"/>
          <w:sz w:val="20"/>
          <w:szCs w:val="20"/>
          <w:color w:val="auto"/>
        </w:rPr>
      </w:pPr>
      <w:r>
        <w:rPr>
          <w:rFonts w:ascii="Arial" w:cs="Arial" w:eastAsia="Arial" w:hAnsi="Arial"/>
          <w:sz w:val="20"/>
          <w:szCs w:val="20"/>
          <w:color w:val="auto"/>
        </w:rPr>
        <w:t>A Written Election is deemed to be revoked for a subsequent Plan Year if the Participant is notified in writing prior to the last day of the current Plan Year that he or she is no longer an Eligible Employee. Written Elections shall be irrevocable on and after the first day of the Plan Year for which the election was made, unless the Written Election is cancelled during the current Plan Year due to an Unforeseeable Financial Emergency in accordance with Section 5.5.”</w:t>
      </w:r>
    </w:p>
    <w:p>
      <w:pPr>
        <w:spacing w:after="0" w:line="110" w:lineRule="exact"/>
        <w:rPr>
          <w:rFonts w:ascii="Arial" w:cs="Arial" w:eastAsia="Arial" w:hAnsi="Arial"/>
          <w:sz w:val="20"/>
          <w:szCs w:val="20"/>
          <w:color w:val="auto"/>
        </w:rPr>
      </w:pPr>
    </w:p>
    <w:p>
      <w:pPr>
        <w:ind w:left="328" w:hanging="328"/>
        <w:spacing w:after="0"/>
        <w:tabs>
          <w:tab w:leader="none" w:pos="328" w:val="left"/>
        </w:tabs>
        <w:numPr>
          <w:ilvl w:val="0"/>
          <w:numId w:val="47"/>
        </w:numPr>
        <w:rPr>
          <w:rFonts w:ascii="Arial" w:cs="Arial" w:eastAsia="Arial" w:hAnsi="Arial"/>
          <w:sz w:val="20"/>
          <w:szCs w:val="20"/>
          <w:color w:val="auto"/>
        </w:rPr>
      </w:pPr>
      <w:r>
        <w:rPr>
          <w:rFonts w:ascii="Arial" w:cs="Arial" w:eastAsia="Arial" w:hAnsi="Arial"/>
          <w:sz w:val="20"/>
          <w:szCs w:val="20"/>
          <w:color w:val="auto"/>
        </w:rPr>
        <w:t>Section 2.4 is amended to read as follows:</w:t>
      </w:r>
    </w:p>
    <w:p>
      <w:pPr>
        <w:spacing w:after="0" w:line="15" w:lineRule="exact"/>
        <w:rPr>
          <w:rFonts w:ascii="Arial" w:cs="Arial" w:eastAsia="Arial" w:hAnsi="Arial"/>
          <w:sz w:val="20"/>
          <w:szCs w:val="20"/>
          <w:color w:val="auto"/>
        </w:rPr>
      </w:pPr>
    </w:p>
    <w:p>
      <w:pPr>
        <w:ind w:left="328" w:right="20"/>
        <w:spacing w:after="0" w:line="241" w:lineRule="auto"/>
        <w:rPr>
          <w:rFonts w:ascii="Arial" w:cs="Arial" w:eastAsia="Arial" w:hAnsi="Arial"/>
          <w:sz w:val="20"/>
          <w:szCs w:val="20"/>
          <w:color w:val="auto"/>
        </w:rPr>
      </w:pPr>
      <w:r>
        <w:rPr>
          <w:rFonts w:ascii="Arial" w:cs="Arial" w:eastAsia="Arial" w:hAnsi="Arial"/>
          <w:sz w:val="20"/>
          <w:szCs w:val="20"/>
          <w:color w:val="auto"/>
        </w:rPr>
        <w:t>“Duration of Participation. Any Eligible Employee who has become a Participant at any time shall remain a Participant, even though he is no longer an Active Participant, until his entire benefit under the terms of the Plan has been paid to him (or to his Beneficiary in the event of his death), at which time he ceases to be a Participant.”</w:t>
      </w:r>
    </w:p>
    <w:p>
      <w:pPr>
        <w:spacing w:after="0" w:line="209" w:lineRule="exact"/>
        <w:rPr>
          <w:rFonts w:ascii="Arial" w:cs="Arial" w:eastAsia="Arial" w:hAnsi="Arial"/>
          <w:sz w:val="20"/>
          <w:szCs w:val="20"/>
          <w:color w:val="auto"/>
        </w:rPr>
      </w:pPr>
    </w:p>
    <w:p>
      <w:pPr>
        <w:ind w:left="328" w:hanging="328"/>
        <w:spacing w:after="0"/>
        <w:tabs>
          <w:tab w:leader="none" w:pos="32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first sentence of Section 3.1 is amended to read as follows:</w:t>
      </w:r>
    </w:p>
    <w:p>
      <w:pPr>
        <w:spacing w:after="0" w:line="15" w:lineRule="exact"/>
        <w:rPr>
          <w:rFonts w:ascii="Arial" w:cs="Arial" w:eastAsia="Arial" w:hAnsi="Arial"/>
          <w:sz w:val="20"/>
          <w:szCs w:val="20"/>
          <w:color w:val="auto"/>
        </w:rPr>
      </w:pPr>
    </w:p>
    <w:p>
      <w:pPr>
        <w:ind w:left="328" w:right="120"/>
        <w:spacing w:after="0" w:line="269" w:lineRule="auto"/>
        <w:rPr>
          <w:rFonts w:ascii="Arial" w:cs="Arial" w:eastAsia="Arial" w:hAnsi="Arial"/>
          <w:sz w:val="20"/>
          <w:szCs w:val="20"/>
          <w:color w:val="auto"/>
        </w:rPr>
      </w:pPr>
      <w:r>
        <w:rPr>
          <w:rFonts w:ascii="Arial" w:cs="Arial" w:eastAsia="Arial" w:hAnsi="Arial"/>
          <w:sz w:val="19"/>
          <w:szCs w:val="19"/>
          <w:color w:val="auto"/>
        </w:rPr>
        <w:t>“A Participant may elect to defer (i) up to 75% of Plan Year Compensation consisting of base pay and PTO cashout (referred to herein as “base pay”) and (ii) up to 90% of all other Plan Year Compensation (referred to herein as “bonus pay”).”</w:t>
      </w:r>
    </w:p>
    <w:p>
      <w:pPr>
        <w:spacing w:after="0" w:line="182" w:lineRule="exact"/>
        <w:rPr>
          <w:rFonts w:ascii="Arial" w:cs="Arial" w:eastAsia="Arial" w:hAnsi="Arial"/>
          <w:sz w:val="20"/>
          <w:szCs w:val="20"/>
          <w:color w:val="auto"/>
        </w:rPr>
      </w:pPr>
    </w:p>
    <w:p>
      <w:pPr>
        <w:ind w:left="328" w:hanging="328"/>
        <w:spacing w:after="0"/>
        <w:tabs>
          <w:tab w:leader="none" w:pos="328" w:val="left"/>
        </w:tabs>
        <w:numPr>
          <w:ilvl w:val="0"/>
          <w:numId w:val="47"/>
        </w:numPr>
        <w:rPr>
          <w:rFonts w:ascii="Arial" w:cs="Arial" w:eastAsia="Arial" w:hAnsi="Arial"/>
          <w:sz w:val="20"/>
          <w:szCs w:val="20"/>
          <w:color w:val="auto"/>
        </w:rPr>
      </w:pPr>
      <w:r>
        <w:rPr>
          <w:rFonts w:ascii="Arial" w:cs="Arial" w:eastAsia="Arial" w:hAnsi="Arial"/>
          <w:sz w:val="20"/>
          <w:szCs w:val="20"/>
          <w:color w:val="auto"/>
        </w:rPr>
        <w:t>Section 3.3 is amended to read as follows:</w:t>
      </w:r>
    </w:p>
    <w:p>
      <w:pPr>
        <w:spacing w:after="0" w:line="229" w:lineRule="exact"/>
        <w:rPr>
          <w:sz w:val="20"/>
          <w:szCs w:val="20"/>
          <w:color w:val="auto"/>
        </w:rPr>
      </w:pPr>
    </w:p>
    <w:p>
      <w:pPr>
        <w:ind w:left="328" w:right="120"/>
        <w:spacing w:after="0" w:line="260" w:lineRule="auto"/>
        <w:rPr>
          <w:sz w:val="20"/>
          <w:szCs w:val="20"/>
          <w:color w:val="auto"/>
        </w:rPr>
      </w:pPr>
      <w:r>
        <w:rPr>
          <w:rFonts w:ascii="Arial" w:cs="Arial" w:eastAsia="Arial" w:hAnsi="Arial"/>
          <w:sz w:val="20"/>
          <w:szCs w:val="20"/>
          <w:color w:val="auto"/>
        </w:rPr>
        <w:t>“Allocation of Participant Contributions. All amounts which a Participant elects to defer under the terms of this Plan shall be allocated to his Account as of the payroll date on which such amounts</w:t>
      </w:r>
    </w:p>
    <w:p>
      <w:pPr>
        <w:spacing w:after="0" w:line="17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784" w:right="239" w:bottom="1440" w:gutter="0" w:footer="0" w:header="0"/>
          <w:type w:val="continuous"/>
        </w:sectPr>
      </w:pPr>
    </w:p>
    <w:bookmarkStart w:id="105" w:name="page106"/>
    <w:bookmarkEnd w:id="105"/>
    <w:p>
      <w:pPr>
        <w:ind w:left="660" w:right="360"/>
        <w:spacing w:after="0" w:line="260" w:lineRule="auto"/>
        <w:rPr>
          <w:sz w:val="20"/>
          <w:szCs w:val="20"/>
          <w:color w:val="auto"/>
        </w:rPr>
      </w:pPr>
      <w:r>
        <w:rPr>
          <w:rFonts w:ascii="Arial" w:cs="Arial" w:eastAsia="Arial" w:hAnsi="Arial"/>
          <w:sz w:val="20"/>
          <w:szCs w:val="20"/>
          <w:color w:val="auto"/>
        </w:rPr>
        <w:t>otherwise would have been paid. Each such Participant Deferral Account shall be credited with earnings as provided in Section 3.5 below.”</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16. Section 6.2(a) is amended to read as follows:</w:t>
      </w:r>
    </w:p>
    <w:p>
      <w:pPr>
        <w:spacing w:after="0" w:line="229" w:lineRule="exact"/>
        <w:rPr>
          <w:sz w:val="20"/>
          <w:szCs w:val="20"/>
          <w:color w:val="auto"/>
        </w:rPr>
      </w:pPr>
    </w:p>
    <w:p>
      <w:pPr>
        <w:ind w:left="720"/>
        <w:spacing w:after="0" w:line="263" w:lineRule="auto"/>
        <w:rPr>
          <w:sz w:val="20"/>
          <w:szCs w:val="20"/>
          <w:color w:val="auto"/>
        </w:rPr>
      </w:pPr>
      <w:r>
        <w:rPr>
          <w:rFonts w:ascii="Arial" w:cs="Arial" w:eastAsia="Arial" w:hAnsi="Arial"/>
          <w:sz w:val="19"/>
          <w:szCs w:val="19"/>
          <w:color w:val="auto"/>
        </w:rPr>
        <w:t>“Separation from Service Benefit, Disability Benefit, and Death Benefit payments shall commence no later than sixty-five (65) days following the date on which the Participant retires, terminates service, becomes disabled, or dies; provided, however, any election made by a Participant prior to January 1, 2020 to have his Separation from Service Benefit distributions commence on a specified date subsequent to his termination of employment shall commence on such date;”</w:t>
      </w:r>
    </w:p>
    <w:p>
      <w:pPr>
        <w:spacing w:after="0" w:line="19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Section 6.4 is amended to read as follows:</w:t>
      </w:r>
    </w:p>
    <w:p>
      <w:pPr>
        <w:spacing w:after="0" w:line="229" w:lineRule="exact"/>
        <w:rPr>
          <w:rFonts w:ascii="Arial" w:cs="Arial" w:eastAsia="Arial" w:hAnsi="Arial"/>
          <w:sz w:val="20"/>
          <w:szCs w:val="20"/>
          <w:color w:val="auto"/>
        </w:rPr>
      </w:pPr>
    </w:p>
    <w:p>
      <w:pPr>
        <w:ind w:left="660"/>
        <w:spacing w:after="0" w:line="243" w:lineRule="auto"/>
        <w:rPr>
          <w:rFonts w:ascii="Arial" w:cs="Arial" w:eastAsia="Arial" w:hAnsi="Arial"/>
          <w:sz w:val="20"/>
          <w:szCs w:val="20"/>
          <w:color w:val="auto"/>
        </w:rPr>
      </w:pPr>
      <w:r>
        <w:rPr>
          <w:rFonts w:ascii="Arial" w:cs="Arial" w:eastAsia="Arial" w:hAnsi="Arial"/>
          <w:sz w:val="20"/>
          <w:szCs w:val="20"/>
          <w:color w:val="auto"/>
        </w:rPr>
        <w:t>“Limited Cashout. Notwithstanding any Written Election made by the Participant, if, upon the Participant’s Separation from Service, such Participant’s accrued benefit under the Plan (and any other deferred compensation plan required to be aggregated with this Plan) does not exceed the then-current limit under Section 402(g)(1)(B) of the Code, the Company shall distribute such Participant’s accrued benefit under the Plan in a single lump sum payment to the Participant (or the Beneficiary, if the Participant is deceased) within sixty-five (65) days following the Participant’s Separation from Service, provided that such distribution results in a termination and complete liquidation of such Participant’s interest under the Plan (and any other deferred compensation plan required to be aggregated by this Plan).”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Except as amended hereby, the terms of the Plan shall remain in full force and effect.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MOLINA HEALTHCARE,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Joseph M. Zubretsky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Name: Joseph M. Zubretsky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55" w:right="2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LIST OF SUBSIDIARIES</w:t>
            </w:r>
          </w:p>
        </w:tc>
      </w:tr>
      <w:tr>
        <w:trPr>
          <w:trHeight w:val="554"/>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Name</w:t>
            </w:r>
          </w:p>
        </w:tc>
        <w:tc>
          <w:tcPr>
            <w:tcW w:w="37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Jurisdiction of Incorporation</w:t>
            </w:r>
          </w:p>
        </w:tc>
      </w:tr>
      <w:tr>
        <w:trPr>
          <w:trHeight w:val="277"/>
        </w:trPr>
        <w:tc>
          <w:tcPr>
            <w:tcW w:w="4260" w:type="dxa"/>
            <w:vAlign w:val="bottom"/>
            <w:gridSpan w:val="2"/>
          </w:tcPr>
          <w:p>
            <w:pPr>
              <w:spacing w:after="0"/>
              <w:rPr>
                <w:sz w:val="20"/>
                <w:szCs w:val="20"/>
                <w:color w:val="auto"/>
              </w:rPr>
            </w:pPr>
            <w:r>
              <w:rPr>
                <w:rFonts w:ascii="Arial" w:cs="Arial" w:eastAsia="Arial" w:hAnsi="Arial"/>
                <w:sz w:val="18"/>
                <w:szCs w:val="18"/>
                <w:color w:val="auto"/>
              </w:rPr>
              <w:t>Blitz IL MergeSub, Inc.*</w:t>
            </w:r>
          </w:p>
        </w:tc>
        <w:tc>
          <w:tcPr>
            <w:tcW w:w="406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Data Center, LLC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Arizona,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Arizona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California</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Florida,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Florida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Georgia,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Georgia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Illinois,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Illinois</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Kentucky,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Kentucky</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Louisiana,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Louisiana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Maryland,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Maryland</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Michigan,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Michigan</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Mississippi,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Nevada,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Nevada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New Mexico,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Mexico</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New York,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York</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North Carolina,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Ohio,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Ohio</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Oklahoma,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Oklahoma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Pennsylvania,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Puerto Rico,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Puerto Rico/Nevada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South Carolina,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Tennessee,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Tennessee</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Texas,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Texas Insurance Company</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Utah,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Utah</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Virginia,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Virginia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Washington,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Washington</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Healthcare of Wisconsin,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Wisconsin</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Clinical Services, LLC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Holdings Corporation*</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New York</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Hospital Management, LLC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Pathways, LLC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Care Connections, LLC+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Texas</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Molina Youth Academy*</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Oceangate Reinsurance, Inc.*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Utah</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Pathways Community Corrections, LLC</w:t>
            </w:r>
          </w:p>
        </w:tc>
        <w:tc>
          <w:tcPr>
            <w:tcW w:w="4060" w:type="dxa"/>
            <w:vAlign w:val="bottom"/>
          </w:tcPr>
          <w:p>
            <w:pPr>
              <w:spacing w:after="0"/>
              <w:rPr>
                <w:sz w:val="22"/>
                <w:szCs w:val="22"/>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377" w:lineRule="exact"/>
        <w:rPr>
          <w:sz w:val="20"/>
          <w:szCs w:val="20"/>
          <w:color w:val="auto"/>
        </w:rPr>
      </w:pPr>
    </w:p>
    <w:p>
      <w:pPr>
        <w:ind w:left="440" w:hanging="438"/>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Non-operational entity</w:t>
      </w:r>
    </w:p>
    <w:p>
      <w:pPr>
        <w:spacing w:after="0" w:line="144" w:lineRule="exact"/>
        <w:rPr>
          <w:sz w:val="20"/>
          <w:szCs w:val="20"/>
          <w:color w:val="auto"/>
        </w:rPr>
      </w:pPr>
    </w:p>
    <w:p>
      <w:pPr>
        <w:ind w:left="440" w:hanging="438"/>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Wholly owned subsidiary of Molina Pathways, LLC</w:t>
      </w:r>
    </w:p>
    <w:p>
      <w:pPr>
        <w:sectPr>
          <w:pgSz w:w="11900" w:h="16838" w:orient="portrait"/>
          <w:cols w:equalWidth="0" w:num="1">
            <w:col w:w="11400"/>
          </w:cols>
          <w:pgMar w:left="260" w:top="33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S-3 No. 333-204558) of Molina Healthcare, Inc.;</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333-174912) pertaining to the Molina Healthcare, Inc. 2011 Equity Incentive Plan and 2011 Employee Stock Purchase Plan; and</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333-231385) pertaining to the Molina Healthcare, Inc. 2019 Equity Incentive Plan and 2019 Employee Stock Purchase Plan,</w:t>
      </w:r>
    </w:p>
    <w:p>
      <w:pPr>
        <w:spacing w:after="0" w:line="142"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of our reports dated February 14, 2020, with respect to the consolidated financial statements of Molina Healthcare, Inc., and the effectiveness of internal control over financial reporting of Molina Healthcare, Inc., included in this Annual Report (Form 10-K) for the year ended December 31, 2019.</w:t>
      </w:r>
    </w:p>
    <w:p>
      <w:pPr>
        <w:spacing w:after="0" w:line="29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ectPr>
          <w:pgSz w:w="11900" w:h="16838" w:orient="portrait"/>
          <w:cols w:equalWidth="0" w:num="1">
            <w:col w:w="11420"/>
          </w:cols>
          <w:pgMar w:left="240" w:top="60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90" w:lineRule="exact"/>
        <w:rPr>
          <w:sz w:val="20"/>
          <w:szCs w:val="20"/>
          <w:color w:val="auto"/>
        </w:rPr>
      </w:pPr>
    </w:p>
    <w:p>
      <w:pPr>
        <w:ind w:left="640" w:hanging="200"/>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December 31, 2019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42"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440" w:firstLine="440"/>
        <w:spacing w:after="0" w:line="256"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February 14, 2020</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49"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90" w:lineRule="exact"/>
        <w:rPr>
          <w:sz w:val="20"/>
          <w:szCs w:val="20"/>
          <w:color w:val="auto"/>
        </w:rPr>
      </w:pPr>
    </w:p>
    <w:p>
      <w:pPr>
        <w:ind w:left="640" w:hanging="200"/>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December 31, 2019 of Molina Healthcare, Inc.;</w:t>
      </w:r>
    </w:p>
    <w:p>
      <w:pPr>
        <w:spacing w:after="0" w:line="90" w:lineRule="exact"/>
        <w:rPr>
          <w:rFonts w:ascii="Arial" w:cs="Arial" w:eastAsia="Arial" w:hAnsi="Arial"/>
          <w:sz w:val="18"/>
          <w:szCs w:val="18"/>
          <w:color w:val="auto"/>
        </w:rPr>
      </w:pPr>
    </w:p>
    <w:p>
      <w:pPr>
        <w:ind w:right="160" w:firstLine="440"/>
        <w:spacing w:after="0" w:line="256"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6" w:lineRule="exact"/>
        <w:rPr>
          <w:rFonts w:ascii="Arial" w:cs="Arial" w:eastAsia="Arial" w:hAnsi="Arial"/>
          <w:sz w:val="18"/>
          <w:szCs w:val="18"/>
          <w:color w:val="auto"/>
        </w:rPr>
      </w:pPr>
    </w:p>
    <w:p>
      <w:pPr>
        <w:ind w:right="340" w:firstLine="440"/>
        <w:spacing w:after="0" w:line="262"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1" w:lineRule="exact"/>
        <w:rPr>
          <w:rFonts w:ascii="Arial" w:cs="Arial" w:eastAsia="Arial" w:hAnsi="Arial"/>
          <w:sz w:val="18"/>
          <w:szCs w:val="18"/>
          <w:color w:val="auto"/>
        </w:rPr>
      </w:pPr>
    </w:p>
    <w:p>
      <w:pPr>
        <w:ind w:right="100" w:firstLine="440"/>
        <w:spacing w:after="0" w:line="256"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ind w:right="20" w:firstLine="886"/>
        <w:spacing w:after="0" w:line="256" w:lineRule="auto"/>
        <w:tabs>
          <w:tab w:leader="none" w:pos="11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6" w:lineRule="exact"/>
        <w:rPr>
          <w:rFonts w:ascii="Arial" w:cs="Arial" w:eastAsia="Arial" w:hAnsi="Arial"/>
          <w:sz w:val="18"/>
          <w:szCs w:val="18"/>
          <w:color w:val="auto"/>
        </w:rPr>
      </w:pPr>
    </w:p>
    <w:p>
      <w:pPr>
        <w:ind w:right="320" w:firstLine="886"/>
        <w:spacing w:after="0" w:line="256" w:lineRule="auto"/>
        <w:tabs>
          <w:tab w:leader="none" w:pos="11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40" w:firstLine="886"/>
        <w:spacing w:after="0" w:line="256" w:lineRule="auto"/>
        <w:tabs>
          <w:tab w:leader="none" w:pos="11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100" w:firstLine="886"/>
        <w:spacing w:after="0" w:line="256" w:lineRule="auto"/>
        <w:tabs>
          <w:tab w:leader="none" w:pos="11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440" w:firstLine="440"/>
        <w:spacing w:after="0" w:line="256"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right="240" w:firstLine="886"/>
        <w:spacing w:after="0" w:line="262" w:lineRule="auto"/>
        <w:tabs>
          <w:tab w:leader="none" w:pos="11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right="180" w:firstLine="886"/>
        <w:spacing w:after="0" w:line="262" w:lineRule="auto"/>
        <w:tabs>
          <w:tab w:leader="none" w:pos="11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February 14, 2020</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420"/>
          </w:cols>
          <w:pgMar w:left="240" w:top="54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December 31, 2019 (the “Report”), I, Joseph M. Zubretsky,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February 14, 2020</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Joseph M. Zubretsky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420"/>
          </w:cols>
          <w:pgMar w:left="240" w:top="549"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440" w:firstLine="432"/>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December 31, 2019 (the “Report”), I, Thomas L. Tran,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right="180" w:firstLine="886"/>
        <w:spacing w:after="0" w:line="262" w:lineRule="auto"/>
        <w:tabs>
          <w:tab w:leader="none" w:pos="11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Dated: February 14, 2020</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lvl w:ilvl="1">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lvl w:ilvl="1">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368"/>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5"/>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7"/>
    </w:lvl>
  </w:abstractNum>
  <w:abstractNum w:abstractNumId="45">
    <w:nsid w:val="3DC240FB"/>
    <w:multiLevelType w:val="hybridMultilevel"/>
    <w:lvl w:ilvl="0">
      <w:lvlJc w:val="left"/>
      <w:lvlText w:val="%1"/>
      <w:numFmt w:val="decimal"/>
      <w:start w:val="1"/>
    </w:lvl>
    <w:lvl w:ilvl="1">
      <w:lvlJc w:val="left"/>
      <w:lvlText w:val="%2."/>
      <w:numFmt w:val="lowerRoman"/>
      <w:start w:val="1"/>
    </w:lvl>
  </w:abstractNum>
  <w:abstractNum w:abstractNumId="46">
    <w:nsid w:val="1BA026FA"/>
    <w:multiLevelType w:val="hybridMultilevel"/>
    <w:lvl w:ilvl="0">
      <w:lvlJc w:val="left"/>
      <w:lvlText w:val="%1."/>
      <w:numFmt w:val="decimal"/>
      <w:start w:val="12"/>
    </w:lvl>
    <w:lvl w:ilvl="1">
      <w:lvlJc w:val="left"/>
      <w:lvlText w:val="%2"/>
      <w:numFmt w:val="lowerRoman"/>
      <w:start w:val="1"/>
    </w:lvl>
  </w:abstractNum>
  <w:abstractNum w:abstractNumId="47">
    <w:nsid w:val="79A1DEAA"/>
    <w:multiLevelType w:val="hybridMultilevel"/>
    <w:lvl w:ilvl="0">
      <w:lvlJc w:val="left"/>
      <w:lvlText w:val="%1."/>
      <w:numFmt w:val="decimal"/>
      <w:start w:val="17"/>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2"/>
    </w:lvl>
  </w:abstractNum>
  <w:abstractNum w:abstractNumId="54">
    <w:nsid w:val="23F9C13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6"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48" Type="http://schemas.openxmlformats.org/officeDocument/2006/relationships/hyperlink" Target="http://www.sec.gov/Archives/edgar/data/1179929/000115752318001348/a51828579ex2_1.htm" TargetMode="External"/><Relationship Id="rId49" Type="http://schemas.openxmlformats.org/officeDocument/2006/relationships/hyperlink" Target="http://www.sec.gov/Archives/edgar/data/1179929/000089843002004683/ds1.htm" TargetMode="External"/><Relationship Id="rId50" Type="http://schemas.openxmlformats.org/officeDocument/2006/relationships/hyperlink" Target="http://www.sec.gov/Archives/edgar/data/1179929/000119312513124378/d494218ddef14a.htm" TargetMode="External"/><Relationship Id="rId51" Type="http://schemas.openxmlformats.org/officeDocument/2006/relationships/hyperlink" Target="http://www.sec.gov/Archives/edgar/data/1179929/000117992919000060/a2019definitiveproxy.htm" TargetMode="External"/><Relationship Id="rId52" Type="http://schemas.openxmlformats.org/officeDocument/2006/relationships/hyperlink" Target="http://www.sec.gov/Archives/edgar/data/1179929/000117992919000032/moh-12312018xex33.htm" TargetMode="External"/><Relationship Id="rId53" Type="http://schemas.openxmlformats.org/officeDocument/2006/relationships/hyperlink" Target="http://www.sec.gov/Archives/edgar/data/1179929/000119312515373583/d72756dex41.htm" TargetMode="External"/><Relationship Id="rId54" Type="http://schemas.openxmlformats.org/officeDocument/2006/relationships/hyperlink" Target="http://www.sec.gov/Archives/edgar/data/1179929/000119312516468372/d138921dex41.htm" TargetMode="External"/><Relationship Id="rId55" Type="http://schemas.openxmlformats.org/officeDocument/2006/relationships/hyperlink" Target="http://www.sec.gov/Archives/edgar/data/1179929/000117992917000124/mohclosing8k330mindenture.htm" TargetMode="External"/><Relationship Id="rId56" Type="http://schemas.openxmlformats.org/officeDocument/2006/relationships/hyperlink" Target="http://www.sec.gov/Archives/edgar/data/1179929/000119312513062890/d488035dex103.htm" TargetMode="External"/><Relationship Id="rId57" Type="http://schemas.openxmlformats.org/officeDocument/2006/relationships/hyperlink" Target="http://www.sec.gov/Archives/edgar/data/1179929/000119312513062890/d488035dex104.htm" TargetMode="External"/><Relationship Id="rId58" Type="http://schemas.openxmlformats.org/officeDocument/2006/relationships/hyperlink" Target="http://www.sec.gov/Archives/edgar/data/1179929/000119312513062890/d488035dex107.htm" TargetMode="External"/><Relationship Id="rId59" Type="http://schemas.openxmlformats.org/officeDocument/2006/relationships/hyperlink" Target="http://www.sec.gov/Archives/edgar/data/1179929/000119312513062890/d488035dex108.htm" TargetMode="External"/><Relationship Id="rId61" Type="http://schemas.openxmlformats.org/officeDocument/2006/relationships/hyperlink" Target="http://www.sec.gov/Archives/edgar/data/1179929/000144530513001088/moh-2013x03x31xex101.htm" TargetMode="External"/><Relationship Id="rId62" Type="http://schemas.openxmlformats.org/officeDocument/2006/relationships/hyperlink" Target="http://www.sec.gov/Archives/edgar/data/1179929/000144530513001088/moh-2013x03x31xex102.htm" TargetMode="External"/><Relationship Id="rId63" Type="http://schemas.openxmlformats.org/officeDocument/2006/relationships/hyperlink" Target="http://www.sec.gov/Archives/edgar/data/1179929/000144530513001088/moh-2031x03x31xex103.htm" TargetMode="External"/><Relationship Id="rId64" Type="http://schemas.openxmlformats.org/officeDocument/2006/relationships/hyperlink" Target="http://www.sec.gov/Archives/edgar/data/1179929/000144530513001088/moh-2013x03x31xex104.htm" TargetMode="External"/><Relationship Id="rId65" Type="http://schemas.openxmlformats.org/officeDocument/2006/relationships/hyperlink" Target="http://www.sec.gov/Archives/edgar/data/1179929/000115752319000202/a51932075ex10_1.htm" TargetMode="External"/><Relationship Id="rId66" Type="http://schemas.openxmlformats.org/officeDocument/2006/relationships/hyperlink" Target="http://www.sec.gov/Archives/edgar/data/1179929/000117992915000007/moh-12312014x10kex106.htm" TargetMode="External"/><Relationship Id="rId67" Type="http://schemas.openxmlformats.org/officeDocument/2006/relationships/hyperlink" Target="http://www.sec.gov/Archives/edgar/data/1179929/000117992914000004/moh-12312013x10kex108.htm" TargetMode="External"/><Relationship Id="rId68" Type="http://schemas.openxmlformats.org/officeDocument/2006/relationships/hyperlink" Target="http://www.sec.gov/Archives/edgar/data/1179929/000117992917000099/exhibit102-2011equityincen.htm" TargetMode="External"/><Relationship Id="rId69" Type="http://schemas.openxmlformats.org/officeDocument/2006/relationships/hyperlink" Target="http://www.sec.gov/Archives/edgar/data/1179929/000117992917000099/exhibit103-2011equityincen.htm" TargetMode="External"/><Relationship Id="rId70" Type="http://schemas.openxmlformats.org/officeDocument/2006/relationships/hyperlink" Target="http://www.sec.gov/Archives/edgar/data/1179929/000117992917000099/exhibit104-2011equityincen.htm" TargetMode="External"/><Relationship Id="rId71" Type="http://schemas.openxmlformats.org/officeDocument/2006/relationships/hyperlink" Target="http://www.sec.gov/Archives/edgar/data/1179929/000117992917000099/exhibit105-2011equityincen.htm" TargetMode="External"/><Relationship Id="rId72" Type="http://schemas.openxmlformats.org/officeDocument/2006/relationships/hyperlink" Target="http://www.sec.gov/Archives/edgar/data/1179929/000117992919000134/ex101_2019-rsa.htm" TargetMode="External"/><Relationship Id="rId73" Type="http://schemas.openxmlformats.org/officeDocument/2006/relationships/hyperlink" Target="http://www.sec.gov/Archives/edgar/data/1179929/000117992919000134/a2019equityincentiveplan.htm" TargetMode="External"/><Relationship Id="rId74" Type="http://schemas.openxmlformats.org/officeDocument/2006/relationships/hyperlink" Target="http://www.sec.gov/Archives/edgar/data/1179929/000117992919000134/ex103_2019eip-rsa.htm" TargetMode="External"/><Relationship Id="rId75" Type="http://schemas.openxmlformats.org/officeDocument/2006/relationships/hyperlink" Target="http://www.sec.gov/Archives/edgar/data/1179929/000117992919000134/ex104_2019eip-psu.htm" TargetMode="External"/><Relationship Id="rId76" Type="http://schemas.openxmlformats.org/officeDocument/2006/relationships/hyperlink" Target="http://www.sec.gov/Archives/edgar/data/1179929/000117992919000032/moh-12312018xex101.htm" TargetMode="External"/><Relationship Id="rId77" Type="http://schemas.openxmlformats.org/officeDocument/2006/relationships/hyperlink" Target="http://www.sec.gov/Archives/edgar/data/1179929/000119312507054663/dex1014.htm" TargetMode="External"/><Relationship Id="rId78" Type="http://schemas.openxmlformats.org/officeDocument/2006/relationships/hyperlink" Target="http://www.sec.gov/Archives/edgar/data/1179929/000117992918000145/moh-06302018xex102.htm" TargetMode="External"/><Relationship Id="rId79" Type="http://schemas.openxmlformats.org/officeDocument/2006/relationships/hyperlink" Target="http://www.sec.gov/Archives/edgar/data/1179929/000119312513259609/d554295dex103.htm" TargetMode="External"/><Relationship Id="rId80" Type="http://schemas.openxmlformats.org/officeDocument/2006/relationships/hyperlink" Target="http://www.sec.gov/Archives/edgar/data/1179929/000144530513000387/moh-12312012x10kex1016.htm" TargetMode="External"/><Relationship Id="rId83" Type="http://schemas.openxmlformats.org/officeDocument/2006/relationships/hyperlink" Target="http://www.sec.gov/Archives/edgar/data/1179929/000117992917000206/exhibit101_zubretskyemploy.htm" TargetMode="External"/><Relationship Id="rId84" Type="http://schemas.openxmlformats.org/officeDocument/2006/relationships/hyperlink" Target="http://www.sec.gov/Archives/edgar/data/1179929/000115752318001189/a51811417ex10_1.htm" TargetMode="External"/><Relationship Id="rId85" Type="http://schemas.openxmlformats.org/officeDocument/2006/relationships/hyperlink" Target="http://www.sec.gov/Archives/edgar/data/1179929/000117992919000032/moh-12312018xex1036.htm" TargetMode="External"/><Relationship Id="rId87" Type="http://schemas.openxmlformats.org/officeDocument/2006/relationships/hyperlink" Target="http://www.sec.gov/Archives/edgar/data/1179929/000117992919000160/moh-0930201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2020-02-14T14:13:59Z</dcterms:created>
  <dcterms:modified xsi:type="dcterms:W3CDTF">2020-02-14T14:13:59Z</dcterms:modified>
</cp:coreProperties>
</file>