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76835</wp:posOffset>
            </wp:positionV>
            <wp:extent cx="435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3" w:lineRule="auto"/>
        <w:tabs>
          <w:tab w:leader="none" w:pos="6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2022</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11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95" w:lineRule="exact"/>
        <w:rPr>
          <w:sz w:val="24"/>
          <w:szCs w:val="24"/>
          <w:color w:val="auto"/>
        </w:rPr>
      </w:pPr>
    </w:p>
    <w:tbl>
      <w:tblPr>
        <w:tblLayout w:type="fixed"/>
        <w:tblInd w:w="1900" w:type="dxa"/>
        <w:tblCellMar>
          <w:top w:w="0" w:type="dxa"/>
          <w:left w:w="0" w:type="dxa"/>
          <w:bottom w:w="0" w:type="dxa"/>
          <w:right w:w="0" w:type="dxa"/>
        </w:tblCellMar>
      </w:tblPr>
      <w:tr>
        <w:trPr>
          <w:trHeight w:val="215"/>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95"/>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49"/>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1"/>
                <w:szCs w:val="21"/>
                <w:color w:val="auto"/>
              </w:rPr>
            </w:pPr>
          </w:p>
        </w:tc>
      </w:tr>
      <w:tr>
        <w:trPr>
          <w:trHeight w:val="216"/>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7"/>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134620</wp:posOffset>
            </wp:positionV>
            <wp:extent cx="4423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8" w:lineRule="exact"/>
        <w:rPr>
          <w:sz w:val="24"/>
          <w:szCs w:val="24"/>
          <w:color w:val="auto"/>
        </w:rPr>
      </w:pPr>
    </w:p>
    <w:tbl>
      <w:tblPr>
        <w:tblLayout w:type="fixed"/>
        <w:tblInd w:w="950" w:type="dxa"/>
        <w:tblCellMar>
          <w:top w:w="0" w:type="dxa"/>
          <w:left w:w="0" w:type="dxa"/>
          <w:bottom w:w="0" w:type="dxa"/>
          <w:right w:w="0" w:type="dxa"/>
        </w:tblCellMar>
      </w:tblPr>
      <w:tr>
        <w:trPr>
          <w:trHeight w:val="256"/>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64"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46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61"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April 22, 2022, was approximately 58,700,000.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MOLINA HEALTHCARE, INC. FORM 10-Q</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828282"/>
        </w:rPr>
        <w:t>FOR THE QUARTERLY PERIOD ENDED MARCH 31, 2022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828282"/>
        </w:rPr>
        <w:t>TABLE OF CONTENTS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gridSpan w:val="10"/>
          </w:tcPr>
          <w:p>
            <w:pPr>
              <w:ind w:left="20"/>
              <w:spacing w:after="0"/>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6"/>
                <w:szCs w:val="16"/>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F7C7F"/>
                <w:w w:val="99"/>
              </w:rPr>
              <w:t>Page</w:t>
            </w:r>
          </w:p>
        </w:tc>
      </w:tr>
      <w:tr>
        <w:trPr>
          <w:trHeight w:val="284"/>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9"/>
          </w:tcPr>
          <w:p>
            <w:pPr>
              <w:spacing w:after="0"/>
              <w:rPr>
                <w:rFonts w:ascii="Arial" w:cs="Arial" w:eastAsia="Arial" w:hAnsi="Arial"/>
                <w:sz w:val="16"/>
                <w:szCs w:val="16"/>
                <w:color w:val="0F7C7F"/>
              </w:rPr>
            </w:pPr>
            <w:hyperlink w:anchor="page2">
              <w:r>
                <w:rPr>
                  <w:rFonts w:ascii="Arial" w:cs="Arial" w:eastAsia="Arial" w:hAnsi="Arial"/>
                  <w:sz w:val="16"/>
                  <w:szCs w:val="16"/>
                  <w:color w:val="0F7C7F"/>
                </w:rPr>
                <w:t>Financial Statements</w:t>
              </w:r>
            </w:hyperlink>
          </w:p>
        </w:tc>
        <w:tc>
          <w:tcPr>
            <w:tcW w:w="4240" w:type="dxa"/>
            <w:vAlign w:val="bottom"/>
            <w:gridSpan w:val="4"/>
          </w:tcPr>
          <w:p>
            <w:pPr>
              <w:jc w:val="right"/>
              <w:spacing w:after="0"/>
              <w:rPr>
                <w:rFonts w:ascii="Arial" w:cs="Arial" w:eastAsia="Arial" w:hAnsi="Arial"/>
                <w:sz w:val="16"/>
                <w:szCs w:val="16"/>
                <w:color w:val="0F7C7F"/>
              </w:rPr>
            </w:pPr>
            <w:hyperlink w:anchor="page2">
              <w:r>
                <w:rPr>
                  <w:rFonts w:ascii="Arial" w:cs="Arial" w:eastAsia="Arial" w:hAnsi="Arial"/>
                  <w:sz w:val="16"/>
                  <w:szCs w:val="16"/>
                  <w:color w:val="0F7C7F"/>
                </w:rPr>
                <w:t>3</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9"/>
          </w:tcPr>
          <w:p>
            <w:pPr>
              <w:spacing w:after="0"/>
              <w:rPr>
                <w:rFonts w:ascii="Arial" w:cs="Arial" w:eastAsia="Arial" w:hAnsi="Arial"/>
                <w:sz w:val="16"/>
                <w:szCs w:val="16"/>
                <w:color w:val="0F7C7F"/>
              </w:rPr>
            </w:pPr>
            <w:hyperlink w:anchor="page18">
              <w:r>
                <w:rPr>
                  <w:rFonts w:ascii="Arial" w:cs="Arial" w:eastAsia="Arial" w:hAnsi="Arial"/>
                  <w:sz w:val="16"/>
                  <w:szCs w:val="16"/>
                  <w:color w:val="0F7C7F"/>
                </w:rPr>
                <w:t>Management’s Discussion and Analysis of Financial Condition and Results of Operations</w:t>
              </w:r>
            </w:hyperlink>
          </w:p>
        </w:tc>
        <w:tc>
          <w:tcPr>
            <w:tcW w:w="4240" w:type="dxa"/>
            <w:vAlign w:val="bottom"/>
            <w:gridSpan w:val="4"/>
          </w:tcPr>
          <w:p>
            <w:pPr>
              <w:jc w:val="right"/>
              <w:spacing w:after="0"/>
              <w:rPr>
                <w:rFonts w:ascii="Arial" w:cs="Arial" w:eastAsia="Arial" w:hAnsi="Arial"/>
                <w:sz w:val="16"/>
                <w:szCs w:val="16"/>
                <w:color w:val="0F7C7F"/>
              </w:rPr>
            </w:pPr>
            <w:hyperlink w:anchor="page18">
              <w:r>
                <w:rPr>
                  <w:rFonts w:ascii="Arial" w:cs="Arial" w:eastAsia="Arial" w:hAnsi="Arial"/>
                  <w:sz w:val="16"/>
                  <w:szCs w:val="16"/>
                  <w:color w:val="0F7C7F"/>
                </w:rPr>
                <w:t>19</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7"/>
          </w:tcPr>
          <w:p>
            <w:pPr>
              <w:spacing w:after="0"/>
              <w:rPr>
                <w:rFonts w:ascii="Arial" w:cs="Arial" w:eastAsia="Arial" w:hAnsi="Arial"/>
                <w:sz w:val="16"/>
                <w:szCs w:val="16"/>
                <w:color w:val="0F7C7F"/>
              </w:rPr>
            </w:pPr>
            <w:hyperlink w:anchor="page31">
              <w:r>
                <w:rPr>
                  <w:rFonts w:ascii="Arial" w:cs="Arial" w:eastAsia="Arial" w:hAnsi="Arial"/>
                  <w:sz w:val="16"/>
                  <w:szCs w:val="16"/>
                  <w:color w:val="0F7C7F"/>
                </w:rPr>
                <w:t>Quantitative and Qualitative Disclosures About Market Risk</w:t>
              </w:r>
            </w:hyperlink>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1">
              <w:r>
                <w:rPr>
                  <w:rFonts w:ascii="Arial" w:cs="Arial" w:eastAsia="Arial" w:hAnsi="Arial"/>
                  <w:sz w:val="16"/>
                  <w:szCs w:val="16"/>
                  <w:color w:val="0F7C7F"/>
                </w:rPr>
                <w:t>31</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7"/>
          </w:tcPr>
          <w:p>
            <w:pPr>
              <w:spacing w:after="0"/>
              <w:rPr>
                <w:rFonts w:ascii="Arial" w:cs="Arial" w:eastAsia="Arial" w:hAnsi="Arial"/>
                <w:sz w:val="16"/>
                <w:szCs w:val="16"/>
                <w:color w:val="0F7C7F"/>
              </w:rPr>
            </w:pPr>
            <w:hyperlink w:anchor="page31">
              <w:r>
                <w:rPr>
                  <w:rFonts w:ascii="Arial" w:cs="Arial" w:eastAsia="Arial" w:hAnsi="Arial"/>
                  <w:sz w:val="16"/>
                  <w:szCs w:val="16"/>
                  <w:color w:val="0F7C7F"/>
                </w:rPr>
                <w:t>Controls and Procedures</w:t>
              </w:r>
            </w:hyperlink>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1">
              <w:r>
                <w:rPr>
                  <w:rFonts w:ascii="Arial" w:cs="Arial" w:eastAsia="Arial" w:hAnsi="Arial"/>
                  <w:sz w:val="16"/>
                  <w:szCs w:val="16"/>
                  <w:color w:val="0F7C7F"/>
                </w:rPr>
                <w:t>31</w:t>
              </w:r>
            </w:hyperlink>
          </w:p>
        </w:tc>
        <w:tc>
          <w:tcPr>
            <w:tcW w:w="40" w:type="dxa"/>
            <w:vAlign w:val="bottom"/>
          </w:tcPr>
          <w:p>
            <w:pPr>
              <w:spacing w:after="0"/>
              <w:rPr>
                <w:sz w:val="21"/>
                <w:szCs w:val="21"/>
                <w:color w:val="auto"/>
              </w:rPr>
            </w:pPr>
          </w:p>
        </w:tc>
      </w:tr>
      <w:tr>
        <w:trPr>
          <w:trHeight w:val="285"/>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44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4"/>
          </w:tcPr>
          <w:p>
            <w:pPr>
              <w:spacing w:after="0"/>
              <w:rPr>
                <w:rFonts w:ascii="Arial" w:cs="Arial" w:eastAsia="Arial" w:hAnsi="Arial"/>
                <w:sz w:val="16"/>
                <w:szCs w:val="16"/>
                <w:color w:val="0F7C7F"/>
                <w:w w:val="99"/>
              </w:rPr>
            </w:pPr>
            <w:hyperlink w:anchor="page31">
              <w:r>
                <w:rPr>
                  <w:rFonts w:ascii="Arial" w:cs="Arial" w:eastAsia="Arial" w:hAnsi="Arial"/>
                  <w:sz w:val="16"/>
                  <w:szCs w:val="16"/>
                  <w:color w:val="0F7C7F"/>
                  <w:w w:val="99"/>
                </w:rPr>
                <w:t>Legal Proceedings</w:t>
              </w:r>
            </w:hyperlink>
          </w:p>
        </w:tc>
        <w:tc>
          <w:tcPr>
            <w:tcW w:w="5020" w:type="dxa"/>
            <w:vAlign w:val="bottom"/>
            <w:gridSpan w:val="5"/>
          </w:tcPr>
          <w:p>
            <w:pPr>
              <w:spacing w:after="0"/>
              <w:rPr>
                <w:sz w:val="20"/>
                <w:szCs w:val="20"/>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1">
              <w:r>
                <w:rPr>
                  <w:rFonts w:ascii="Arial" w:cs="Arial" w:eastAsia="Arial" w:hAnsi="Arial"/>
                  <w:sz w:val="16"/>
                  <w:szCs w:val="16"/>
                  <w:color w:val="0F7C7F"/>
                </w:rPr>
                <w:t>31</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rFonts w:ascii="Arial" w:cs="Arial" w:eastAsia="Arial" w:hAnsi="Arial"/>
                <w:sz w:val="16"/>
                <w:szCs w:val="16"/>
                <w:color w:val="0F7C7F"/>
                <w:w w:val="98"/>
              </w:rPr>
            </w:pPr>
            <w:hyperlink w:anchor="page31">
              <w:r>
                <w:rPr>
                  <w:rFonts w:ascii="Arial" w:cs="Arial" w:eastAsia="Arial" w:hAnsi="Arial"/>
                  <w:sz w:val="16"/>
                  <w:szCs w:val="16"/>
                  <w:color w:val="0F7C7F"/>
                  <w:w w:val="98"/>
                </w:rPr>
                <w:t>Risk Factors</w:t>
              </w:r>
            </w:hyperlink>
          </w:p>
        </w:tc>
        <w:tc>
          <w:tcPr>
            <w:tcW w:w="440" w:type="dxa"/>
            <w:vAlign w:val="bottom"/>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1">
              <w:r>
                <w:rPr>
                  <w:rFonts w:ascii="Arial" w:cs="Arial" w:eastAsia="Arial" w:hAnsi="Arial"/>
                  <w:sz w:val="16"/>
                  <w:szCs w:val="16"/>
                  <w:color w:val="0F7C7F"/>
                </w:rPr>
                <w:t>31</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8"/>
          </w:tcPr>
          <w:p>
            <w:pPr>
              <w:spacing w:after="0"/>
              <w:rPr>
                <w:rFonts w:ascii="Arial" w:cs="Arial" w:eastAsia="Arial" w:hAnsi="Arial"/>
                <w:sz w:val="16"/>
                <w:szCs w:val="16"/>
                <w:color w:val="0F7C7F"/>
              </w:rPr>
            </w:pPr>
            <w:hyperlink w:anchor="page31">
              <w:r>
                <w:rPr>
                  <w:rFonts w:ascii="Arial" w:cs="Arial" w:eastAsia="Arial" w:hAnsi="Arial"/>
                  <w:sz w:val="16"/>
                  <w:szCs w:val="16"/>
                  <w:color w:val="0F7C7F"/>
                </w:rPr>
                <w:t>Unregistered Sales of Equity Securities and Use of Proceeds</w:t>
              </w:r>
            </w:hyperlink>
          </w:p>
        </w:tc>
        <w:tc>
          <w:tcPr>
            <w:tcW w:w="2000" w:type="dxa"/>
            <w:vAlign w:val="bottom"/>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1">
              <w:r>
                <w:rPr>
                  <w:rFonts w:ascii="Arial" w:cs="Arial" w:eastAsia="Arial" w:hAnsi="Arial"/>
                  <w:sz w:val="16"/>
                  <w:szCs w:val="16"/>
                  <w:color w:val="0F7C7F"/>
                </w:rPr>
                <w:t>32</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3600" w:type="dxa"/>
            <w:vAlign w:val="bottom"/>
            <w:gridSpan w:val="6"/>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5"/>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8"/>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9"/>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6360" w:type="dxa"/>
            <w:vAlign w:val="bottom"/>
            <w:gridSpan w:val="9"/>
          </w:tcPr>
          <w:p>
            <w:pPr>
              <w:spacing w:after="0"/>
              <w:rPr>
                <w:sz w:val="20"/>
                <w:szCs w:val="20"/>
                <w:color w:val="auto"/>
              </w:rPr>
            </w:pPr>
            <w:r>
              <w:rPr>
                <w:rFonts w:ascii="Arial" w:cs="Arial" w:eastAsia="Arial" w:hAnsi="Arial"/>
                <w:sz w:val="16"/>
                <w:szCs w:val="16"/>
                <w:color w:val="auto"/>
              </w:rPr>
              <w:t>Other Information</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rFonts w:ascii="Arial" w:cs="Arial" w:eastAsia="Arial" w:hAnsi="Arial"/>
                <w:sz w:val="16"/>
                <w:szCs w:val="16"/>
                <w:color w:val="0F7C7F"/>
                <w:w w:val="96"/>
              </w:rPr>
            </w:pPr>
            <w:hyperlink w:anchor="page32">
              <w:r>
                <w:rPr>
                  <w:rFonts w:ascii="Arial" w:cs="Arial" w:eastAsia="Arial" w:hAnsi="Arial"/>
                  <w:sz w:val="16"/>
                  <w:szCs w:val="16"/>
                  <w:color w:val="0F7C7F"/>
                  <w:w w:val="96"/>
                </w:rPr>
                <w:t>Exhibits</w:t>
              </w:r>
            </w:hyperlink>
          </w:p>
        </w:tc>
        <w:tc>
          <w:tcPr>
            <w:tcW w:w="5800" w:type="dxa"/>
            <w:vAlign w:val="bottom"/>
            <w:gridSpan w:val="8"/>
          </w:tcPr>
          <w:p>
            <w:pPr>
              <w:spacing w:after="0"/>
              <w:rPr>
                <w:sz w:val="20"/>
                <w:szCs w:val="20"/>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2">
              <w:r>
                <w:rPr>
                  <w:rFonts w:ascii="Arial" w:cs="Arial" w:eastAsia="Arial" w:hAnsi="Arial"/>
                  <w:sz w:val="16"/>
                  <w:szCs w:val="16"/>
                  <w:color w:val="0F7C7F"/>
                </w:rPr>
                <w:t>33</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9"/>
          </w:tcPr>
          <w:p>
            <w:pPr>
              <w:spacing w:after="0"/>
              <w:rPr>
                <w:rFonts w:ascii="Arial" w:cs="Arial" w:eastAsia="Arial" w:hAnsi="Arial"/>
                <w:sz w:val="16"/>
                <w:szCs w:val="16"/>
                <w:color w:val="0F7C7F"/>
              </w:rPr>
            </w:pPr>
            <w:hyperlink w:anchor="page33">
              <w:r>
                <w:rPr>
                  <w:rFonts w:ascii="Arial" w:cs="Arial" w:eastAsia="Arial" w:hAnsi="Arial"/>
                  <w:sz w:val="16"/>
                  <w:szCs w:val="16"/>
                  <w:color w:val="0F7C7F"/>
                </w:rPr>
                <w:t>Signatures</w:t>
              </w:r>
            </w:hyperlink>
          </w:p>
        </w:tc>
        <w:tc>
          <w:tcPr>
            <w:tcW w:w="4240" w:type="dxa"/>
            <w:vAlign w:val="bottom"/>
            <w:gridSpan w:val="4"/>
          </w:tcPr>
          <w:p>
            <w:pPr>
              <w:jc w:val="right"/>
              <w:spacing w:after="0"/>
              <w:rPr>
                <w:rFonts w:ascii="Arial" w:cs="Arial" w:eastAsia="Arial" w:hAnsi="Arial"/>
                <w:sz w:val="16"/>
                <w:szCs w:val="16"/>
                <w:color w:val="0F7C7F"/>
              </w:rPr>
            </w:pPr>
            <w:hyperlink w:anchor="page33">
              <w:r>
                <w:rPr>
                  <w:rFonts w:ascii="Arial" w:cs="Arial" w:eastAsia="Arial" w:hAnsi="Arial"/>
                  <w:sz w:val="16"/>
                  <w:szCs w:val="16"/>
                  <w:color w:val="0F7C7F"/>
                </w:rPr>
                <w:t>34</w:t>
              </w:r>
            </w:hyperlink>
          </w:p>
        </w:tc>
        <w:tc>
          <w:tcPr>
            <w:tcW w:w="40" w:type="dxa"/>
            <w:vAlign w:val="bottom"/>
          </w:tcPr>
          <w:p>
            <w:pPr>
              <w:spacing w:after="0"/>
              <w:rPr>
                <w:sz w:val="21"/>
                <w:szCs w:val="21"/>
                <w:color w:val="auto"/>
              </w:rPr>
            </w:pPr>
          </w:p>
        </w:tc>
      </w:tr>
      <w:tr>
        <w:trPr>
          <w:trHeight w:val="1567"/>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80" w:type="dxa"/>
            <w:vAlign w:val="bottom"/>
            <w:tcBorders>
              <w:bottom w:val="single" w:sz="8" w:color="auto"/>
            </w:tcBorders>
            <w:gridSpan w:val="4"/>
          </w:tcPr>
          <w:p>
            <w:pPr>
              <w:jc w:val="center"/>
              <w:ind w:left="423"/>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183"/>
        </w:trPr>
        <w:tc>
          <w:tcPr>
            <w:tcW w:w="8060" w:type="dxa"/>
            <w:vAlign w:val="bottom"/>
          </w:tcPr>
          <w:p>
            <w:pPr>
              <w:spacing w:after="0"/>
              <w:rPr>
                <w:sz w:val="15"/>
                <w:szCs w:val="15"/>
                <w:color w:val="auto"/>
              </w:rPr>
            </w:pPr>
          </w:p>
        </w:tc>
        <w:tc>
          <w:tcPr>
            <w:tcW w:w="318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millions, except per-share amounts)</w:t>
            </w:r>
          </w:p>
        </w:tc>
      </w:tr>
      <w:tr>
        <w:trPr>
          <w:trHeight w:val="176"/>
        </w:trPr>
        <w:tc>
          <w:tcPr>
            <w:tcW w:w="8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center"/>
              <w:ind w:right="421"/>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5"/>
                <w:szCs w:val="15"/>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7,531</w:t>
            </w:r>
          </w:p>
        </w:tc>
        <w:tc>
          <w:tcPr>
            <w:tcW w:w="100" w:type="dxa"/>
            <w:vAlign w:val="bottom"/>
          </w:tcPr>
          <w:p>
            <w:pPr>
              <w:spacing w:after="0"/>
              <w:rPr>
                <w:sz w:val="18"/>
                <w:szCs w:val="18"/>
                <w:color w:val="auto"/>
              </w:rPr>
            </w:pP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6,306</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6,522</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6,563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5,474</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6,187</w:t>
            </w:r>
          </w:p>
        </w:tc>
      </w:tr>
      <w:tr>
        <w:trPr>
          <w:trHeight w:val="20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0"/>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expenses,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24"/>
        </w:trPr>
        <w:tc>
          <w:tcPr>
            <w:tcW w:w="8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COMPREHENSIVE INCOME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183"/>
        </w:trPr>
        <w:tc>
          <w:tcPr>
            <w:tcW w:w="8040" w:type="dxa"/>
            <w:vAlign w:val="bottom"/>
          </w:tcPr>
          <w:p>
            <w:pPr>
              <w:spacing w:after="0"/>
              <w:rPr>
                <w:sz w:val="15"/>
                <w:szCs w:val="15"/>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r>
      <w:tr>
        <w:trPr>
          <w:trHeight w:val="183"/>
        </w:trPr>
        <w:tc>
          <w:tcPr>
            <w:tcW w:w="8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r>
      <w:tr>
        <w:trPr>
          <w:trHeight w:val="175"/>
        </w:trPr>
        <w:tc>
          <w:tcPr>
            <w:tcW w:w="8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700" w:type="dxa"/>
            <w:vAlign w:val="bottom"/>
            <w:gridSpan w:val="3"/>
          </w:tcPr>
          <w:p>
            <w:pPr>
              <w:ind w:left="140"/>
              <w:spacing w:after="0"/>
              <w:rPr>
                <w:sz w:val="20"/>
                <w:szCs w:val="20"/>
                <w:color w:val="auto"/>
              </w:rPr>
            </w:pPr>
            <w:r>
              <w:rPr>
                <w:rFonts w:ascii="Arial" w:cs="Arial" w:eastAsia="Arial" w:hAnsi="Arial"/>
                <w:sz w:val="14"/>
                <w:szCs w:val="14"/>
                <w:b w:val="1"/>
                <w:bCs w:val="1"/>
                <w:color w:val="auto"/>
              </w:rPr>
              <w:t>(Unaudited)</w:t>
            </w:r>
          </w:p>
        </w:tc>
        <w:tc>
          <w:tcPr>
            <w:tcW w:w="440" w:type="dxa"/>
            <w:vAlign w:val="bottom"/>
          </w:tcPr>
          <w:p>
            <w:pPr>
              <w:spacing w:after="0"/>
              <w:rPr>
                <w:sz w:val="15"/>
                <w:szCs w:val="15"/>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9"/>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net of tax</w:t>
            </w: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r>
      <w:tr>
        <w:trPr>
          <w:trHeight w:val="20"/>
        </w:trPr>
        <w:tc>
          <w:tcPr>
            <w:tcW w:w="8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BALANCE SHEETS</w:t>
      </w:r>
    </w:p>
    <w:p>
      <w:pPr>
        <w:spacing w:after="0" w:line="37"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bl>
    <w:p>
      <w:pPr>
        <w:spacing w:after="0" w:line="28"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(Dollars in millions,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vMerge w:val="restart"/>
          </w:tcPr>
          <w:p>
            <w:pPr>
              <w:jc w:val="right"/>
              <w:ind w:right="2500"/>
              <w:spacing w:after="0"/>
              <w:rPr>
                <w:sz w:val="20"/>
                <w:szCs w:val="20"/>
                <w:color w:val="auto"/>
              </w:rPr>
            </w:pPr>
            <w:r>
              <w:rPr>
                <w:rFonts w:ascii="Arial" w:cs="Arial" w:eastAsia="Arial" w:hAnsi="Arial"/>
                <w:sz w:val="16"/>
                <w:szCs w:val="16"/>
                <w:b w:val="1"/>
                <w:bCs w:val="1"/>
                <w:color w:val="auto"/>
                <w:w w:val="99"/>
              </w:rPr>
              <w:t>ASSETS</w:t>
            </w: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24"/>
                <w:szCs w:val="24"/>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4,438</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2,988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10,146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10,064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9"/>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12,360</w:t>
            </w:r>
          </w:p>
        </w:tc>
        <w:tc>
          <w:tcPr>
            <w:tcW w:w="100" w:type="dxa"/>
            <w:vAlign w:val="bottom"/>
          </w:tcPr>
          <w:p>
            <w:pPr>
              <w:spacing w:after="0"/>
              <w:rPr>
                <w:sz w:val="18"/>
                <w:szCs w:val="18"/>
                <w:color w:val="auto"/>
              </w:rPr>
            </w:pP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12,209</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-454025</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-179705</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-113030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620" w:space="280"/>
            <w:col w:w="73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2,472</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r>
      <w:tr>
        <w:trPr>
          <w:trHeight w:val="213"/>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2,173</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9,579</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0"/>
        </w:trPr>
        <w:tc>
          <w:tcPr>
            <w:tcW w:w="822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Common stock, $0.001 par value, 150 million shares authorized; outstanding: 59 million shares at March 31,</w:t>
            </w: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2022, and 58 million shares at December 31, 2021</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2,399</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STOCKHOLDERS’ EQUITY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7"/>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ind w:right="162"/>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Share-based compensation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7"/>
            <w:vMerge w:val="restart"/>
          </w:tcPr>
          <w:p>
            <w:pPr>
              <w:ind w:left="5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ind w:right="182"/>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1,860</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Balance at March 31, 2021</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c>
          <w:tcPr>
            <w:tcW w:w="320" w:type="dxa"/>
            <w:vAlign w:val="bottom"/>
            <w:gridSpan w:val="5"/>
          </w:tcPr>
          <w:p>
            <w:pPr>
              <w:ind w:lef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1,968</w:t>
            </w:r>
          </w:p>
        </w:tc>
        <w:tc>
          <w:tcPr>
            <w:tcW w:w="20" w:type="dxa"/>
            <w:vAlign w:val="bottom"/>
          </w:tcPr>
          <w:p>
            <w:pPr>
              <w:spacing w:after="0"/>
              <w:rPr>
                <w:sz w:val="18"/>
                <w:szCs w:val="18"/>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80" w:type="dxa"/>
            <w:vAlign w:val="bottom"/>
            <w:tcBorders>
              <w:bottom w:val="single" w:sz="8" w:color="auto"/>
            </w:tcBorders>
            <w:gridSpan w:val="4"/>
          </w:tcPr>
          <w:p>
            <w:pPr>
              <w:jc w:val="center"/>
              <w:ind w:left="404"/>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r>
      <w:tr>
        <w:trPr>
          <w:trHeight w:val="183"/>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center"/>
              <w:ind w:right="40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r>
      <w:tr>
        <w:trPr>
          <w:trHeight w:val="175"/>
        </w:trPr>
        <w:tc>
          <w:tcPr>
            <w:tcW w:w="8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00" w:type="dxa"/>
            <w:vAlign w:val="bottom"/>
            <w:gridSpan w:val="3"/>
          </w:tcPr>
          <w:p>
            <w:pPr>
              <w:jc w:val="center"/>
              <w:ind w:right="422"/>
              <w:spacing w:after="0"/>
              <w:rPr>
                <w:sz w:val="20"/>
                <w:szCs w:val="20"/>
                <w:color w:val="auto"/>
              </w:rPr>
            </w:pPr>
            <w:r>
              <w:rPr>
                <w:rFonts w:ascii="Arial" w:cs="Arial" w:eastAsia="Arial" w:hAnsi="Arial"/>
                <w:sz w:val="14"/>
                <w:szCs w:val="14"/>
                <w:b w:val="1"/>
                <w:bCs w:val="1"/>
                <w:color w:val="auto"/>
              </w:rPr>
              <w:t>(Unaudited)</w:t>
            </w:r>
          </w:p>
        </w:tc>
        <w:tc>
          <w:tcPr>
            <w:tcW w:w="500" w:type="dxa"/>
            <w:vAlign w:val="bottom"/>
          </w:tcPr>
          <w:p>
            <w:pPr>
              <w:spacing w:after="0"/>
              <w:rPr>
                <w:sz w:val="15"/>
                <w:szCs w:val="15"/>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Receivables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claims and benefits payable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Amounts due government agencies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(304)</w:t>
            </w: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8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4,223</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8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4,497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NOTES TO CONSOLIDATED FINANCIAL STATEMENTS (UNAUDITED)</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828282"/>
        </w:rPr>
        <w:t>MARCH 31, 2022</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828282"/>
        </w:rPr>
        <w:t>1. Organization and Basis of Presentation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We currently have four reportable segments consisting of: 1) Medicaid; 2) Medicare; 3) Marketplace; and 4) Other. Our reportable segments are consistent with how we currently manage the business and view the markets we serve.</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March 31, 2022, we served approximately 5.1 million members eligible for government-sponsored healthcare programs, located across 19 states.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2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In April 2022, we submitted our RFP response. We expect the award to be announced in early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2022, with an effective date of January 2024.</w:t>
      </w:r>
    </w:p>
    <w:p>
      <w:pPr>
        <w:spacing w:after="0" w:line="54"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March 2022, the Texas Health and Human Services Commission posted the ABD program (known in</w:t>
      </w:r>
      <w:r>
        <w:rPr>
          <w:rFonts w:ascii="Arial" w:cs="Arial" w:eastAsia="Arial" w:hAnsi="Arial"/>
          <w:sz w:val="18"/>
          <w:szCs w:val="18"/>
          <w:i w:val="1"/>
          <w:iCs w:val="1"/>
          <w:color w:val="auto"/>
        </w:rPr>
        <w:t xml:space="preserve"> </w:t>
      </w:r>
      <w:r>
        <w:rPr>
          <w:rFonts w:ascii="Arial" w:cs="Arial" w:eastAsia="Arial" w:hAnsi="Arial"/>
          <w:sz w:val="18"/>
          <w:szCs w:val="18"/>
          <w:color w:val="auto"/>
        </w:rPr>
        <w:t>Texas as STAR+PLUS) RFP, with awards estimated to be announced in the fourth quarter of 2022, and start of operations in September 2023.</w:t>
      </w:r>
    </w:p>
    <w:p>
      <w:pPr>
        <w:spacing w:after="0" w:line="68"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January 1, 2022, we closed on our acquisition of Cigna Corporation’s Texas Medicaid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Medicare-Medicaid Plan (“MMP”) contracts, along with certain operating assets. See Note 4, “Business Combinations,” for further information.</w:t>
      </w:r>
    </w:p>
    <w:p>
      <w:pPr>
        <w:spacing w:after="0" w:line="68"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Our new contract in Clark and Washoe Counties commenced on January 1, 2022, and offers health</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to TANF, CHIP and Medicaid Expansion beneficiaries. The four year contract with a possible two-year extension was ratified in September 2021.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three months ended March 31, 2022 are not necessarily indicative of the results for the entire year ending December 31, 2022.</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2021. Accordingly, certain disclosures that would substantially duplicate the disclosures contained in our December 31, 2021, audited consolidated financial statements have been omitted. These unaudited consolidated interim financial statements should be read in conjunction with our audited consolidated financial statements for the fiscal year ended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828282"/>
        </w:rPr>
        <w:t>2. Significant Accounting Policies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provides a reconciliation of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4,431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360"/>
              <w:spacing w:after="0" w:line="161"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4,866</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4,497</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shd w:val="clear" w:color="auto" w:fill="CCEEFF"/>
          </w:tcPr>
          <w:p>
            <w:pPr>
              <w:ind w:left="520"/>
              <w:spacing w:after="0" w:line="174" w:lineRule="exact"/>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23"/>
        </w:trPr>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1022"/>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1,566</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24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276</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335</w:t>
            </w:r>
          </w:p>
        </w:tc>
      </w:tr>
      <w:tr>
        <w:trPr>
          <w:trHeight w:val="206"/>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2,177</w:t>
            </w:r>
          </w:p>
        </w:tc>
      </w:tr>
      <w:tr>
        <w:trPr>
          <w:trHeight w:val="23"/>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Certain components of premium revenue are subject to accounting estimates and are described in further detail below, and in our 2021 Annual Report on Form 10-K, Note 2, “Significant Accounting Policies,” under “Contractual Provisions That May Adjust or Limit Revenue or Profit,” and “Quality Incentives.”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Many of our contracts contain provisions that may adjust or limit revenue or profit, as described below. Consequently, we recognize premium revenue as it is earned under such provisions. Liabilities accrued for premiums to be returned under such provisions are reported in the aggregate as “Amounts due government agencies,” in the accompanying consolidated balance sheets.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amounts due government agencies, categorized by program:</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r>
      <w:tr>
        <w:trPr>
          <w:trHeight w:val="223"/>
        </w:trPr>
        <w:tc>
          <w:tcPr>
            <w:tcW w:w="8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60" w:type="dxa"/>
            <w:vAlign w:val="bottom"/>
            <w:gridSpan w:val="4"/>
          </w:tcPr>
          <w:p>
            <w:pPr>
              <w:jc w:val="right"/>
              <w:ind w:right="108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 program:</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1,016</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263</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Medicare program:</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2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Marketplace program:</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902</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28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18</w:t>
            </w:r>
          </w:p>
        </w:tc>
      </w:tr>
      <w:tr>
        <w:trPr>
          <w:trHeight w:val="216"/>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w:t>
            </w:r>
          </w:p>
        </w:tc>
      </w:tr>
      <w:tr>
        <w:trPr>
          <w:trHeight w:val="212"/>
        </w:trPr>
        <w:tc>
          <w:tcPr>
            <w:tcW w:w="8100" w:type="dxa"/>
            <w:vAlign w:val="bottom"/>
          </w:tcPr>
          <w:p>
            <w:pPr>
              <w:ind w:left="360"/>
              <w:spacing w:after="0"/>
              <w:rPr>
                <w:sz w:val="20"/>
                <w:szCs w:val="20"/>
                <w:color w:val="auto"/>
              </w:rPr>
            </w:pPr>
            <w:r>
              <w:rPr>
                <w:rFonts w:ascii="Arial" w:cs="Arial" w:eastAsia="Arial" w:hAnsi="Arial"/>
                <w:sz w:val="16"/>
                <w:szCs w:val="16"/>
                <w:color w:val="auto"/>
              </w:rPr>
              <w:t>Total amounts due government agencies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2,472</w:t>
            </w:r>
          </w:p>
        </w:tc>
      </w:tr>
      <w:tr>
        <w:trPr>
          <w:trHeight w:val="21"/>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 Program</w:t>
      </w:r>
    </w:p>
    <w:p>
      <w:pPr>
        <w:spacing w:after="0" w:line="9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Minimum MLR and Retroactive Premium Adjustments. </w:t>
      </w:r>
      <w:r>
        <w:rPr>
          <w:rFonts w:ascii="Arial" w:cs="Arial" w:eastAsia="Arial" w:hAnsi="Arial"/>
          <w:sz w:val="18"/>
          <w:szCs w:val="18"/>
          <w:color w:val="auto"/>
        </w:rPr>
        <w:t>State Medicaid programs periodically adjust premium rates on a retroactive basis.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we adjust our premium revenue in the period in which we determine that the adjustment is probable and reasonably estimable, based on our best estimate of the ultimate premium we expect to realize for the period being adjusted.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Beginning in 2020, various states enacted temporary risk corridors in response to the reduced demand for medical services stemming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COVID-19, which have resulted in a reduction of our medical margin. In some cases, these risk corridors were retroactive to earlier periods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 or as early as the beginning of the states’ fiscal years in 2019. Beginning in the second quarter of 2020, we have recognized risk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corridors that we believe to be probable, and where the ultimate premium amount is reasonably estimable.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2022, we recognized approximately $28 million related to such risk corridors, primarily in the Medicaid segment,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 million recognized in the three months ended March 31, 2021. The decrease is due to the elimination of several of the COVID-19 risk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corridors.</w:t>
      </w:r>
    </w:p>
    <w:p>
      <w:pPr>
        <w:spacing w:after="0" w:line="11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 Program</w:t>
      </w:r>
    </w:p>
    <w:p>
      <w:pPr>
        <w:spacing w:after="0" w:line="9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March 31, 2022, Marketplace risk adjustment payables amounted to $949 million and related receivables amounted to $33 million, for a net payable of $916 million. As of December 31, 2021, Marketplace risk adjustment payables amounted to $902 million and related receivables amounted to $7 million, for a net payable of $895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15 years, or less than 15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governments of each state in which our health plan subsidiaries operate.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828282"/>
        </w:rPr>
        <w:t>3. Net Income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basic and diluted net income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7920" w:type="dxa"/>
            <w:vAlign w:val="bottom"/>
          </w:tcPr>
          <w:p>
            <w:pPr>
              <w:spacing w:after="0"/>
              <w:rPr>
                <w:sz w:val="15"/>
                <w:szCs w:val="15"/>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223"/>
        </w:trPr>
        <w:tc>
          <w:tcPr>
            <w:tcW w:w="7920" w:type="dxa"/>
            <w:vAlign w:val="bottom"/>
          </w:tcPr>
          <w:p>
            <w:pPr>
              <w:spacing w:after="0"/>
              <w:rPr>
                <w:sz w:val="19"/>
                <w:szCs w:val="19"/>
                <w:color w:val="auto"/>
              </w:rPr>
            </w:pPr>
          </w:p>
        </w:tc>
        <w:tc>
          <w:tcPr>
            <w:tcW w:w="3320" w:type="dxa"/>
            <w:vAlign w:val="bottom"/>
            <w:gridSpan w:val="5"/>
          </w:tcPr>
          <w:p>
            <w:pPr>
              <w:jc w:val="right"/>
              <w:ind w:right="159"/>
              <w:spacing w:after="0"/>
              <w:rPr>
                <w:sz w:val="20"/>
                <w:szCs w:val="20"/>
                <w:color w:val="auto"/>
              </w:rPr>
            </w:pPr>
            <w:r>
              <w:rPr>
                <w:rFonts w:ascii="Arial" w:cs="Arial" w:eastAsia="Arial" w:hAnsi="Arial"/>
                <w:sz w:val="14"/>
                <w:szCs w:val="14"/>
                <w:b w:val="1"/>
                <w:bCs w:val="1"/>
                <w:color w:val="auto"/>
              </w:rPr>
              <w:t>(In millions, except net income per share)</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792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purchases</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w:t>
            </w:r>
          </w:p>
        </w:tc>
      </w:tr>
      <w:tr>
        <w:trPr>
          <w:trHeight w:val="219"/>
        </w:trPr>
        <w:tc>
          <w:tcPr>
            <w:tcW w:w="79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13"/>
        </w:trPr>
        <w:tc>
          <w:tcPr>
            <w:tcW w:w="7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3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41"/>
        </w:trPr>
        <w:tc>
          <w:tcPr>
            <w:tcW w:w="792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92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r>
      <w:tr>
        <w:trPr>
          <w:trHeight w:val="20"/>
        </w:trPr>
        <w:tc>
          <w:tcPr>
            <w:tcW w:w="7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6"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828282"/>
        </w:rPr>
        <w:t>4. Business Combinations</w:t>
      </w:r>
    </w:p>
    <w:p>
      <w:pPr>
        <w:spacing w:after="0" w:line="8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 xml:space="preserve">Cigna. </w:t>
      </w:r>
      <w:r>
        <w:rPr>
          <w:rFonts w:ascii="Arial" w:cs="Arial" w:eastAsia="Arial" w:hAnsi="Arial"/>
          <w:sz w:val="18"/>
          <w:szCs w:val="18"/>
          <w:color w:val="auto"/>
        </w:rPr>
        <w:t>On January 1, 2022, we closed on our acquisition of Cigna Corporation’s Texas Medicaid and Medicare-Medicaid Plan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along with certain operating assets, for purchase consideration of approximately $60 million. We acquired membership and a provider network with a preliminary fair value of approximately $36 million. We allocated the remaining $24 million of purchase consideration to goodwill, primarily in the Medicaid segment, which relates to future economic benefits arising from expected synergies from the use of our existing infrastructure to support the added membership, and from the assembled workforce. The goodwill is deductible for income tax purposes.</w:t>
      </w:r>
    </w:p>
    <w:p>
      <w:pPr>
        <w:spacing w:after="0" w:line="79"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 xml:space="preserve">Affinity. </w:t>
      </w:r>
      <w:r>
        <w:rPr>
          <w:rFonts w:ascii="Arial" w:cs="Arial" w:eastAsia="Arial" w:hAnsi="Arial"/>
          <w:sz w:val="18"/>
          <w:szCs w:val="18"/>
          <w:color w:val="auto"/>
        </w:rPr>
        <w:t>On October 25, 2021, we closed on our acquisition of substantially all of the assets of Affinity Health Plan, Inc., a Medicaid health</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New York, for initial purchase consideration of approximately $176 million. In the three months ended March 31, 2022, we recorded various measurement period adjustments, including a decrease of $25 million to “Medical claims and benefits payable,” and an increase of $4 million to “Amounts due government agencies.” In the aggregate, we recorded a net increase of $11 million to goodwill for these measurement period adjustments and various purchase price adjustments.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828282"/>
        </w:rPr>
        <w:t>5. Fair Value Measurements</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2021 Annual Report on Form 10-K, Note 5, “Fair Value Measurements.”</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net changes in fair value of Level 3 financial instruments are reported in “Other” operating expenses in our consolidated statements of income. In the three months ended March 31, 2022 and 2021, we recognized a loss of $4 million and $8 million, respectively, for the increase in the fair value of the contingent consideration liabilities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March 31, 2022,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0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2022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2021,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7"/>
        </w:trPr>
        <w:tc>
          <w:tcPr>
            <w:tcW w:w="476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Liabilities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Level 3 financial instruments at March 31, 2022 are comprised solely of contingent consideration liabilities of $8 million, in connection with our 2020 acquisition of certain assets of Passport Health Plan, Inc., a Medicaid health plan in Kentucky. Such liabilities are recorded at fair value on a recurring basis. In the three months ended March 31, 2022, the estimated fair value of contingent purchase consideration increased by approximately $4 million, relating to an operating income guarantee.</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the three months ended March 31, 2022 we paid the seller $43 million, of which $23 million was for the remaining half of the consideration due for minimum member enrollment targets and $20 million was for the first payment of the consideration due for the operating income guarantee. For the amounts paid in the three months ended March 31, 2022, $20 million has been presented in “Financing activities” in the accompanying consolidated statements of cash flows, with the balance reflected in “Operating activities.” The remaining balance of the liabilities is reported in “Accounts payable, accrued liabilities and other” in the accompanying consolidated balance sheets.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64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 due 2028</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3.875% Notes due 2030</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 due 2032</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2,174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2,126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2022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828282"/>
        </w:rPr>
        <w:t>6. Investments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39"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We consider all of our investments classified as current assets to be available-for-sale. The following tables summarize our current investments as of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rPr>
              <w:t>March 31, 2022</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8"/>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rPr>
              <w:t>Gross Unrealized</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8"/>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60" w:type="dxa"/>
            <w:vAlign w:val="bottom"/>
            <w:gridSpan w:val="7"/>
          </w:tcPr>
          <w:p>
            <w:pPr>
              <w:spacing w:after="0"/>
              <w:rPr>
                <w:sz w:val="20"/>
                <w:szCs w:val="20"/>
                <w:color w:val="auto"/>
              </w:rPr>
            </w:pPr>
            <w:r>
              <w:rPr>
                <w:rFonts w:ascii="Arial" w:cs="Arial" w:eastAsia="Arial" w:hAnsi="Arial"/>
                <w:sz w:val="18"/>
                <w:szCs w:val="18"/>
                <w:color w:val="auto"/>
              </w:rPr>
              <w:t>The contractual maturities of our current investments as of March 31, 2022 are summarized below:</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center"/>
              <w:ind w:right="30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8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and losses were insignificant for the three months ended March 31, 2022, and 2021.</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determined that unrealized losses at March 31, 2022, and December 31, 2021,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those available-for-sale investments that have been in a continuous loss position for less than 12 months. No investments have been in a continuous loss position for 12 months or more as of March 31, 2022, and December 31, 2021.</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2022</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4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1,091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 Held-to-Maturity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$221 million at March 31, 2022, of which $190 million will mature in one year or less, and $31 million will mature in one through five years.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828282"/>
        </w:rPr>
        <w:t>7. Medical Claims and Benefits Payable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r>
      <w:tr>
        <w:trPr>
          <w:trHeight w:val="223"/>
        </w:trPr>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Claims incurred but not paid (“IBNP”)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2,486</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219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576</w:t>
            </w:r>
          </w:p>
        </w:tc>
      </w:tr>
      <w:tr>
        <w:trPr>
          <w:trHeight w:val="23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3,363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“Other” medical claims and benefits payable include amounts payable to certain providers for which we act as an intermediary on behalf of various government agencies without assuming financial risk. Such receipts and payments do not impact our consolidated statements of income. Non-risk provider payables amounted to $322 million and $226 million as of March 31, 2022, and December 31, 2021, respectively.</w:t>
      </w:r>
    </w:p>
    <w:p>
      <w:pPr>
        <w:spacing w:after="0" w:line="77"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following tables present the components of the change in our medical claims and benefits payable for the periods indicated. The amounts presented for “Components of medical care costs related to: Prior years” represent the amount by which our original estimate of medical claims and benefits payable at the beginning of the year varied from the actual liabilities, based on information (principally the payment of claims) developed since those liabilities were first reported.</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 March 31, 2022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6,769</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6,563</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r>
      <w:tr>
        <w:trPr>
          <w:trHeight w:val="20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6,396</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3,601</w:t>
            </w: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39"/>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 March 31, 2021</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12"/>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5,474</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3,513</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r>
      <w:tr>
        <w:trPr>
          <w:trHeight w:val="20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Acquired balances, net of post-acquisition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2,839</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estimates of medical claims and benefits payable recorded at December 31, 2021, and 2020 developed favorably by approximately $206 million and $194 million as of March 31, 2022, and 2021, respectively.</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favorable prior year development recognized in the three months ended March 31, 2022 was primarily due to lower than expected utilization of medical services by our members and improved operating performance. Consequently, the ultimate costs recognized in 2022, as claims payments were processed, were lower than our estimates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828282"/>
        </w:rPr>
        <w:t>8. Debt</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our debt is held at the parent, which is reported in the Other segment. The following table summarizes our outstanding debt obligations, all of which are non-current as of the dates reported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r>
      <w:tr>
        <w:trPr>
          <w:trHeight w:val="223"/>
        </w:trPr>
        <w:tc>
          <w:tcPr>
            <w:tcW w:w="8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800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3.875% Notes due 2030</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2032</w:t>
            </w:r>
          </w:p>
        </w:tc>
        <w:tc>
          <w:tcPr>
            <w:tcW w:w="2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750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8020" w:type="dxa"/>
            <w:vAlign w:val="bottom"/>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2,173</w:t>
            </w: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are party to a credit agreement (the “Credit Agreement”) which includes a revolving credit facility (“Credit Facility”) of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7"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As of March 31, 2022, we were in compliance with all financial and non-financial covenants under the Credit Agreement and other long-term debt. As of March 31, 2022, no amounts were outstanding under the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senior notes are described below. Each of these notes are senior unsecured obligations of Molina and rank equally in right of payment with all existing and future senior debt, and senior to all existing and future subordinated debt of Molina. In addition, each of the notes contain customary non-financial covenants and change of control provisions.</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indentures governing the senior notes contain cross-default provisions that are triggered upon default by us or any of our subsidiaries on any indebtedness in excess of the amount specified in the applicable indenture.</w:t>
      </w:r>
    </w:p>
    <w:p>
      <w:pPr>
        <w:spacing w:after="0" w:line="72"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had $800 million aggregate principal amount of senior notes (the “4.375% Notes”) outstanding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which are due June 15, 2028, unless earlier redeemed. Interest, at a rate of 4.375% per annum, is payable semiannually in arrears on June 15 and December 15.</w:t>
      </w:r>
    </w:p>
    <w:p>
      <w:pPr>
        <w:spacing w:after="0" w:line="6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had $650 million aggregate principal amount of senior notes (the “3.875% Notes due 2030”)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2022, which are due November 15, 2030, unless earlier redeemed. Interest, at a rate of 3.875% per annum, is payable semiannually in arrears on May 15 and November 15.</w:t>
      </w:r>
    </w:p>
    <w:p>
      <w:pPr>
        <w:spacing w:after="0" w:line="6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i w:val="1"/>
          <w:iCs w:val="1"/>
          <w:color w:val="auto"/>
        </w:rPr>
        <w:t xml:space="preserve">3.875% Notes due 2032. </w:t>
      </w:r>
      <w:r>
        <w:rPr>
          <w:rFonts w:ascii="Arial" w:cs="Arial" w:eastAsia="Arial" w:hAnsi="Arial"/>
          <w:sz w:val="18"/>
          <w:szCs w:val="18"/>
          <w:color w:val="auto"/>
        </w:rPr>
        <w:t>We had $750 million aggregate principal amount of senior notes (the “3.875% Notes due 2032”)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2022, which are due May 15, 2032, unless earlier redeemed. Interest, at a rate of 3.875% per annum, is payable semiannually in arrears on May 15 and November 15.</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828282"/>
        </w:rPr>
        <w:t>9. Stockholders' Equity</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September 2021, our board of directors authorized the purchase of up to $500 million, in the aggregate, of our common stock. This new program, which superseded the stock purchase program approved by our board of directors in September 2020, is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As of April 27, 2022, we have purchased 85,000 shares under the stock purchase program approved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828282"/>
        </w:rPr>
        <w:t>10. Segments</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currently have four reportable segments consisting of: 1) Medicaid; 2) Medicare; 3) Marketplace; and 4) Other. Our reportable segments are consistent with how we currently manage the business and view the markets we serve.</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provide in Wisconsin.</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because this is not a metric used to assess segment performance or allocate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223"/>
        </w:trPr>
        <w:tc>
          <w:tcPr>
            <w:tcW w:w="8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right"/>
              <w:ind w:right="60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9"/>
                <w:szCs w:val="19"/>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6,187</w:t>
            </w:r>
          </w:p>
        </w:tc>
        <w:tc>
          <w:tcPr>
            <w:tcW w:w="10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5,020</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8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8060" w:type="dxa"/>
            <w:vAlign w:val="bottom"/>
          </w:tcPr>
          <w:p>
            <w:pPr>
              <w:ind w:left="48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7,770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6,522</w:t>
            </w:r>
          </w:p>
        </w:tc>
      </w:tr>
      <w:tr>
        <w:trPr>
          <w:trHeight w:val="21"/>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r>
      <w:tr>
        <w:trPr>
          <w:trHeight w:val="183"/>
        </w:trPr>
        <w:tc>
          <w:tcPr>
            <w:tcW w:w="8060" w:type="dxa"/>
            <w:vAlign w:val="bottom"/>
          </w:tcPr>
          <w:p>
            <w:pPr>
              <w:spacing w:after="0"/>
              <w:rPr>
                <w:sz w:val="15"/>
                <w:szCs w:val="15"/>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r>
      <w:tr>
        <w:trPr>
          <w:trHeight w:val="223"/>
        </w:trPr>
        <w:tc>
          <w:tcPr>
            <w:tcW w:w="8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9"/>
                <w:szCs w:val="19"/>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8"/>
                <w:szCs w:val="18"/>
                <w:color w:val="auto"/>
              </w:rPr>
            </w:pPr>
          </w:p>
        </w:tc>
        <w:tc>
          <w:tcPr>
            <w:tcW w:w="1080" w:type="dxa"/>
            <w:vAlign w:val="bottom"/>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604</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06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19"/>
        </w:trPr>
        <w:tc>
          <w:tcPr>
            <w:tcW w:w="80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6"/>
        </w:trPr>
        <w:tc>
          <w:tcPr>
            <w:tcW w:w="80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r>
      <w:tr>
        <w:trPr>
          <w:trHeight w:val="210"/>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investment income, and other revenue.</w:t>
      </w:r>
    </w:p>
    <w:p>
      <w:pPr>
        <w:spacing w:after="0" w:line="5" w:lineRule="exact"/>
        <w:rPr>
          <w:rFonts w:ascii="Arial" w:cs="Arial" w:eastAsia="Arial" w:hAnsi="Arial"/>
          <w:sz w:val="16"/>
          <w:szCs w:val="16"/>
          <w:color w:val="auto"/>
        </w:rPr>
      </w:pPr>
    </w:p>
    <w:p>
      <w:pPr>
        <w:ind w:left="340" w:right="38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depreciation and amortization,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828282"/>
        </w:rPr>
        <w:t>11. Commitments and Contingencies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Penalties associated with violations of these laws and regulations include significant fines and penalties, exclusion from participating in publicly funded programs, the repayment of previously billed and collected revenues and reputational damage.</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8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Kentucky RFP</w:t>
      </w:r>
      <w:r>
        <w:rPr>
          <w:rFonts w:ascii="Arial" w:cs="Arial" w:eastAsia="Arial" w:hAnsi="Arial"/>
          <w:sz w:val="18"/>
          <w:szCs w:val="18"/>
          <w:color w:val="auto"/>
        </w:rPr>
        <w:t>. On September 4, 2020, Anthem Kentucky Managed Care Plan, Inc. brought an action in Franklin County Circuit Court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Kentucky Finance and Administration Cabinet, the Kentucky Cabinet for Health and Family Services, and all of the five winning bidder health plans, including our Kentucky health plan. The appellate briefing has concluded and no assurances can be given regarding the ultimate outcome. Under the Court’s June 16, 2021 final Order, our Kentucky health plan will continue to operate for the foreseeable future under its current Medicaid contract and provide care to Kentucky Medicaid members.</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Rico, Inc. (“MHPR”) filed a complaint asserting, among other claims, breach</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contract against the Puerto Rico Health Insurance Administration (“ASES”). On September 13, 2021, in addition to filing its answer to MHPR’s complaint, ASES filed a counterclaim and a third-party complaint against MHPR and the Company. The counterclaim alleges that MHPR and the Company breached contractual obligations by failing to pay providers, and seeks damages and various equitable remedies. On October 8, 2021, MHPR filed its reply to the counterclaim, denying all the allegations, and on November 1, 2021, the Company filed its answer to the third-party complaint. On December 3, 2021, MHPR filed a request for disbursement of illegally withheld funds, and ASES filed its opposition. At a status hearing on January 19, 2022, the Court heard MHPR’s request for disbursement. The Court has not ruled on the request. On March 23, 2022, the Court informed the parties that it will appoint a Special Commissioner to review the merits of the entire case, with the assigned judge retaining final authority over any resolution. The parties are negotiating the engagement of the Special Commissioner. This matter is in its early stages and remains subject to significant additional proceedings, and no prediction can be made as to the outcome. No gain or loss is probable and reasonably estimable with regard to either MHPR’s complaint or the counterclaim of ASES.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right="120"/>
        <w:spacing w:after="0" w:line="274" w:lineRule="auto"/>
        <w:rPr>
          <w:sz w:val="20"/>
          <w:szCs w:val="20"/>
          <w:color w:val="auto"/>
        </w:rPr>
      </w:pPr>
      <w:r>
        <w:rPr>
          <w:rFonts w:ascii="Arial" w:cs="Arial" w:eastAsia="Arial" w:hAnsi="Arial"/>
          <w:sz w:val="22"/>
          <w:szCs w:val="22"/>
          <w:b w:val="1"/>
          <w:bCs w:val="1"/>
          <w:color w:val="0F7C7F"/>
        </w:rPr>
        <w:t>MANAGEMENT’S DISCUSSION AND ANALYSIS OF FINANCIAL CONDITION AND RESULTS OF OPERATIONS (“MD&amp;A”)</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828282"/>
        </w:rPr>
        <w:t>FORWARD-LOOKING STATEMENTS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2021 Annual Report on Form 10-K, including without limitation the following:</w:t>
      </w:r>
    </w:p>
    <w:p>
      <w:pPr>
        <w:spacing w:after="0" w:line="85" w:lineRule="exact"/>
        <w:rPr>
          <w:sz w:val="20"/>
          <w:szCs w:val="20"/>
          <w:color w:val="auto"/>
        </w:rPr>
      </w:pPr>
    </w:p>
    <w:p>
      <w:pPr>
        <w:jc w:val="both"/>
        <w:ind w:left="340" w:right="180" w:hanging="332"/>
        <w:spacing w:after="0" w:line="257"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COVID-19 pandemic and its associated or indirect effects on our business, operations, and financial results, including without limitation the duration of the Public Health Emergency Declaration (“PHE”) and associated suspension in redeterminations, and the potential impact on our workforce or contractors of federal or state vaccine mandates;</w:t>
      </w:r>
    </w:p>
    <w:p>
      <w:pPr>
        <w:spacing w:after="0" w:line="1" w:lineRule="exact"/>
        <w:rPr>
          <w:rFonts w:ascii="Arial" w:cs="Arial" w:eastAsia="Arial" w:hAnsi="Arial"/>
          <w:sz w:val="18"/>
          <w:szCs w:val="18"/>
          <w:i w:val="1"/>
          <w:iCs w:val="1"/>
          <w:color w:val="auto"/>
        </w:rPr>
      </w:pPr>
    </w:p>
    <w:p>
      <w:pPr>
        <w:ind w:left="340" w:right="18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incidental to the COVID-19 pandemic and their efforts to reduce rates or limit rate increases, to impose profit caps or risk corridors, or to recoup previously paid premium amounts on a retroactive basis;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w:t>
      </w:r>
    </w:p>
    <w:p>
      <w:pPr>
        <w:spacing w:after="0" w:line="9" w:lineRule="exact"/>
        <w:rPr>
          <w:rFonts w:ascii="Arial" w:cs="Arial" w:eastAsia="Arial" w:hAnsi="Arial"/>
          <w:sz w:val="18"/>
          <w:szCs w:val="18"/>
          <w:i w:val="1"/>
          <w:iCs w:val="1"/>
          <w:color w:val="auto"/>
        </w:rPr>
      </w:pPr>
    </w:p>
    <w:p>
      <w:pPr>
        <w:ind w:left="340" w:right="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issues impacting enrollment, risk adjustment estimates and results, the potential for disproportionate enrollment of higher acuity members, and the discontinuation of premium tax credits;</w:t>
      </w:r>
    </w:p>
    <w:p>
      <w:pPr>
        <w:ind w:left="340" w:right="66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legal proceedings in Kentucky with regard to the Medicaid contract award to our Kentucky health plan and our acquisition of certain assets of Passport;</w:t>
      </w:r>
    </w:p>
    <w:p>
      <w:pPr>
        <w:ind w:left="340" w:right="36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bid submissions in response to requests for proposal, including our contracts in California and Texas;</w:t>
      </w:r>
    </w:p>
    <w:p>
      <w:pPr>
        <w:ind w:left="340" w:right="18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completed acquisitions of Magellan Complete Care, Passport, Affinity, and the Medicaid assets of Cigna in Texas, and the announced acquisition of AgeWell New York;</w:t>
      </w: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COVID-19;</w:t>
      </w:r>
    </w:p>
    <w:p>
      <w:pPr>
        <w:spacing w:after="0" w:line="9" w:lineRule="exact"/>
        <w:rPr>
          <w:rFonts w:ascii="Arial" w:cs="Arial" w:eastAsia="Arial" w:hAnsi="Arial"/>
          <w:sz w:val="18"/>
          <w:szCs w:val="18"/>
          <w:i w:val="1"/>
          <w:iCs w:val="1"/>
          <w:color w:val="auto"/>
        </w:rPr>
      </w:pPr>
    </w:p>
    <w:p>
      <w:pPr>
        <w:ind w:left="340" w:right="50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information;</w:t>
      </w:r>
    </w:p>
    <w:p>
      <w:pPr>
        <w:ind w:left="340" w:right="1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180" w:hanging="332"/>
        <w:spacing w:after="0" w:line="261"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340" w:right="40" w:hanging="332"/>
        <w:spacing w:after="0" w:line="26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duals demonstration programs in California, Illinois, Michigan, Ohio, South Carolina, and Texas;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line="234" w:lineRule="auto"/>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ind w:left="320" w:hanging="312"/>
        <w:spacing w:after="0" w:line="234" w:lineRule="auto"/>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i w:val="1"/>
          <w:iCs w:val="1"/>
          <w:color w:val="auto"/>
        </w:rPr>
      </w:pPr>
    </w:p>
    <w:p>
      <w:pPr>
        <w:ind w:left="340" w:right="540" w:hanging="332"/>
        <w:spacing w:after="0" w:line="242"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spacing w:after="0" w:line="1" w:lineRule="exact"/>
        <w:rPr>
          <w:rFonts w:ascii="Arial" w:cs="Arial" w:eastAsia="Arial" w:hAnsi="Arial"/>
          <w:sz w:val="18"/>
          <w:szCs w:val="18"/>
          <w:i w:val="1"/>
          <w:iCs w:val="1"/>
          <w:color w:val="auto"/>
        </w:rPr>
      </w:pPr>
    </w:p>
    <w:p>
      <w:pPr>
        <w:ind w:left="340" w:right="160" w:hanging="332"/>
        <w:spacing w:after="0" w:line="224"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exit from Puerto Rico, including the payment in full of our outstanding accounts receivable, the effective run-out of claims, the return of our capital, and the outcome of the claims filed against our Puerto Rico health plan and us by the Puerto Rico Health Insurance Administration, or ASES;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resolution, favorable or unfavorable, of litigation, arbitration, or administrative proceedings;</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line="234" w:lineRule="auto"/>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comply with the financial or other covenants in our credit agreement or the indentures governing our outstanding notes;</w:t>
      </w:r>
    </w:p>
    <w:p>
      <w:pPr>
        <w:ind w:left="340" w:hanging="332"/>
        <w:spacing w:after="0" w:line="226"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Readers should refer to the section entitled “Risk Factors” in our 2021 Annual Report on Form 10-K,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OVERVIEW</w:t>
      </w:r>
    </w:p>
    <w:p>
      <w:pPr>
        <w:spacing w:after="0" w:line="13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Molina Healthcare, Inc., a FORTUNE 500 company (currently ranked 155), provides managed healthcare services under the Medicaid and Medicare programs, and through the state insurance marketplaces (the “Marketplace”). We served approximately 5.1 million members as of March 31, 2022, located across 19 states.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828282"/>
        </w:rPr>
        <w:t>FIRST QUARTER 2022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$258 million, or $4.39 per diluted share, for the first quarter of 2022, which reflected the following:</w:t>
      </w:r>
    </w:p>
    <w:p>
      <w:pPr>
        <w:spacing w:after="0" w:line="117" w:lineRule="exact"/>
        <w:rPr>
          <w:sz w:val="20"/>
          <w:szCs w:val="20"/>
          <w:color w:val="auto"/>
        </w:rPr>
      </w:pPr>
    </w:p>
    <w:p>
      <w:pPr>
        <w:ind w:left="660" w:right="7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Membership increase of 480,000, or 10%, compared with March 31, 2021, and a 114,000 sequential decrease compared to December 31, 2021;</w:t>
      </w:r>
    </w:p>
    <w:p>
      <w:pPr>
        <w:ind w:left="660" w:right="1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Premium revenue of $7.5 billion increased 19% compared with the first quarter of 2021, reflecting increased organic membership in Medicaid and Medicare, along with the impact of acquisitions, partially offset by the decline in Marketplace membership;</w:t>
      </w:r>
    </w:p>
    <w:p>
      <w:pPr>
        <w:ind w:left="660" w:right="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medical care ratio (“MCR”) was 87.1%, compared with 86.8% for the first quarter of 2021, and increased due to the net effect of COVID, which increased the MCR by 50 basis points in the first quarter of 2022, but was negligible in the first quarter of 2021;</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7.4%, which compared with 7.3% in the first quarter of 2021, reflecting temporary labor costs challenges, certain non-recurring costs and appropriate investments to accommodate growth, partially offset by the benefits of scale produced by our increase in revenue;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After-tax margin of 3.3%, which was in line with our expectations.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note the following factors impacting the 2022 first quarter financial results:</w:t>
      </w:r>
    </w:p>
    <w:p>
      <w:pPr>
        <w:spacing w:after="0" w:line="117" w:lineRule="exact"/>
        <w:rPr>
          <w:sz w:val="20"/>
          <w:szCs w:val="20"/>
          <w:color w:val="auto"/>
        </w:rPr>
      </w:pPr>
    </w:p>
    <w:p>
      <w:pPr>
        <w:ind w:left="660" w:right="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estimate that the net effect of COVID decreased net income by approximately $0.57 per diluted share in the first quarter of 2022. The net effect of COVID had a negligible impact on the first quarter of 2021.</w:t>
      </w:r>
    </w:p>
    <w:p>
      <w:pPr>
        <w:ind w:left="660" w:right="4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effect of COVID reflects higher COVID inpatient costs, lower COVID-related utilization curtailment and the impact of the COVID risk-sharing corridors, and impacted all of our segments during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FINANCIAL SUMMARY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96"/>
        </w:trPr>
        <w:tc>
          <w:tcPr>
            <w:tcW w:w="784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r>
      <w:tr>
        <w:trPr>
          <w:trHeight w:val="250"/>
        </w:trPr>
        <w:tc>
          <w:tcPr>
            <w:tcW w:w="7840" w:type="dxa"/>
            <w:vAlign w:val="bottom"/>
          </w:tcPr>
          <w:p>
            <w:pPr>
              <w:spacing w:after="0"/>
              <w:rPr>
                <w:sz w:val="21"/>
                <w:szCs w:val="21"/>
                <w:color w:val="auto"/>
              </w:rPr>
            </w:pPr>
          </w:p>
        </w:tc>
        <w:tc>
          <w:tcPr>
            <w:tcW w:w="3400" w:type="dxa"/>
            <w:vAlign w:val="bottom"/>
            <w:gridSpan w:val="5"/>
          </w:tcPr>
          <w:p>
            <w:pPr>
              <w:jc w:val="right"/>
              <w:ind w:right="279"/>
              <w:spacing w:after="0"/>
              <w:rPr>
                <w:sz w:val="20"/>
                <w:szCs w:val="20"/>
                <w:color w:val="auto"/>
              </w:rPr>
            </w:pPr>
            <w:r>
              <w:rPr>
                <w:rFonts w:ascii="Arial" w:cs="Arial" w:eastAsia="Arial" w:hAnsi="Arial"/>
                <w:sz w:val="14"/>
                <w:szCs w:val="14"/>
                <w:b w:val="1"/>
                <w:bCs w:val="1"/>
                <w:color w:val="auto"/>
              </w:rPr>
              <w:t>(In millions, except per-share amounts)</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7,531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6,306</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6,563</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5,474</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832</w:t>
            </w:r>
          </w:p>
        </w:tc>
      </w:tr>
      <w:tr>
        <w:trPr>
          <w:trHeight w:val="216"/>
        </w:trPr>
        <w:tc>
          <w:tcPr>
            <w:tcW w:w="784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MCR </w:t>
            </w:r>
            <w:r>
              <w:rPr>
                <w:rFonts w:ascii="Arial" w:cs="Arial" w:eastAsia="Arial" w:hAnsi="Arial"/>
                <w:sz w:val="21"/>
                <w:szCs w:val="21"/>
                <w:i w:val="1"/>
                <w:iCs w:val="1"/>
                <w:color w:val="auto"/>
                <w:vertAlign w:val="superscript"/>
              </w:rPr>
              <w:t>(1)</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87.1 %</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86.8 %</w:t>
            </w:r>
          </w:p>
        </w:tc>
      </w:tr>
      <w:tr>
        <w:trPr>
          <w:trHeight w:val="216"/>
        </w:trPr>
        <w:tc>
          <w:tcPr>
            <w:tcW w:w="7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Investment income</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r>
      <w:tr>
        <w:trPr>
          <w:trHeight w:val="216"/>
        </w:trPr>
        <w:tc>
          <w:tcPr>
            <w:tcW w:w="7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473</w:t>
            </w:r>
          </w:p>
        </w:tc>
      </w:tr>
      <w:tr>
        <w:trPr>
          <w:trHeight w:val="216"/>
        </w:trPr>
        <w:tc>
          <w:tcPr>
            <w:tcW w:w="784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7.4 %</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7.3 %</w:t>
            </w:r>
          </w:p>
        </w:tc>
      </w:tr>
      <w:tr>
        <w:trPr>
          <w:trHeight w:val="216"/>
        </w:trPr>
        <w:tc>
          <w:tcPr>
            <w:tcW w:w="7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Premium tax expenses</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187</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335</w:t>
            </w:r>
          </w:p>
        </w:tc>
      </w:tr>
      <w:tr>
        <w:trPr>
          <w:trHeight w:val="21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w:t>
            </w: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Diluted</w:t>
            </w:r>
          </w:p>
        </w:tc>
        <w:tc>
          <w:tcPr>
            <w:tcW w:w="100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4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Ending membership</w:t>
            </w:r>
          </w:p>
        </w:tc>
        <w:tc>
          <w:tcPr>
            <w:tcW w:w="1000" w:type="dxa"/>
            <w:vAlign w:val="bottom"/>
          </w:tcPr>
          <w:p>
            <w:pPr>
              <w:spacing w:after="0"/>
              <w:rPr>
                <w:sz w:val="18"/>
                <w:szCs w:val="18"/>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25.2 %</w:t>
            </w:r>
          </w:p>
        </w:tc>
      </w:tr>
      <w:tr>
        <w:trPr>
          <w:trHeight w:val="281"/>
        </w:trPr>
        <w:tc>
          <w:tcPr>
            <w:tcW w:w="7840" w:type="dxa"/>
            <w:vAlign w:val="bottom"/>
          </w:tcPr>
          <w:p>
            <w:pPr>
              <w:ind w:left="20"/>
              <w:spacing w:after="0"/>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10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3.5 %</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6"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CONSOLIDATED RESULTS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828282"/>
        </w:rPr>
        <w:t>NET INCOME AND OPERATING INCOME</w:t>
      </w:r>
    </w:p>
    <w:p>
      <w:pPr>
        <w:spacing w:after="0" w:line="10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Net income in the first quarter of 2022 amounted to $258 million, or $ 4.39 per diluted share, compared with $228 million, or $3.89 per diluted share, in the first quarter of 2021. The 13% increase in net income is consistent with the improvement in operating income, which increased to $372 million in the first quarter of 2022, compared with $335 million in the first quarter of 2021.</w:t>
      </w:r>
    </w:p>
    <w:p>
      <w:pPr>
        <w:spacing w:after="0" w:line="9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improvement in operating income was mainly due to membership growth and higher premium revenues, partially offset by an increase in the MCR.</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828282"/>
        </w:rPr>
        <w:t>PREMIUM REVENUE</w:t>
      </w:r>
    </w:p>
    <w:p>
      <w:pPr>
        <w:spacing w:after="0" w:line="104"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Premium revenue increased $1.2 billion, or 19%, in the first quarter of 2022, when compared with the first quarter of 2021. The higher premium revenue reflects increased organic membership in the Medicaid and Medicare segments and the impact of acquisitions, partially offset by a decline in the Marketplace segment. The increase in premium</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840"/>
        <w:spacing w:after="0"/>
        <w:rPr>
          <w:sz w:val="20"/>
          <w:szCs w:val="20"/>
          <w:color w:val="auto"/>
        </w:rPr>
      </w:pPr>
      <w:r>
        <w:rPr>
          <w:rFonts w:ascii="Arial" w:cs="Arial" w:eastAsia="Arial" w:hAnsi="Arial"/>
          <w:sz w:val="17"/>
          <w:szCs w:val="17"/>
          <w:color w:val="auto"/>
        </w:rPr>
        <w:t>Molina Healthcare, Inc. March 31, 2022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revenue was partially attributable to a reduced impact of COVID-related risk corridors that were enacted in several states beginning in the second quarter of 2020.</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828282"/>
        </w:rPr>
        <w:t>MEDICAL CARE RATIO</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consolidated MCR in the first quarter of 2022 was 87.1%, compared with 86.8% in the first quarter of 2021. The Medicaid and Marketplace MCRs increased in the first quarter of 2022, while the Medicare MCR decreased. The net effect of COVID increased the consolidated MCR in the first quarter of 2022 by approximately 50 basis points and impacted all segments in the first quarter of 2022. The net effect of COVID had a negligible impact on the first quarter of 2021. The impacts were varied by segment in both periods.</w:t>
      </w:r>
    </w:p>
    <w:p>
      <w:pPr>
        <w:spacing w:after="0" w:line="96"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prior year reserve development in the first quarter of 2022 was modestly favorable, but its impact on earnings was absorbed by the COVID-related risk corridors.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828282"/>
        </w:rPr>
        <w:t>PREMIUM TAX REVENUE AND EXPENSES</w:t>
      </w:r>
    </w:p>
    <w:p>
      <w:pPr>
        <w:spacing w:after="0" w:line="10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2.7% and 2.9% for the first quarter of 2022 and 2021, respectively. The current year ratio decrease was mainly due to changes in business mix.</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828282"/>
        </w:rPr>
        <w:t>INVESTMENT INCOME</w:t>
      </w:r>
    </w:p>
    <w:p>
      <w:pPr>
        <w:spacing w:after="0" w:line="10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Investment income increased to $11 million in the first quarter of 2022, compared with $9 million in the first quarter of 2021, mainly due to an increase in interest rates and higher levels of invested assets. Investment yields were lower in the first quarter of 2021 due to a temporary allocation in shorter-term invested assets due to the COVID-19 pandemic, until it was rescinded in the second quarter of 2021.</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828282"/>
        </w:rPr>
        <w:t>OTHER REVENUE</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Other revenue was consistent at $20 million in the first quarter of 2022 and 2021. Other revenue mainly includes service revenue associated with long-term services and supports consultative services we provide in Wisconsin.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828282"/>
        </w:rPr>
        <w:t>G&amp;A EXPENSES</w:t>
      </w:r>
    </w:p>
    <w:p>
      <w:pPr>
        <w:spacing w:after="0" w:line="104"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The G&amp;A expense ratio was 7.4% in the first quarter of 2022, compared with 7.3% in the first quarter of 2021, mainly reflecting temporary labor cost challenges, certain non-recurring costs and appropriate investments to accommodate growth, partially offset by the benefits of scale produced by our increase in revenue. We expect our full year 2022 G&amp;A ratio to be consistent with our long term targets.</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828282"/>
        </w:rPr>
        <w:t>DEPRECIATION AND AMORTIZATION</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Depreciation and amortization increased to $40 million in the first quarter of 2022, compared with $33 million in the first quarter of 2021, due primarily to amortization associated with recent acquisitions completed in the fourth quarter of 2021 and the first quarter of 2022.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828282"/>
        </w:rPr>
        <w:t>OTHER OPERATING EXPENSES</w:t>
      </w:r>
    </w:p>
    <w:p>
      <w:pPr>
        <w:spacing w:after="0" w:line="104"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Other operating expenses totaled $16 million in the first quarter of 2022, compared with $ 20 million in the first quarter of 2021. Other operating expenses mainly includes service costs associated with long-term services and supports consultative services we provide in Wisconsin, as noted above.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828282"/>
        </w:rPr>
        <w:t>INTEREST EXPENSE</w:t>
      </w:r>
    </w:p>
    <w:p>
      <w:pPr>
        <w:spacing w:after="0" w:line="10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Interest expense decreased to $28 million in the first quarter of 2022, compared with $30 million in the first quarter of 2021. The decrease resulted from our early redemption of $ 700 million aggregate principal amount of our 5.375% senior notes due 2022 in the fourth quarter of 2021, partially offset by interest related to the private offering of the 3.875% Notes due 2032 in the same period.</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828282"/>
        </w:rPr>
        <w:t>INCOME TAXES</w:t>
      </w:r>
    </w:p>
    <w:p>
      <w:pPr>
        <w:spacing w:after="0" w:line="1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Income tax expense amounted to $86 million in the first quarter of 2022, or 25.0% of pretax income, compared with income tax expense of $77 million, or 25.2% of pretax income in the first quarter of 2021. The difference in the effective tax rate is primarily due to the impact of certain discrete tax benefits recognized in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TRENDS AND UNCERTAINTIES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828282"/>
        </w:rPr>
        <w:t>COVID-19 PANDEMIC</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the COVID-19 pandemic continues to evolve, its ongoing impact to our business, results of operations, financial condition, and cash flows is uncertain and difficult to predict. Specific trends and uncertainties related to our Medicaid, Medicare, and Marketplace segments follow.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3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Effective January 16, 2022, the Biden Administration extended the COVID-19 related PHE, which, among other things, continued the suspension in state Medicaid eligibility redeterminations for 90 days until April 16, 2022. Effective April 17, 2022, the Biden Administration extended the PHE for another 90 days and it will remain in effect until July 15, 2022, unless extended.</w:t>
      </w:r>
    </w:p>
    <w:p>
      <w:pPr>
        <w:spacing w:after="0" w:line="9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Due to the uncertainty as to the duration and breadth of the pandemic, we are unable to reasonably estimate the ultimate impact of the economic stabilization and other programs to our business, financial condition, and operating results.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Excluding acquisitions and our exit from Puerto Rico, we added over 750,000 new Medicaid 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mid-July 2022.</w:t>
      </w:r>
    </w:p>
    <w:p>
      <w:pPr>
        <w:spacing w:after="0" w:line="9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Beginning in 2020, various states enacted temporary risk corridors in response to the reduced demand for medical services stemming from COVID-19, which have resulted in a reduction of our medical margin. The current rate environment is stable and rational. We continue to believe that the risk-sharing corridors previously introduced are related to the declared PHE and will likely be eliminated as the COVID pandemic subsides. However, the risk corridors continue to contribute an added level of variability to our results of operations. In the three months ended March 31, 2022, we recognized approximately $28 million, for the impact of these risk corridors, compared to $110 million recognized in the three months ended March 31, 2021. The decrease is due to the elimination of several of the COVID-19 risk corridors.</w:t>
      </w:r>
    </w:p>
    <w:p>
      <w:pPr>
        <w:spacing w:after="0" w:line="8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Care Costs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expect continued uncertainty regarding utilization trends as the pandemic continues. The speed and extent to which utilization rebounds will be greatly impacted by the economy and consumer behavior, provider capacity, and the potential resurgence of COVID-19 infection rates. We believe that some portion of the utilization curtailment experienced in the three months ended March 31, 2022 is likely the result of service deferrals, and so these services will likely be provided to members over the remainder of the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and Financial Resources</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be sufficient to withstand the financial impact of the pandemic, and will enable us to continue to support our operations, regulatory requirements, debt repayment obligations, and capital expenditures for the foreseeable future. Refer to “Liquidity and Financial Condition” below for further discussion of our capital and financial resources.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828282"/>
        </w:rPr>
        <w:t>OTHER RECENT DEVELOPMENTS</w:t>
      </w:r>
    </w:p>
    <w:p>
      <w:pPr>
        <w:spacing w:after="0" w:line="8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In April 2022, we submitted our RFP response. We expect the award to be announced in early August</w:t>
      </w:r>
      <w:r>
        <w:rPr>
          <w:rFonts w:ascii="Arial" w:cs="Arial" w:eastAsia="Arial" w:hAnsi="Arial"/>
          <w:sz w:val="18"/>
          <w:szCs w:val="18"/>
          <w:i w:val="1"/>
          <w:iCs w:val="1"/>
          <w:color w:val="auto"/>
        </w:rPr>
        <w:t xml:space="preserve"> </w:t>
      </w:r>
      <w:r>
        <w:rPr>
          <w:rFonts w:ascii="Arial" w:cs="Arial" w:eastAsia="Arial" w:hAnsi="Arial"/>
          <w:sz w:val="18"/>
          <w:szCs w:val="18"/>
          <w:color w:val="auto"/>
        </w:rPr>
        <w:t>2022, with an effective date of January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Texas Procurement—Medicaid. </w:t>
      </w:r>
      <w:r>
        <w:rPr>
          <w:rFonts w:ascii="Arial" w:cs="Arial" w:eastAsia="Arial" w:hAnsi="Arial"/>
          <w:sz w:val="18"/>
          <w:szCs w:val="18"/>
          <w:color w:val="auto"/>
        </w:rPr>
        <w:t>In March 2022, the Texas Health and Human Services Commission posted the ABD program (known in</w:t>
      </w:r>
      <w:r>
        <w:rPr>
          <w:rFonts w:ascii="Arial" w:cs="Arial" w:eastAsia="Arial" w:hAnsi="Arial"/>
          <w:sz w:val="18"/>
          <w:szCs w:val="18"/>
          <w:i w:val="1"/>
          <w:iCs w:val="1"/>
          <w:color w:val="auto"/>
        </w:rPr>
        <w:t xml:space="preserve"> </w:t>
      </w:r>
      <w:r>
        <w:rPr>
          <w:rFonts w:ascii="Arial" w:cs="Arial" w:eastAsia="Arial" w:hAnsi="Arial"/>
          <w:sz w:val="18"/>
          <w:szCs w:val="18"/>
          <w:color w:val="auto"/>
        </w:rPr>
        <w:t>Texas as STAR+PLUS) RFP, with awards estimated to be announced in the fourth quarter of 2022, and start of operations in September 2023.</w:t>
      </w:r>
    </w:p>
    <w:p>
      <w:pPr>
        <w:spacing w:after="0" w:line="6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January 1, 2022, we closed on our acquisition of Cigna Corporation’s Texas Medicaid and</w:t>
      </w:r>
      <w:r>
        <w:rPr>
          <w:rFonts w:ascii="Arial" w:cs="Arial" w:eastAsia="Arial" w:hAnsi="Arial"/>
          <w:sz w:val="18"/>
          <w:szCs w:val="18"/>
          <w:i w:val="1"/>
          <w:iCs w:val="1"/>
          <w:color w:val="auto"/>
        </w:rPr>
        <w:t xml:space="preserve"> </w:t>
      </w:r>
      <w:r>
        <w:rPr>
          <w:rFonts w:ascii="Arial" w:cs="Arial" w:eastAsia="Arial" w:hAnsi="Arial"/>
          <w:sz w:val="18"/>
          <w:szCs w:val="18"/>
          <w:color w:val="auto"/>
        </w:rPr>
        <w:t>Medicare-Medicaid Plan (“MMP”) contracts, along with certain operating assets.</w:t>
      </w:r>
    </w:p>
    <w:p>
      <w:pPr>
        <w:spacing w:after="0" w:line="5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Our new contract in Clark and Washoe Counties commenced on January 1, 2022, and offers health</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to TANF, CHIP and Medicaid Expansion beneficiaries. The four year contract with a possible two-year extension was ratified in September 2021.</w:t>
      </w:r>
    </w:p>
    <w:p>
      <w:pPr>
        <w:spacing w:after="0" w:line="68"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i w:val="1"/>
          <w:iCs w:val="1"/>
          <w:color w:val="auto"/>
        </w:rPr>
        <w:t xml:space="preserve">Marketplace Enrollment. </w:t>
      </w:r>
      <w:r>
        <w:rPr>
          <w:rFonts w:ascii="Arial" w:cs="Arial" w:eastAsia="Arial" w:hAnsi="Arial"/>
          <w:sz w:val="18"/>
          <w:szCs w:val="18"/>
          <w:color w:val="auto"/>
        </w:rPr>
        <w:t>We now expect to end 2022 with approximately 270,000 members, reflecting normal attrition over the remainder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and limited special enrollment period growth based on revised eligibility rules and our product design and distribution strategy. This represents an increase compared to our previous estimate of 250,000 members by the end of 2022, resulting from stronger final enrollment and grace period membership.</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2021 Annual Report on Form 10-K, “Item 1. Business—Our Business,” and “—Legislative and Political Environment.”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REPORTABLE SEGMENTS</w:t>
      </w:r>
    </w:p>
    <w:p>
      <w:pPr>
        <w:spacing w:after="0" w:line="13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March 31, 2022, we served approximately 5.1 million members eligible for Medicaid, Medicare, and other government-sponsored healthcare programs for low-income families and individuals, including Marketplace members, most of whom receive government premium subsidies.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4 reportable segments consisting of: 1) Medicaid; 2) Medicare; 3) Marketplace; and 4) Other.</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provide in Wisconsin.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828282"/>
        </w:rPr>
        <w:t>HOW WE ASSESS PERFORMANCE</w:t>
      </w:r>
    </w:p>
    <w:p>
      <w:pPr>
        <w:spacing w:after="0" w:line="10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10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10, “Segments.”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828282"/>
        </w:rPr>
        <w:t>SEGMENT MEMBERSHIP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54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r>
      <w:tr>
        <w:trPr>
          <w:trHeight w:val="189"/>
        </w:trPr>
        <w:tc>
          <w:tcPr>
            <w:tcW w:w="6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4,566,000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4,329,000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3,859,000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148,000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142,000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126,000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371,000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620,000</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5,085,000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5,199,000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4,605,000</w:t>
            </w:r>
          </w:p>
        </w:tc>
      </w:tr>
      <w:tr>
        <w:trPr>
          <w:trHeight w:val="21"/>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828282"/>
        </w:rPr>
        <w:t>SEGMENT FINANCIAL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premium revenue, medical margin, and MCR by segment for the periods indicated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63"/>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4"/>
                <w:szCs w:val="14"/>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5"/>
        </w:trPr>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88.1 %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604</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77</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78.6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151</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87.1 %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832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86.8 %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Medicaid premium revenue increased $1.1 billion, or 24%, in the first quarter of 2022, when compared with the first quarter of 2021. The increase was mainly due to organic membership growth, including Nevada, and the impact from the Affinity and Cigna acquisitions that closed in the fourth quarter of 2021 and in January 2022, respectively. Excluding the acquisitions, membership growth was across several states and was mainly driven by the extension of the PHE period and the associated suspension of membership redeterminations due to COVID-19. The increase was partially attributable to a reduced impact of state risk corridors stemming from COVID-19.</w:t>
      </w:r>
    </w:p>
    <w:p>
      <w:pPr>
        <w:spacing w:after="0" w:line="97"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As described above in “Trends and Uncertainties,” we recognized approximately $28 million in the first quarter of 2022, for the impact of risk corridors enacted in several states beginning in the second quarter of 2020, in response to the lower utilization of medical services resulting from COVID-19. We recognized approximately $110 million for the impact of such risk corridors in the first quarter of 2021. The decrease is due to the elimination of most of the COVID-19 risk corridors.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medical margin in our Medicaid program increased $106 million, or 18%, in the first quarter of 2022 when compared with the first quarter of 2021. The increase was driven by increased premium revenues and margin associated with the membership growth discussed above, partially offset by an increase in the MCR.</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Medicaid MCR increased to 88.1% in the first quarter of 2022, from 87.5% in the first quarter of 2021, or 60 basis points. The increase was mainly attributable to a year-over-year increase in the net effect of COVID, partially offset by improved operations, including medical cost management. The year-over-year change in the net effect of COVID reflects an increase in COVID-related inpatient costs, and lower COVID-related utilization curtailment, partially offset by the decrease in COVID-related risk corridors. The Medicaid MCR is consistent with our long-term target despite the net effect of COVID.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Medicare premium revenue increased $144 million, or 18%, in the first quarter of 2022, primarily due to the impact of product expansion and organic membership growth in existing states, partially offset by lower premium revenue PMPM from the change in business mix.</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medical margin for Medicare increased $ 51 million, in the first quarter of 2022, when compared with the first quarter of 2021, mainly due to the increase in premium revenues and the improvement in the MCR discussed below.</w:t>
      </w:r>
    </w:p>
    <w:p>
      <w:pPr>
        <w:spacing w:after="0" w:line="90"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The Medicare MCR decreased to 86.5% in the first quarter of 2022, from 90.3% in the first quarter of 2021, or 380 basis points. The improvement was primarily driven by a lower net effect of COVID, improved operating performance, including higher risk scores that more closely reflect the acuity of our membership, and the change in business mix. The Medicare MCR is lower than our long-term target.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Marketplace premium revenue in the first quarter of 2022 decreased $59 million, compared with the first quarter of 2021, mainly due to a reduction in membership, partially offset by an increase in premium revenue PMPM. Our Marketplace membership as of March 31, 2022 amounted to 371,000 members, representing a decline of 357,000 members compared to December 31, 2021, which is in line with our product and pricing strategy to achieve our target margins in this business. The increase in premium revenue PMPM is consistent with the product and pricing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strategy, reflecting an increase of members in the silver metal tier and a decrease of members in the bronze metal tier.</w:t>
      </w:r>
    </w:p>
    <w:p>
      <w:pPr>
        <w:spacing w:after="0" w:line="11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Marketplace medical margin decreased $21 million in the first quarter of 2022, when compared with the first quarter of 2021, primarily due to the decrease in membership and premiums, and the increase in the MCR described below.</w:t>
      </w:r>
    </w:p>
    <w:p>
      <w:pPr>
        <w:spacing w:after="0" w:line="90"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Marketplace MCR increased to 78.6% in the first quarter of 2022, from 77.3% in the first quarter of 2021, or 130 basis points. The increase resulted mainly from changes in membership mix discussed above. Silver metal tier products incur less MCR seasonality than bronze metal tier products due to lower deductibles. The Marketplace MCR is in line within our long-term target.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Other segment includes service revenues and costs associated with long-term services and supports consultative services we provide in Wisconsin, and also includes certain corporate amounts not allocated to the Medicaid, Medicare, or Marketplace segments. Such amounts were immaterial to our consolidated results of operations in the first quarters of 2022 and 2021, respectively.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LIQUIDITY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828282"/>
        </w:rPr>
        <w:t>LIQUIDITY</w:t>
      </w:r>
    </w:p>
    <w:p>
      <w:pPr>
        <w:spacing w:after="0" w:line="1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In the first quarter of 2022, we did not experience noticeable delays to, or changes in, the timing or level of premium receipts as a result of the COVID-19 pandemic, but there can be no assurances that we will not experience such delays in the future. See further discussion below in “Future Sources and Uses of Liquidity—Future Uses—</w:t>
      </w: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three months ended March 31, 2022, the parent company received $115 million, in dividends and return of capital from the regulated health plan subsidiaries. See further discussion of dividends below in “Future Sources and Uses of Liquidity—Future Sources.”</w:t>
      </w:r>
    </w:p>
    <w:p>
      <w:pPr>
        <w:spacing w:after="0" w:line="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parent company may also contribute capital to the regulated health plan subsidiaries to satisfy minimum statutory net worth requirements, including funding for newer health plans. In the three months ended March 31, 2022, the parent company contributed capital of $19 million, to the regulated health plan subsidiaries.</w:t>
      </w:r>
    </w:p>
    <w:p>
      <w:pPr>
        <w:spacing w:after="0" w:line="9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Cash, cash equivalents and investments at the parent company amounted to $250 million and $348 million as of March 31, 2022, and December 31, 2021, respectively. The decrease as of March 31, 2022, was primarily due to the timing of corporate payments and capital contributions to regulated health plan subsidiaries, partially offset by dividends received from regulated health plan subsidiaries.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94"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15 years, or less than 15 years average life for structured securities. Professional portfolio managers operating under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documented guidelines manage our investments and a portion of our cash equivalents. Our portfolio managers must obtain our prior approval before selling investments where the loss position of those investments exceeds certain levels.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AA. Our investment policy has directives in conjunction with state guidelines to minimize risks and exposures in volatile markets. Additionally, our portfolio managers assist us in navigating the current volatility in the capital markets.</w:t>
      </w:r>
    </w:p>
    <w:p>
      <w:pPr>
        <w:spacing w:after="0" w:line="9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21"/>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bottom w:val="single" w:sz="8" w:color="auto"/>
            </w:tcBorders>
          </w:tcPr>
          <w:p>
            <w:pPr>
              <w:spacing w:after="0"/>
              <w:rPr>
                <w:sz w:val="16"/>
                <w:szCs w:val="16"/>
                <w:color w:val="auto"/>
              </w:rPr>
            </w:pPr>
          </w:p>
        </w:tc>
      </w:tr>
      <w:tr>
        <w:trPr>
          <w:trHeight w:val="183"/>
        </w:trPr>
        <w:tc>
          <w:tcPr>
            <w:tcW w:w="6680" w:type="dxa"/>
            <w:vAlign w:val="bottom"/>
          </w:tcPr>
          <w:p>
            <w:pPr>
              <w:spacing w:after="0"/>
              <w:rPr>
                <w:sz w:val="15"/>
                <w:szCs w:val="15"/>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r>
      <w:tr>
        <w:trPr>
          <w:trHeight w:val="223"/>
        </w:trPr>
        <w:tc>
          <w:tcPr>
            <w:tcW w:w="6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2"/>
        </w:trPr>
        <w:tc>
          <w:tcPr>
            <w:tcW w:w="6680" w:type="dxa"/>
            <w:vAlign w:val="bottom"/>
          </w:tcPr>
          <w:p>
            <w:pPr>
              <w:ind w:left="14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98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94"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Net cash provided by operations for the three months ended March 31, 2022 was $ 363 million, compared with $568 million in the three months ended March 31, 2021. The $205 million decrease in cash flow was due to the net impact of timing differences in government receivables and payables and partially offset by an increase in net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Net cash provided by investing activities was $74 million in the three months ended March 31, 2022, compared with $ 87 million used in investing activities in the three months ended March 31, 2021, an increase in cash flow of $161 million. This increase in cash flow was primarily due to the net activity of proceeds and purchases of investments in the three months ended March 31, 2022.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used in financing activities was $77 million in the three months ended March 31, 2022, compared with $207 million used in the three months ended March 31, 2021, an increase in cash flow of $ 130 million. In the three months ended March 31, 2022, cash outflow included $52 million for common stock withheld to settle employee tax obligations. In the three months ended March 31, 2021, financing cash outflows included common stock purchases of $ 128 million and $ 51 million for common stock withheld to settle employee tax obligations. Additionally, we paid $20 million each in the first quarters of 2022 and 2021 to settle contingent consideration liabilities relating to our Kentucky Passport acquisition that closed in 2020.</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828282"/>
        </w:rPr>
        <w:t>FINANCIAL CONDITION</w:t>
      </w:r>
    </w:p>
    <w:p>
      <w:pPr>
        <w:spacing w:after="0" w:line="10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On a consolidated basis, at March 31, 2022, our working capital was $3.1 billion, compared with $ 3.0 billion at December 31, 2021. At March 31, 2022, our cash and investments amounted to $8.0 billion, compared with $7.9 billion at December 31,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$2.1 billion at both March 31, 2022 and December 31, 2021. The aggregate capital and surplus of our wholly owned subsidiaries was in excess of these minimum capital requirements as of both dates.</w:t>
      </w:r>
    </w:p>
    <w:p>
      <w:pPr>
        <w:spacing w:after="0" w:line="1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March 31, 2022, was approximately $229 million in the aggregate. The subsidiaries may pay dividends over this amount, but only after approval is granted by the regulatory authorities.</w:t>
      </w:r>
    </w:p>
    <w:p>
      <w:pPr>
        <w:spacing w:after="0" w:line="9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Based on our cash and investments balances as of March 31, 2022,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3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Each of our senior notes is rated “BB-” by Standard &amp; Poor’s, and “Ba3” by Moody’s Investor Service, Inc. A downgrade in our ratings could adversely affect our borrowing capacity and increase our future borrowing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the indentures governing each of our outstanding senior notes contain cross-default provisions that are triggered upon default by us or any of our subsidiaries on any indebtedness in excess of the amount specified in the applicable indenture. As of March 31, 2022, we were in compliance with all financial and non-financial covenants under the Credit Agreement and other long-term debt.</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828282"/>
        </w:rPr>
        <w:t>FUTURE SOURCES AND USES OF LIQUIDITY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7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exit from Puerto Rico, we added over 750,000 new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mid-July 2022.</w:t>
      </w:r>
    </w:p>
    <w:p>
      <w:pPr>
        <w:spacing w:after="0" w:line="72"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further restrict the ability of our regulated health plan subsidiaries to pay dividends to the parent company, which would reduce the liquidity of the parent company.</w:t>
      </w:r>
    </w:p>
    <w:p>
      <w:pPr>
        <w:spacing w:after="0" w:line="7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March 31, 2022,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consolidated net leverage ratio is not greater than a defined maximum. See further discussion in the Notes to Consolidated Financial Statements, Note 8, “Debt.”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2021, our board of directors authorized the purchase of up to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new program, which superseded the stock purchase program approved by our board of directors in September 2020, is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As of April 27, 2022, $472 million remained available to purchase our common stock under this program through December 31, 2022.</w:t>
      </w:r>
    </w:p>
    <w:p>
      <w:pPr>
        <w:spacing w:after="0" w:line="7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On October 7, 2021, we announced a definitive agreement to acquire the Medicaid Managed Long Term Care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AgeWell New York. The purchase price for the transaction is approximately $106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by the third quarter of 2022.</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As described above in “Trends and Uncertainties,” we have been subject to Medicaid risk corridors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pandemic. Beginning in 2020,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Beginning in the second quarter of 2020, we have recognized risk corridors that we believe to be probable, and where the ultimate premium amount is reasonably estimable. For the three months ended March 31, 2022, we recognized approximately $28 million related to such risk corridors, primarily in the Medicaid segment.</w:t>
      </w:r>
    </w:p>
    <w:p>
      <w:pPr>
        <w:spacing w:after="0" w:line="9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59"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i w:val="1"/>
          <w:iCs w:val="1"/>
          <w:color w:val="auto"/>
        </w:rPr>
        <w:t xml:space="preserve">Regulatory Capital Requirements. </w:t>
      </w:r>
      <w:r>
        <w:rPr>
          <w:rFonts w:ascii="Arial" w:cs="Arial" w:eastAsia="Arial" w:hAnsi="Arial"/>
          <w:sz w:val="18"/>
          <w:szCs w:val="18"/>
          <w:color w:val="auto"/>
        </w:rPr>
        <w:t>We have the ability, and have committed to provide, additional capital to each of our health plans as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ensure compliance with statutory capital and surplus requirements.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CONTRACTUAL OBLIGATIONS</w:t>
      </w:r>
    </w:p>
    <w:p>
      <w:pPr>
        <w:spacing w:after="0" w:line="13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2021, was disclosed in our 2021 Annual Report on Form 10-K.</w:t>
      </w:r>
    </w:p>
    <w:p>
      <w:pPr>
        <w:spacing w:after="0" w:line="9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three months ended March 31, 2022.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CRITICAL ACCOUNTING ESTIMATES</w:t>
      </w:r>
    </w:p>
    <w:p>
      <w:pPr>
        <w:spacing w:after="0" w:line="130"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72" w:lineRule="exact"/>
        <w:rPr>
          <w:sz w:val="20"/>
          <w:szCs w:val="20"/>
          <w:color w:val="auto"/>
        </w:rPr>
      </w:pPr>
    </w:p>
    <w:p>
      <w:pPr>
        <w:ind w:left="660" w:right="120" w:hanging="328"/>
        <w:spacing w:after="0" w:line="258"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Refer to Notes to Consolidated Financial Statements, Note 7, “Medical Claims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three months ended March 31, 2022 there were no significant changes to our disclosure reported in “Critical Accounting Estimates” in our 2021 Annual Report on Form 10-K.</w:t>
      </w:r>
    </w:p>
    <w:p>
      <w:pPr>
        <w:spacing w:after="0" w:line="75" w:lineRule="exact"/>
        <w:rPr>
          <w:rFonts w:ascii="Arial" w:cs="Arial" w:eastAsia="Arial" w:hAnsi="Arial"/>
          <w:sz w:val="18"/>
          <w:szCs w:val="18"/>
          <w:i w:val="1"/>
          <w:iCs w:val="1"/>
          <w:color w:val="auto"/>
        </w:rPr>
      </w:pPr>
    </w:p>
    <w:p>
      <w:pPr>
        <w:jc w:val="both"/>
        <w:ind w:left="660" w:right="380" w:hanging="328"/>
        <w:spacing w:after="0" w:line="313"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620" w:hanging="328"/>
        <w:spacing w:after="0" w:line="282"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In the three months ended March 31, 2022, there were no significant changes to our disclosure reported in</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Accounting Estimates” in our 2021 Annual Report on Form 10-K.</w:t>
      </w:r>
    </w:p>
    <w:p>
      <w:pPr>
        <w:spacing w:after="0" w:line="53" w:lineRule="exact"/>
        <w:rPr>
          <w:rFonts w:ascii="Arial" w:cs="Arial" w:eastAsia="Arial" w:hAnsi="Arial"/>
          <w:sz w:val="18"/>
          <w:szCs w:val="18"/>
          <w:i w:val="1"/>
          <w:iCs w:val="1"/>
          <w:color w:val="auto"/>
        </w:rPr>
      </w:pPr>
    </w:p>
    <w:p>
      <w:pPr>
        <w:ind w:left="660" w:right="300" w:hanging="328"/>
        <w:spacing w:after="0" w:line="282" w:lineRule="auto"/>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Business combinations, goodwill, and intangible assets, net. </w:t>
      </w:r>
      <w:r>
        <w:rPr>
          <w:rFonts w:ascii="Arial" w:cs="Arial" w:eastAsia="Arial" w:hAnsi="Arial"/>
          <w:sz w:val="18"/>
          <w:szCs w:val="18"/>
          <w:color w:val="auto"/>
        </w:rPr>
        <w:t>In the three months ended March 31, 2022, there were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to our disclosure reported in “Critical Accounting Estimates” in our 2021 Annual Report on Form 10-K.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QUANTITATIVE AND QUALITATIVE DISCLOSURES ABOUT MARKET RISK</w:t>
      </w:r>
    </w:p>
    <w:p>
      <w:pPr>
        <w:spacing w:after="0" w:line="13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90" w:lineRule="exact"/>
        <w:rPr>
          <w:sz w:val="20"/>
          <w:szCs w:val="20"/>
          <w:color w:val="auto"/>
        </w:rPr>
      </w:pPr>
    </w:p>
    <w:p>
      <w:pPr>
        <w:jc w:val="both"/>
        <w:ind w:right="340"/>
        <w:spacing w:after="0" w:line="278" w:lineRule="auto"/>
        <w:rPr>
          <w:sz w:val="20"/>
          <w:szCs w:val="20"/>
          <w:color w:val="auto"/>
        </w:rPr>
      </w:pPr>
      <w:r>
        <w:rPr>
          <w:rFonts w:ascii="Arial" w:cs="Arial" w:eastAsia="Arial" w:hAnsi="Arial"/>
          <w:sz w:val="17"/>
          <w:szCs w:val="17"/>
          <w:color w:val="auto"/>
        </w:rPr>
        <w:t>Substantially all of our investments and restricted investments are subject to interest rate risk and will decrease in value if market interest rates increase. Assuming a hypothetical and immediate 1% increase in market interest rates at March 31, 2022, the fair value of our fixed income investments would decrease by approximately $69 million. Declines in interest rates over time will reduce our investment income.</w:t>
      </w:r>
    </w:p>
    <w:p>
      <w:pPr>
        <w:spacing w:after="0" w:line="7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9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CONTROLS AND PROCEDURES</w:t>
      </w:r>
    </w:p>
    <w:p>
      <w:pPr>
        <w:spacing w:after="0" w:line="11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7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2022, that materially affected, or are reasonably likely to materially affect, our internal controls over financial reporting.</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LEGAL PROCEEDINGS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RISK FACTORS</w:t>
      </w:r>
    </w:p>
    <w:p>
      <w:pPr>
        <w:spacing w:after="0" w:line="1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2021 Annual Report on Form 10-K. The risk factors described in our 2021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UNREGISTERED SALES OF EQUITY SECURITIES AND USE OF PROCEEDS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828282"/>
        </w:rPr>
        <w:t>ISSUER PURCHASES OF EQUITY SECURITIES</w:t>
      </w:r>
    </w:p>
    <w:p>
      <w:pPr>
        <w:spacing w:after="0" w:line="10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Purchases of common stock made by us, or on our behalf, during the first quarter of 2022, including shares withheld by us to satisfy our employees’ income tax obligations,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9"/>
              </w:rPr>
              <w:t>Announced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1 - January 31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291.89</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February 1 - February 28</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 March 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311.88</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2"/>
        </w:trPr>
        <w:tc>
          <w:tcPr>
            <w:tcW w:w="4080" w:type="dxa"/>
            <w:vAlign w:val="bottom"/>
          </w:tcPr>
          <w:p>
            <w:pPr>
              <w:ind w:left="1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311.71</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120" w:hanging="332"/>
        <w:spacing w:after="0" w:line="246"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first quarter of 2022, we withheld approximately 166,000 shares of common stock, to settle employee income tax obligations, for releases of awards granted under the Molina Healthcare, Inc. 2019 Equity Incentive Plan.</w:t>
      </w:r>
    </w:p>
    <w:p>
      <w:pPr>
        <w:ind w:left="320" w:hanging="312"/>
        <w:spacing w:after="0"/>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Note 9, “Stockholders' Equity.”</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INDEX TO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4"/>
                <w:szCs w:val="14"/>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0"/>
          </w:tcPr>
          <w:p>
            <w:pPr>
              <w:spacing w:after="0" w:line="169" w:lineRule="exact"/>
              <w:rPr>
                <w:rFonts w:ascii="Arial" w:cs="Arial" w:eastAsia="Arial" w:hAnsi="Arial"/>
                <w:sz w:val="16"/>
                <w:szCs w:val="16"/>
                <w:color w:val="0F7C7F"/>
              </w:rPr>
            </w:pPr>
            <w:hyperlink r:id="rId54">
              <w:r>
                <w:rPr>
                  <w:rFonts w:ascii="Arial" w:cs="Arial" w:eastAsia="Arial" w:hAnsi="Arial"/>
                  <w:sz w:val="16"/>
                  <w:szCs w:val="16"/>
                  <w:color w:val="0F7C7F"/>
                </w:rPr>
                <w:t>Amendment of Employment Agreement, dated February 16, 2022, by and</w:t>
              </w:r>
            </w:hyperlink>
          </w:p>
        </w:tc>
        <w:tc>
          <w:tcPr>
            <w:tcW w:w="4420" w:type="dxa"/>
            <w:vAlign w:val="bottom"/>
          </w:tcPr>
          <w:p>
            <w:pPr>
              <w:ind w:left="20"/>
              <w:spacing w:after="0" w:line="169" w:lineRule="exact"/>
              <w:rPr>
                <w:sz w:val="20"/>
                <w:szCs w:val="20"/>
                <w:color w:val="auto"/>
              </w:rPr>
            </w:pPr>
            <w:r>
              <w:rPr>
                <w:rFonts w:ascii="Arial" w:cs="Arial" w:eastAsia="Arial" w:hAnsi="Arial"/>
                <w:sz w:val="16"/>
                <w:szCs w:val="16"/>
                <w:color w:val="auto"/>
              </w:rPr>
              <w:t>Filed as Exhibit 10.1 to registrant’s Form 8-K filed February</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F7C7F"/>
              <w:bottom w:val="single" w:sz="8" w:color="0F7C7F"/>
            </w:tcBorders>
            <w:gridSpan w:val="3"/>
          </w:tcPr>
          <w:p>
            <w:pPr>
              <w:spacing w:after="0" w:line="129" w:lineRule="exact"/>
              <w:rPr>
                <w:rFonts w:ascii="Arial" w:cs="Arial" w:eastAsia="Arial" w:hAnsi="Arial"/>
                <w:sz w:val="14"/>
                <w:szCs w:val="14"/>
                <w:color w:val="0F7C7F"/>
              </w:rPr>
            </w:pPr>
            <w:hyperlink r:id="rId54">
              <w:r>
                <w:rPr>
                  <w:rFonts w:ascii="Arial" w:cs="Arial" w:eastAsia="Arial" w:hAnsi="Arial"/>
                  <w:sz w:val="14"/>
                  <w:szCs w:val="14"/>
                  <w:color w:val="0F7C7F"/>
                </w:rPr>
                <w:t>between Joseph M. Zubretsky and Molina Healthcare, Inc.</w:t>
              </w:r>
            </w:hyperlink>
          </w:p>
        </w:tc>
        <w:tc>
          <w:tcPr>
            <w:tcW w:w="1100" w:type="dxa"/>
            <w:vAlign w:val="bottom"/>
            <w:tcBorders>
              <w:top w:val="single" w:sz="8" w:color="0F7C7F"/>
            </w:tcBorders>
            <w:gridSpan w:val="3"/>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ind w:left="20"/>
              <w:spacing w:after="0" w:line="122" w:lineRule="exact"/>
              <w:rPr>
                <w:sz w:val="20"/>
                <w:szCs w:val="20"/>
                <w:color w:val="auto"/>
              </w:rPr>
            </w:pPr>
            <w:r>
              <w:rPr>
                <w:rFonts w:ascii="Arial" w:cs="Arial" w:eastAsia="Arial" w:hAnsi="Arial"/>
                <w:sz w:val="14"/>
                <w:szCs w:val="14"/>
                <w:color w:val="auto"/>
              </w:rPr>
              <w:t>16, 2022.</w:t>
            </w:r>
          </w:p>
        </w:tc>
      </w:tr>
      <w:tr>
        <w:trPr>
          <w:trHeight w:val="223"/>
        </w:trPr>
        <w:tc>
          <w:tcPr>
            <w:tcW w:w="104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60" w:type="dxa"/>
            <w:vAlign w:val="bottom"/>
            <w:gridSpan w:val="10"/>
          </w:tcPr>
          <w:p>
            <w:pPr>
              <w:spacing w:after="0"/>
              <w:rPr>
                <w:rFonts w:ascii="Arial" w:cs="Arial" w:eastAsia="Arial" w:hAnsi="Arial"/>
                <w:sz w:val="16"/>
                <w:szCs w:val="16"/>
                <w:color w:val="0F7C7F"/>
              </w:rPr>
            </w:pPr>
            <w:hyperlink w:anchor="page35">
              <w:r>
                <w:rPr>
                  <w:rFonts w:ascii="Arial" w:cs="Arial" w:eastAsia="Arial" w:hAnsi="Arial"/>
                  <w:sz w:val="16"/>
                  <w:szCs w:val="16"/>
                  <w:color w:val="0F7C7F"/>
                </w:rPr>
                <w:t>Section 302 Certification of Chief Executive Officer</w:t>
              </w:r>
            </w:hyperlink>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tcPr>
          <w:p>
            <w:pPr>
              <w:spacing w:after="0"/>
              <w:rPr>
                <w:rFonts w:ascii="Arial" w:cs="Arial" w:eastAsia="Arial" w:hAnsi="Arial"/>
                <w:sz w:val="16"/>
                <w:szCs w:val="16"/>
                <w:color w:val="0F7C7F"/>
              </w:rPr>
            </w:pPr>
            <w:hyperlink w:anchor="page36">
              <w:r>
                <w:rPr>
                  <w:rFonts w:ascii="Arial" w:cs="Arial" w:eastAsia="Arial" w:hAnsi="Arial"/>
                  <w:sz w:val="16"/>
                  <w:szCs w:val="16"/>
                  <w:color w:val="0F7C7F"/>
                </w:rPr>
                <w:t>Section 302 Certification of Chief Financial Officer</w:t>
              </w:r>
            </w:hyperlink>
          </w:p>
        </w:tc>
        <w:tc>
          <w:tcPr>
            <w:tcW w:w="40" w:type="dxa"/>
            <w:vAlign w:val="bottom"/>
            <w:tcBorders>
              <w:top w:val="single" w:sz="8" w:color="0F7C7F"/>
            </w:tcBorders>
          </w:tcPr>
          <w:p>
            <w:pPr>
              <w:spacing w:after="0"/>
              <w:rPr>
                <w:sz w:val="17"/>
                <w:szCs w:val="17"/>
                <w:color w:val="auto"/>
              </w:rPr>
            </w:pPr>
          </w:p>
        </w:tc>
        <w:tc>
          <w:tcPr>
            <w:tcW w:w="2040" w:type="dxa"/>
            <w:vAlign w:val="bottom"/>
            <w:gridSpan w:val="8"/>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rFonts w:ascii="Arial" w:cs="Arial" w:eastAsia="Arial" w:hAnsi="Arial"/>
                <w:sz w:val="16"/>
                <w:szCs w:val="16"/>
                <w:color w:val="0F7C7F"/>
              </w:rPr>
            </w:pPr>
            <w:hyperlink w:anchor="page37">
              <w:r>
                <w:rPr>
                  <w:rFonts w:ascii="Arial" w:cs="Arial" w:eastAsia="Arial" w:hAnsi="Arial"/>
                  <w:sz w:val="16"/>
                  <w:szCs w:val="16"/>
                  <w:color w:val="0F7C7F"/>
                </w:rPr>
                <w:t>Certification of Chief Executive Officer pursuant to 18 U.S.C. Section 1350,</w:t>
              </w:r>
            </w:hyperlink>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F7C7F"/>
            </w:tcBorders>
            <w:gridSpan w:val="7"/>
          </w:tcPr>
          <w:p>
            <w:pPr>
              <w:spacing w:after="0" w:line="142" w:lineRule="exact"/>
              <w:rPr>
                <w:rFonts w:ascii="Arial" w:cs="Arial" w:eastAsia="Arial" w:hAnsi="Arial"/>
                <w:sz w:val="16"/>
                <w:szCs w:val="16"/>
                <w:color w:val="0F7C7F"/>
              </w:rPr>
            </w:pPr>
            <w:hyperlink w:anchor="page37">
              <w:r>
                <w:rPr>
                  <w:rFonts w:ascii="Arial" w:cs="Arial" w:eastAsia="Arial" w:hAnsi="Arial"/>
                  <w:sz w:val="16"/>
                  <w:szCs w:val="16"/>
                  <w:color w:val="0F7C7F"/>
                </w:rPr>
                <w:t>as adopted pursuant to Section 906 of the Sarbanes-Oxley Act of 2002.</w:t>
              </w:r>
            </w:hyperlink>
          </w:p>
        </w:tc>
        <w:tc>
          <w:tcPr>
            <w:tcW w:w="1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4"/>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rFonts w:ascii="Arial" w:cs="Arial" w:eastAsia="Arial" w:hAnsi="Arial"/>
                <w:sz w:val="16"/>
                <w:szCs w:val="16"/>
                <w:color w:val="0F7C7F"/>
              </w:rPr>
            </w:pPr>
            <w:hyperlink w:anchor="page38">
              <w:r>
                <w:rPr>
                  <w:rFonts w:ascii="Arial" w:cs="Arial" w:eastAsia="Arial" w:hAnsi="Arial"/>
                  <w:sz w:val="16"/>
                  <w:szCs w:val="16"/>
                  <w:color w:val="0F7C7F"/>
                </w:rPr>
                <w:t>Certification of Chief Financial Officer pursuant to 18 U.S.C. Section 1350, as</w:t>
              </w:r>
            </w:hyperlink>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F7C7F"/>
            </w:tcBorders>
            <w:gridSpan w:val="8"/>
          </w:tcPr>
          <w:p>
            <w:pPr>
              <w:spacing w:after="0" w:line="142" w:lineRule="exact"/>
              <w:rPr>
                <w:rFonts w:ascii="Arial" w:cs="Arial" w:eastAsia="Arial" w:hAnsi="Arial"/>
                <w:sz w:val="16"/>
                <w:szCs w:val="16"/>
                <w:color w:val="0F7C7F"/>
              </w:rPr>
            </w:pPr>
            <w:hyperlink w:anchor="page38">
              <w:r>
                <w:rPr>
                  <w:rFonts w:ascii="Arial" w:cs="Arial" w:eastAsia="Arial" w:hAnsi="Arial"/>
                  <w:sz w:val="16"/>
                  <w:szCs w:val="16"/>
                  <w:color w:val="0F7C7F"/>
                </w:rPr>
                <w:t>adopted pursuant to Section 906 of the Sarbanes-Oxley Act of 2002.</w:t>
              </w:r>
            </w:hyperlink>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4"/>
            <w:shd w:val="clear" w:color="auto" w:fill="0F7C7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8"/>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Instance Document - the instance document does not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0"/>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c>
          <w:tcPr>
            <w:tcW w:w="4420" w:type="dxa"/>
            <w:vAlign w:val="bottom"/>
          </w:tcPr>
          <w:p>
            <w:pPr>
              <w:spacing w:after="0"/>
              <w:rPr>
                <w:sz w:val="14"/>
                <w:szCs w:val="14"/>
                <w:color w:val="auto"/>
              </w:rPr>
            </w:pPr>
          </w:p>
        </w:tc>
      </w:tr>
      <w:tr>
        <w:trPr>
          <w:trHeight w:val="195"/>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within the inline XBRL document.</w:t>
            </w:r>
          </w:p>
        </w:tc>
        <w:tc>
          <w:tcPr>
            <w:tcW w:w="4420" w:type="dxa"/>
            <w:vAlign w:val="bottom"/>
          </w:tcPr>
          <w:p>
            <w:pPr>
              <w:spacing w:after="0"/>
              <w:rPr>
                <w:sz w:val="16"/>
                <w:szCs w:val="16"/>
                <w:color w:val="auto"/>
              </w:rPr>
            </w:pP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83"/>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 embedded</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within Exhibit 101)</w:t>
            </w:r>
          </w:p>
        </w:tc>
        <w:tc>
          <w:tcPr>
            <w:tcW w:w="44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0F7C7F"/>
        </w:rPr>
        <w:t>SIGNATURES</w:t>
      </w:r>
    </w:p>
    <w:p>
      <w:pPr>
        <w:spacing w:after="0" w:line="13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April 28, 2022</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30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April 28, 2022</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March 31, 2022 Form 10-Q | 34</w:t>
      </w:r>
    </w:p>
    <w:p>
      <w:pPr>
        <w:sectPr>
          <w:pgSz w:w="11900" w:h="16838" w:orient="portrait"/>
          <w:cols w:equalWidth="0" w:num="1">
            <w:col w:w="11240"/>
          </w:cols>
          <w:pgMar w:left="320" w:top="14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2022, of Molina Healthcare, Inc.;</w:t>
      </w:r>
    </w:p>
    <w:p>
      <w:pPr>
        <w:spacing w:after="0" w:line="117"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93"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5"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93"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93"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93"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28, 2022</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March 31, 2022, of Molina Healthcare, Inc.;</w:t>
      </w:r>
    </w:p>
    <w:p>
      <w:pPr>
        <w:spacing w:after="0" w:line="117"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93"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5"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93"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93"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93"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April 28, 2022</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36" w:name="page37"/>
    <w:bookmarkEnd w:id="36"/>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2022 (the “Report”), I, Joseph M. Zubretsky, Chief Executive Officer of the Company, certify, pursuant to 18 U.S.C. Section 1350, as adopted pursuant to Section 906 of the Sarbanes-Oxley Act of 2002, that:</w:t>
      </w:r>
    </w:p>
    <w:p>
      <w:pPr>
        <w:spacing w:after="0" w:line="94" w:lineRule="exact"/>
        <w:rPr>
          <w:sz w:val="20"/>
          <w:szCs w:val="20"/>
          <w:color w:val="auto"/>
        </w:rPr>
      </w:pPr>
    </w:p>
    <w:p>
      <w:pPr>
        <w:ind w:left="1160" w:hanging="26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17" w:lineRule="exact"/>
        <w:rPr>
          <w:rFonts w:ascii="Arial" w:cs="Arial" w:eastAsia="Arial" w:hAnsi="Arial"/>
          <w:sz w:val="18"/>
          <w:szCs w:val="18"/>
          <w:color w:val="auto"/>
        </w:rPr>
      </w:pPr>
    </w:p>
    <w:p>
      <w:pPr>
        <w:ind w:firstLine="899"/>
        <w:spacing w:after="0" w:line="261" w:lineRule="auto"/>
        <w:tabs>
          <w:tab w:leader="none" w:pos="11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April 28, 2022</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1062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37" w:name="page38"/>
    <w:bookmarkEnd w:id="37"/>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58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March 31, 2022 (the “Report”), I, Mark L. Keim, Chief Financial Officer of the Company, certify, pursuant to 18 U.S.C. Section 1350, as adopted pursuant to Section 906 of the Sarbanes-Oxley Act of 2002, that:</w:t>
      </w:r>
    </w:p>
    <w:p>
      <w:pPr>
        <w:spacing w:after="0" w:line="94" w:lineRule="exact"/>
        <w:rPr>
          <w:sz w:val="20"/>
          <w:szCs w:val="20"/>
          <w:color w:val="auto"/>
        </w:rPr>
      </w:pPr>
    </w:p>
    <w:p>
      <w:pPr>
        <w:ind w:left="1160" w:hanging="26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17" w:lineRule="exact"/>
        <w:rPr>
          <w:rFonts w:ascii="Arial" w:cs="Arial" w:eastAsia="Arial" w:hAnsi="Arial"/>
          <w:sz w:val="18"/>
          <w:szCs w:val="18"/>
          <w:color w:val="auto"/>
        </w:rPr>
      </w:pPr>
    </w:p>
    <w:p>
      <w:pPr>
        <w:ind w:firstLine="899"/>
        <w:spacing w:after="0" w:line="261"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April 28, 2022</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4" Type="http://schemas.openxmlformats.org/officeDocument/2006/relationships/hyperlink" Target="http://www.sec.gov/Archives/edgar/data/1179929/000117992922000028/exhibit101_amendedemploy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2022-04-28T11:20:46Z</dcterms:created>
  <dcterms:modified xsi:type="dcterms:W3CDTF">2022-04-28T11:20:46Z</dcterms:modified>
</cp:coreProperties>
</file>