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76835</wp:posOffset>
            </wp:positionV>
            <wp:extent cx="435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3" w:lineRule="auto"/>
        <w:tabs>
          <w:tab w:leader="none" w:pos="6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2021</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11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95" w:lineRule="exact"/>
        <w:rPr>
          <w:sz w:val="24"/>
          <w:szCs w:val="24"/>
          <w:color w:val="auto"/>
        </w:rPr>
      </w:pPr>
    </w:p>
    <w:tbl>
      <w:tblPr>
        <w:tblLayout w:type="fixed"/>
        <w:tblInd w:w="1900" w:type="dxa"/>
        <w:tblCellMar>
          <w:top w:w="0" w:type="dxa"/>
          <w:left w:w="0" w:type="dxa"/>
          <w:bottom w:w="0" w:type="dxa"/>
          <w:right w:w="0" w:type="dxa"/>
        </w:tblCellMar>
      </w:tblPr>
      <w:tr>
        <w:trPr>
          <w:trHeight w:val="215"/>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95"/>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49"/>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1"/>
                <w:szCs w:val="21"/>
                <w:color w:val="auto"/>
              </w:rPr>
            </w:pPr>
          </w:p>
        </w:tc>
      </w:tr>
      <w:tr>
        <w:trPr>
          <w:trHeight w:val="216"/>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7"/>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134620</wp:posOffset>
            </wp:positionV>
            <wp:extent cx="4423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8" w:lineRule="exact"/>
        <w:rPr>
          <w:sz w:val="24"/>
          <w:szCs w:val="24"/>
          <w:color w:val="auto"/>
        </w:rPr>
      </w:pPr>
    </w:p>
    <w:tbl>
      <w:tblPr>
        <w:tblLayout w:type="fixed"/>
        <w:tblInd w:w="950" w:type="dxa"/>
        <w:tblCellMar>
          <w:top w:w="0" w:type="dxa"/>
          <w:left w:w="0" w:type="dxa"/>
          <w:bottom w:w="0" w:type="dxa"/>
          <w:right w:w="0" w:type="dxa"/>
        </w:tblCellMar>
      </w:tblPr>
      <w:tr>
        <w:trPr>
          <w:trHeight w:val="256"/>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64"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46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61"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July 23, 2021, was approximately 58,400,000.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ind w:right="4780"/>
        <w:spacing w:after="0" w:line="358" w:lineRule="auto"/>
        <w:rPr>
          <w:sz w:val="20"/>
          <w:szCs w:val="20"/>
          <w:color w:val="auto"/>
        </w:rPr>
      </w:pPr>
      <w:r>
        <w:rPr>
          <w:rFonts w:ascii="Arial" w:cs="Arial" w:eastAsia="Arial" w:hAnsi="Arial"/>
          <w:sz w:val="25"/>
          <w:szCs w:val="25"/>
          <w:color w:val="828282"/>
        </w:rPr>
        <w:t>FOR THE QUARTERLY PERIOD ENDED JUNE 30, 2021 TABLE OF CONTENTS</w:t>
      </w:r>
    </w:p>
    <w:tbl>
      <w:tblPr>
        <w:tblLayout w:type="fixed"/>
        <w:tblInd w:w="0" w:type="dxa"/>
        <w:tblCellMar>
          <w:top w:w="0" w:type="dxa"/>
          <w:left w:w="0" w:type="dxa"/>
          <w:bottom w:w="0" w:type="dxa"/>
          <w:right w:w="0" w:type="dxa"/>
        </w:tblCellMar>
      </w:tblPr>
      <w:tr>
        <w:trPr>
          <w:trHeight w:val="180"/>
        </w:trPr>
        <w:tc>
          <w:tcPr>
            <w:tcW w:w="6960" w:type="dxa"/>
            <w:vAlign w:val="bottom"/>
            <w:gridSpan w:val="10"/>
          </w:tcPr>
          <w:p>
            <w:pPr>
              <w:ind w:left="20"/>
              <w:spacing w:after="0" w:line="181" w:lineRule="exact"/>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5"/>
                <w:szCs w:val="15"/>
                <w:color w:val="auto"/>
              </w:rPr>
            </w:pPr>
          </w:p>
        </w:tc>
        <w:tc>
          <w:tcPr>
            <w:tcW w:w="440" w:type="dxa"/>
            <w:vAlign w:val="bottom"/>
            <w:gridSpan w:val="4"/>
          </w:tcPr>
          <w:p>
            <w:pPr>
              <w:jc w:val="right"/>
              <w:ind w:right="40"/>
              <w:spacing w:after="0" w:line="181" w:lineRule="exact"/>
              <w:rPr>
                <w:sz w:val="20"/>
                <w:szCs w:val="20"/>
                <w:color w:val="auto"/>
              </w:rPr>
            </w:pPr>
            <w:r>
              <w:rPr>
                <w:rFonts w:ascii="Arial" w:cs="Arial" w:eastAsia="Arial" w:hAnsi="Arial"/>
                <w:sz w:val="16"/>
                <w:szCs w:val="16"/>
                <w:b w:val="1"/>
                <w:bCs w:val="1"/>
                <w:color w:val="0F7C7F"/>
                <w:w w:val="99"/>
              </w:rPr>
              <w:t>Page</w:t>
            </w:r>
          </w:p>
        </w:tc>
      </w:tr>
      <w:tr>
        <w:trPr>
          <w:trHeight w:val="285"/>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9"/>
          </w:tcPr>
          <w:p>
            <w:pPr>
              <w:spacing w:after="0"/>
              <w:rPr>
                <w:rFonts w:ascii="Arial" w:cs="Arial" w:eastAsia="Arial" w:hAnsi="Arial"/>
                <w:sz w:val="16"/>
                <w:szCs w:val="16"/>
                <w:color w:val="0F7C7F"/>
              </w:rPr>
            </w:pPr>
            <w:hyperlink w:anchor="page2">
              <w:r>
                <w:rPr>
                  <w:rFonts w:ascii="Arial" w:cs="Arial" w:eastAsia="Arial" w:hAnsi="Arial"/>
                  <w:sz w:val="16"/>
                  <w:szCs w:val="16"/>
                  <w:color w:val="0F7C7F"/>
                </w:rPr>
                <w:t>Financial Statements</w:t>
              </w:r>
            </w:hyperlink>
          </w:p>
        </w:tc>
        <w:tc>
          <w:tcPr>
            <w:tcW w:w="4240" w:type="dxa"/>
            <w:vAlign w:val="bottom"/>
            <w:gridSpan w:val="4"/>
          </w:tcPr>
          <w:p>
            <w:pPr>
              <w:jc w:val="right"/>
              <w:spacing w:after="0"/>
              <w:rPr>
                <w:rFonts w:ascii="Arial" w:cs="Arial" w:eastAsia="Arial" w:hAnsi="Arial"/>
                <w:sz w:val="16"/>
                <w:szCs w:val="16"/>
                <w:color w:val="0F7C7F"/>
              </w:rPr>
            </w:pPr>
            <w:hyperlink w:anchor="page2">
              <w:r>
                <w:rPr>
                  <w:rFonts w:ascii="Arial" w:cs="Arial" w:eastAsia="Arial" w:hAnsi="Arial"/>
                  <w:sz w:val="16"/>
                  <w:szCs w:val="16"/>
                  <w:color w:val="0F7C7F"/>
                </w:rPr>
                <w:t>3</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9"/>
          </w:tcPr>
          <w:p>
            <w:pPr>
              <w:spacing w:after="0"/>
              <w:rPr>
                <w:rFonts w:ascii="Arial" w:cs="Arial" w:eastAsia="Arial" w:hAnsi="Arial"/>
                <w:sz w:val="16"/>
                <w:szCs w:val="16"/>
                <w:color w:val="0F7C7F"/>
              </w:rPr>
            </w:pPr>
            <w:hyperlink w:anchor="page19">
              <w:r>
                <w:rPr>
                  <w:rFonts w:ascii="Arial" w:cs="Arial" w:eastAsia="Arial" w:hAnsi="Arial"/>
                  <w:sz w:val="16"/>
                  <w:szCs w:val="16"/>
                  <w:color w:val="0F7C7F"/>
                </w:rPr>
                <w:t>Management’s Discussion and Analysis of Financial Condition and Results of Operations</w:t>
              </w:r>
            </w:hyperlink>
          </w:p>
        </w:tc>
        <w:tc>
          <w:tcPr>
            <w:tcW w:w="4240" w:type="dxa"/>
            <w:vAlign w:val="bottom"/>
            <w:gridSpan w:val="4"/>
          </w:tcPr>
          <w:p>
            <w:pPr>
              <w:jc w:val="right"/>
              <w:spacing w:after="0"/>
              <w:rPr>
                <w:rFonts w:ascii="Arial" w:cs="Arial" w:eastAsia="Arial" w:hAnsi="Arial"/>
                <w:sz w:val="16"/>
                <w:szCs w:val="16"/>
                <w:color w:val="0F7C7F"/>
              </w:rPr>
            </w:pPr>
            <w:hyperlink w:anchor="page19">
              <w:r>
                <w:rPr>
                  <w:rFonts w:ascii="Arial" w:cs="Arial" w:eastAsia="Arial" w:hAnsi="Arial"/>
                  <w:sz w:val="16"/>
                  <w:szCs w:val="16"/>
                  <w:color w:val="0F7C7F"/>
                </w:rPr>
                <w:t>20</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7"/>
          </w:tcPr>
          <w:p>
            <w:pPr>
              <w:spacing w:after="0"/>
              <w:rPr>
                <w:rFonts w:ascii="Arial" w:cs="Arial" w:eastAsia="Arial" w:hAnsi="Arial"/>
                <w:sz w:val="16"/>
                <w:szCs w:val="16"/>
                <w:color w:val="0F7C7F"/>
              </w:rPr>
            </w:pPr>
            <w:hyperlink w:anchor="page34">
              <w:r>
                <w:rPr>
                  <w:rFonts w:ascii="Arial" w:cs="Arial" w:eastAsia="Arial" w:hAnsi="Arial"/>
                  <w:sz w:val="16"/>
                  <w:szCs w:val="16"/>
                  <w:color w:val="0F7C7F"/>
                </w:rPr>
                <w:t>Quantitative and Qualitative Disclosures About Market Risk</w:t>
              </w:r>
            </w:hyperlink>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4">
              <w:r>
                <w:rPr>
                  <w:rFonts w:ascii="Arial" w:cs="Arial" w:eastAsia="Arial" w:hAnsi="Arial"/>
                  <w:sz w:val="16"/>
                  <w:szCs w:val="16"/>
                  <w:color w:val="0F7C7F"/>
                </w:rPr>
                <w:t>34</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7"/>
          </w:tcPr>
          <w:p>
            <w:pPr>
              <w:spacing w:after="0"/>
              <w:rPr>
                <w:rFonts w:ascii="Arial" w:cs="Arial" w:eastAsia="Arial" w:hAnsi="Arial"/>
                <w:sz w:val="16"/>
                <w:szCs w:val="16"/>
                <w:color w:val="0F7C7F"/>
              </w:rPr>
            </w:pPr>
            <w:hyperlink w:anchor="page35">
              <w:r>
                <w:rPr>
                  <w:rFonts w:ascii="Arial" w:cs="Arial" w:eastAsia="Arial" w:hAnsi="Arial"/>
                  <w:sz w:val="16"/>
                  <w:szCs w:val="16"/>
                  <w:color w:val="0F7C7F"/>
                </w:rPr>
                <w:t>Controls and Procedures</w:t>
              </w:r>
            </w:hyperlink>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5">
              <w:r>
                <w:rPr>
                  <w:rFonts w:ascii="Arial" w:cs="Arial" w:eastAsia="Arial" w:hAnsi="Arial"/>
                  <w:sz w:val="16"/>
                  <w:szCs w:val="16"/>
                  <w:color w:val="0F7C7F"/>
                </w:rPr>
                <w:t>35</w:t>
              </w:r>
            </w:hyperlink>
          </w:p>
        </w:tc>
        <w:tc>
          <w:tcPr>
            <w:tcW w:w="40" w:type="dxa"/>
            <w:vAlign w:val="bottom"/>
          </w:tcPr>
          <w:p>
            <w:pPr>
              <w:spacing w:after="0"/>
              <w:rPr>
                <w:sz w:val="21"/>
                <w:szCs w:val="21"/>
                <w:color w:val="auto"/>
              </w:rPr>
            </w:pPr>
          </w:p>
        </w:tc>
      </w:tr>
      <w:tr>
        <w:trPr>
          <w:trHeight w:val="285"/>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44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4"/>
          </w:tcPr>
          <w:p>
            <w:pPr>
              <w:spacing w:after="0"/>
              <w:rPr>
                <w:rFonts w:ascii="Arial" w:cs="Arial" w:eastAsia="Arial" w:hAnsi="Arial"/>
                <w:sz w:val="16"/>
                <w:szCs w:val="16"/>
                <w:color w:val="0F7C7F"/>
                <w:w w:val="99"/>
              </w:rPr>
            </w:pPr>
            <w:hyperlink w:anchor="page35">
              <w:r>
                <w:rPr>
                  <w:rFonts w:ascii="Arial" w:cs="Arial" w:eastAsia="Arial" w:hAnsi="Arial"/>
                  <w:sz w:val="16"/>
                  <w:szCs w:val="16"/>
                  <w:color w:val="0F7C7F"/>
                  <w:w w:val="99"/>
                </w:rPr>
                <w:t>Legal Proceedings</w:t>
              </w:r>
            </w:hyperlink>
          </w:p>
        </w:tc>
        <w:tc>
          <w:tcPr>
            <w:tcW w:w="5020" w:type="dxa"/>
            <w:vAlign w:val="bottom"/>
            <w:gridSpan w:val="5"/>
          </w:tcPr>
          <w:p>
            <w:pPr>
              <w:spacing w:after="0"/>
              <w:rPr>
                <w:sz w:val="20"/>
                <w:szCs w:val="20"/>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5">
              <w:r>
                <w:rPr>
                  <w:rFonts w:ascii="Arial" w:cs="Arial" w:eastAsia="Arial" w:hAnsi="Arial"/>
                  <w:sz w:val="16"/>
                  <w:szCs w:val="16"/>
                  <w:color w:val="0F7C7F"/>
                </w:rPr>
                <w:t>35</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rFonts w:ascii="Arial" w:cs="Arial" w:eastAsia="Arial" w:hAnsi="Arial"/>
                <w:sz w:val="16"/>
                <w:szCs w:val="16"/>
                <w:color w:val="0F7C7F"/>
                <w:w w:val="98"/>
              </w:rPr>
            </w:pPr>
            <w:hyperlink w:anchor="page35">
              <w:r>
                <w:rPr>
                  <w:rFonts w:ascii="Arial" w:cs="Arial" w:eastAsia="Arial" w:hAnsi="Arial"/>
                  <w:sz w:val="16"/>
                  <w:szCs w:val="16"/>
                  <w:color w:val="0F7C7F"/>
                  <w:w w:val="98"/>
                </w:rPr>
                <w:t>Risk Factors</w:t>
              </w:r>
            </w:hyperlink>
          </w:p>
        </w:tc>
        <w:tc>
          <w:tcPr>
            <w:tcW w:w="440" w:type="dxa"/>
            <w:vAlign w:val="bottom"/>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5">
              <w:r>
                <w:rPr>
                  <w:rFonts w:ascii="Arial" w:cs="Arial" w:eastAsia="Arial" w:hAnsi="Arial"/>
                  <w:sz w:val="16"/>
                  <w:szCs w:val="16"/>
                  <w:color w:val="0F7C7F"/>
                </w:rPr>
                <w:t>35</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8"/>
          </w:tcPr>
          <w:p>
            <w:pPr>
              <w:spacing w:after="0"/>
              <w:rPr>
                <w:rFonts w:ascii="Arial" w:cs="Arial" w:eastAsia="Arial" w:hAnsi="Arial"/>
                <w:sz w:val="16"/>
                <w:szCs w:val="16"/>
                <w:color w:val="0F7C7F"/>
              </w:rPr>
            </w:pPr>
            <w:hyperlink w:anchor="page35">
              <w:r>
                <w:rPr>
                  <w:rFonts w:ascii="Arial" w:cs="Arial" w:eastAsia="Arial" w:hAnsi="Arial"/>
                  <w:sz w:val="16"/>
                  <w:szCs w:val="16"/>
                  <w:color w:val="0F7C7F"/>
                </w:rPr>
                <w:t>Unregistered Sales of Equity Securities and Use of Proceeds</w:t>
              </w:r>
            </w:hyperlink>
          </w:p>
        </w:tc>
        <w:tc>
          <w:tcPr>
            <w:tcW w:w="2000" w:type="dxa"/>
            <w:vAlign w:val="bottom"/>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5">
              <w:r>
                <w:rPr>
                  <w:rFonts w:ascii="Arial" w:cs="Arial" w:eastAsia="Arial" w:hAnsi="Arial"/>
                  <w:sz w:val="16"/>
                  <w:szCs w:val="16"/>
                  <w:color w:val="0F7C7F"/>
                </w:rPr>
                <w:t>35</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5"/>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8"/>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9"/>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6360" w:type="dxa"/>
            <w:vAlign w:val="bottom"/>
            <w:gridSpan w:val="9"/>
          </w:tcPr>
          <w:p>
            <w:pPr>
              <w:spacing w:after="0"/>
              <w:rPr>
                <w:sz w:val="20"/>
                <w:szCs w:val="20"/>
                <w:color w:val="auto"/>
              </w:rPr>
            </w:pPr>
            <w:r>
              <w:rPr>
                <w:rFonts w:ascii="Arial" w:cs="Arial" w:eastAsia="Arial" w:hAnsi="Arial"/>
                <w:sz w:val="16"/>
                <w:szCs w:val="16"/>
                <w:color w:val="auto"/>
              </w:rPr>
              <w:t>Other Information</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rFonts w:ascii="Arial" w:cs="Arial" w:eastAsia="Arial" w:hAnsi="Arial"/>
                <w:sz w:val="16"/>
                <w:szCs w:val="16"/>
                <w:color w:val="0F7C7F"/>
                <w:w w:val="96"/>
              </w:rPr>
            </w:pPr>
            <w:hyperlink w:anchor="page35">
              <w:r>
                <w:rPr>
                  <w:rFonts w:ascii="Arial" w:cs="Arial" w:eastAsia="Arial" w:hAnsi="Arial"/>
                  <w:sz w:val="16"/>
                  <w:szCs w:val="16"/>
                  <w:color w:val="0F7C7F"/>
                  <w:w w:val="96"/>
                </w:rPr>
                <w:t>Exhibits</w:t>
              </w:r>
            </w:hyperlink>
          </w:p>
        </w:tc>
        <w:tc>
          <w:tcPr>
            <w:tcW w:w="5800" w:type="dxa"/>
            <w:vAlign w:val="bottom"/>
            <w:gridSpan w:val="8"/>
          </w:tcPr>
          <w:p>
            <w:pPr>
              <w:spacing w:after="0"/>
              <w:rPr>
                <w:sz w:val="20"/>
                <w:szCs w:val="20"/>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5">
              <w:r>
                <w:rPr>
                  <w:rFonts w:ascii="Arial" w:cs="Arial" w:eastAsia="Arial" w:hAnsi="Arial"/>
                  <w:sz w:val="16"/>
                  <w:szCs w:val="16"/>
                  <w:color w:val="0F7C7F"/>
                </w:rPr>
                <w:t>36</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9"/>
          </w:tcPr>
          <w:p>
            <w:pPr>
              <w:spacing w:after="0"/>
              <w:rPr>
                <w:rFonts w:ascii="Arial" w:cs="Arial" w:eastAsia="Arial" w:hAnsi="Arial"/>
                <w:sz w:val="16"/>
                <w:szCs w:val="16"/>
                <w:color w:val="0F7C7F"/>
              </w:rPr>
            </w:pPr>
            <w:hyperlink w:anchor="page36">
              <w:r>
                <w:rPr>
                  <w:rFonts w:ascii="Arial" w:cs="Arial" w:eastAsia="Arial" w:hAnsi="Arial"/>
                  <w:sz w:val="16"/>
                  <w:szCs w:val="16"/>
                  <w:color w:val="0F7C7F"/>
                </w:rPr>
                <w:t>Signatures</w:t>
              </w:r>
            </w:hyperlink>
          </w:p>
        </w:tc>
        <w:tc>
          <w:tcPr>
            <w:tcW w:w="4240" w:type="dxa"/>
            <w:vAlign w:val="bottom"/>
            <w:gridSpan w:val="4"/>
          </w:tcPr>
          <w:p>
            <w:pPr>
              <w:jc w:val="right"/>
              <w:spacing w:after="0"/>
              <w:rPr>
                <w:rFonts w:ascii="Arial" w:cs="Arial" w:eastAsia="Arial" w:hAnsi="Arial"/>
                <w:sz w:val="16"/>
                <w:szCs w:val="16"/>
                <w:color w:val="0F7C7F"/>
              </w:rPr>
            </w:pPr>
            <w:hyperlink w:anchor="page36">
              <w:r>
                <w:rPr>
                  <w:rFonts w:ascii="Arial" w:cs="Arial" w:eastAsia="Arial" w:hAnsi="Arial"/>
                  <w:sz w:val="16"/>
                  <w:szCs w:val="16"/>
                  <w:color w:val="0F7C7F"/>
                </w:rPr>
                <w:t>37</w:t>
              </w:r>
            </w:hyperlink>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326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6"/>
                <w:szCs w:val="16"/>
                <w:color w:val="auto"/>
              </w:rPr>
            </w:pPr>
          </w:p>
        </w:tc>
        <w:tc>
          <w:tcPr>
            <w:tcW w:w="270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6,583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4,372</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12,889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8,676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Health insurer fees reimbursed</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9,167</w:t>
            </w:r>
          </w:p>
        </w:tc>
        <w:tc>
          <w:tcPr>
            <w:tcW w:w="0" w:type="dxa"/>
            <w:vAlign w:val="bottom"/>
          </w:tcPr>
          <w:p>
            <w:pPr>
              <w:spacing w:after="0"/>
              <w:rPr>
                <w:sz w:val="1"/>
                <w:szCs w:val="1"/>
                <w:color w:val="auto"/>
              </w:rPr>
            </w:pPr>
          </w:p>
        </w:tc>
      </w:tr>
      <w:tr>
        <w:trPr>
          <w:trHeight w:val="193"/>
        </w:trPr>
        <w:tc>
          <w:tcPr>
            <w:tcW w:w="48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7,314</w:t>
            </w: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Health insurer fees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8,469</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19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expenses, net</w:t>
            </w:r>
          </w:p>
        </w:tc>
        <w:tc>
          <w:tcPr>
            <w:tcW w:w="9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COMPREHENSIVE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820" w:type="dxa"/>
            <w:vAlign w:val="bottom"/>
          </w:tcPr>
          <w:p>
            <w:pPr>
              <w:spacing w:after="0"/>
              <w:rPr>
                <w:sz w:val="15"/>
                <w:szCs w:val="15"/>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183"/>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income (loss)</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r>
      <w:tr>
        <w:trPr>
          <w:trHeight w:val="213"/>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w:t>
            </w: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income (loss), net of tax</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top w:val="single" w:sz="8" w:color="auto"/>
              <w:bottom w:val="single" w:sz="8" w:color="auto"/>
            </w:tcBorders>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482</w:t>
            </w: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55"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June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bl>
    <w:p>
      <w:pPr>
        <w:spacing w:after="0" w:line="28"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vMerge w:val="restart"/>
          </w:tcPr>
          <w:p>
            <w:pPr>
              <w:jc w:val="right"/>
              <w:ind w:right="2500"/>
              <w:spacing w:after="0"/>
              <w:rPr>
                <w:sz w:val="20"/>
                <w:szCs w:val="20"/>
                <w:color w:val="auto"/>
              </w:rPr>
            </w:pPr>
            <w:r>
              <w:rPr>
                <w:rFonts w:ascii="Arial" w:cs="Arial" w:eastAsia="Arial" w:hAnsi="Arial"/>
                <w:sz w:val="16"/>
                <w:szCs w:val="16"/>
                <w:b w:val="1"/>
                <w:bCs w:val="1"/>
                <w:color w:val="auto"/>
                <w:w w:val="99"/>
              </w:rPr>
              <w:t>ASSETS</w:t>
            </w: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4,608</w:t>
            </w:r>
          </w:p>
        </w:tc>
        <w:tc>
          <w:tcPr>
            <w:tcW w:w="100" w:type="dxa"/>
            <w:vAlign w:val="bottom"/>
          </w:tcPr>
          <w:p>
            <w:pPr>
              <w:spacing w:after="0"/>
              <w:rPr>
                <w:sz w:val="24"/>
                <w:szCs w:val="24"/>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4,154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2,241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8,874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7,876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9"/>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10,530</w:t>
            </w:r>
          </w:p>
        </w:tc>
        <w:tc>
          <w:tcPr>
            <w:tcW w:w="100" w:type="dxa"/>
            <w:vAlign w:val="bottom"/>
          </w:tcPr>
          <w:p>
            <w:pPr>
              <w:spacing w:after="0"/>
              <w:rPr>
                <w:sz w:val="18"/>
                <w:szCs w:val="18"/>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9,532</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-113030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620" w:space="280"/>
            <w:col w:w="73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0"/>
        </w:trPr>
        <w:tc>
          <w:tcPr>
            <w:tcW w:w="822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Common stock, $0.001 par value, 150 million shares authorized; outstanding: 58 million shares at June 30,</w:t>
            </w: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2021, and 59 million shares at December 31, 2020</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7"/>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ind w:right="161"/>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Balance at March 31, 2021</w:t>
            </w: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ind w:right="181"/>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Outstanding</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1,781</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Termination of warrants</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comprehensive income, net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1,798</w:t>
            </w:r>
          </w:p>
        </w:tc>
        <w:tc>
          <w:tcPr>
            <w:tcW w:w="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center"/>
              <w:ind w:left="464"/>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6"/>
                <w:szCs w:val="16"/>
                <w:color w:val="auto"/>
              </w:rPr>
            </w:pPr>
          </w:p>
        </w:tc>
      </w:tr>
      <w:tr>
        <w:trPr>
          <w:trHeight w:val="196"/>
        </w:trPr>
        <w:tc>
          <w:tcPr>
            <w:tcW w:w="80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7"/>
                <w:szCs w:val="17"/>
                <w:color w:val="auto"/>
              </w:rPr>
            </w:pPr>
          </w:p>
        </w:tc>
      </w:tr>
      <w:tr>
        <w:trPr>
          <w:trHeight w:val="182"/>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center"/>
              <w:ind w:right="34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176"/>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3"/>
          </w:tcPr>
          <w:p>
            <w:pPr>
              <w:jc w:val="center"/>
              <w:ind w:right="362"/>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5"/>
                <w:szCs w:val="15"/>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debt repayment</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Receivables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Medical claims and benefits payable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Amounts due government agencies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13"/>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12"/>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w:t>
            </w:r>
          </w:p>
        </w:tc>
      </w:tr>
      <w:tr>
        <w:trPr>
          <w:trHeight w:val="193"/>
        </w:trPr>
        <w:tc>
          <w:tcPr>
            <w:tcW w:w="80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investments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provided by investing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193"/>
        </w:trPr>
        <w:tc>
          <w:tcPr>
            <w:tcW w:w="80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Proceeds from senior notes offering, net of issuance costs</w:t>
            </w:r>
          </w:p>
        </w:tc>
        <w:tc>
          <w:tcPr>
            <w:tcW w:w="9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789</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term loan facility</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9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provided by financing activities</w:t>
            </w:r>
          </w:p>
        </w:tc>
        <w:tc>
          <w:tcPr>
            <w:tcW w:w="9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r>
      <w:tr>
        <w:trPr>
          <w:trHeight w:val="21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r>
      <w:tr>
        <w:trPr>
          <w:trHeight w:val="23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JUNE 30, 2021</w:t>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In the first quarter of 2021, we realigned our reportable operating segments to reflect recent changes in our internal operating and reporting structure, which is now organized by government program. These reportable segments consist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Medicaid; 2) Medicare; 3) Marketplace; and 4) Other. For further information, refer to Note 10, “Segments.”</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As of June 30, 2021, we served approximately 4.7 million members eligible for government-sponsored healthcare programs, located across 18 states.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The state currently expects a final RFP to be released at the end of 2021.</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April 22, 2021, we announced a definitive agreement to acquire Cigna Corporation’s Texas</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w:t>
      </w:r>
    </w:p>
    <w:p>
      <w:pPr>
        <w:spacing w:after="0" w:line="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$1.0 billion. The purchase price for the transaction is approximately $60 million, which we intend to fund with cash on hand. The transaction is subject to receipt of applicable federal and state regulatory approvals and satisfaction of other customary closing conditions. We currently expect the transaction to close in January 2022.</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Ohio Procurement—Medicaid. </w:t>
      </w:r>
      <w:r>
        <w:rPr>
          <w:rFonts w:ascii="Arial" w:cs="Arial" w:eastAsia="Arial" w:hAnsi="Arial"/>
          <w:sz w:val="18"/>
          <w:szCs w:val="18"/>
          <w:color w:val="auto"/>
        </w:rPr>
        <w:t>On April 13, 2021, we announced that our Ohio health plan subsidiary was selected as an awardee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across the state pursuant to the Medicaid managed care request for award issued on September 30, 2020, by the Ohio Department of Medicaid. This new contract is expected to begin in early 2022, and will offer health care coverage to Medicaid beneficiaries through the state of Ohio’s Covered Family and Children, Expansion, and ABD programs.</w:t>
      </w:r>
    </w:p>
    <w:p>
      <w:pPr>
        <w:spacing w:after="0" w:line="7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In September 2020, we entered into a definitive agreement to acquire substantially all of the assets of</w:t>
      </w:r>
      <w:r>
        <w:rPr>
          <w:rFonts w:ascii="Arial" w:cs="Arial" w:eastAsia="Arial" w:hAnsi="Arial"/>
          <w:sz w:val="18"/>
          <w:szCs w:val="18"/>
          <w:i w:val="1"/>
          <w:iCs w:val="1"/>
          <w:color w:val="auto"/>
        </w:rPr>
        <w:t xml:space="preserve"> </w:t>
      </w:r>
      <w:r>
        <w:rPr>
          <w:rFonts w:ascii="Arial" w:cs="Arial" w:eastAsia="Arial" w:hAnsi="Arial"/>
          <w:sz w:val="18"/>
          <w:szCs w:val="18"/>
          <w:color w:val="auto"/>
        </w:rPr>
        <w:t>Affinity Health Plan, Inc., a Medicaid health plan in New York. The net purchase price for the transaction is approximately $380 million, subject to various adjustments at closing, which we intend to fund with cash on hand. We currently expect the transaction to close in the fourth quarter of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six months ended June 30, 2021 are not necessarily indicative of the results for the entire year ending December 31, 2021.</w:t>
      </w:r>
    </w:p>
    <w:p>
      <w:pPr>
        <w:spacing w:after="0" w:line="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2020. Accordingly, certain disclosures that would substantially duplicate the disclosures contained in our December 31, 2020, audited consolidated financial statements have been omitted. These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unaudited consolidated interim financial statements should be read in conjunction with our audited consolidated financial statements for the fiscal year ended December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Consistent with the change in reportable segments described above, certain prior year disclosures in Note 7, “Medical Claims and Benefits Payable,” and Note 10, “Segments,” have been recast to conform to the current year presentation.</w:t>
      </w:r>
    </w:p>
    <w:p>
      <w:pPr>
        <w:spacing w:after="0" w:line="9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Certain immaterial amounts presented in the accompanying consolidated statement of cash flows for the six months ended June 30, 2020, have been reclassified to conform to the current year presentation.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Contractual provisions that may limit revenue recognition based upon the costs incurred or the profits realized under a specific contract;</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Settlements under risk- or savings-sharing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Purchase price allocations relating to business combinations, including the determination of contingent consideration;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reconciles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3,303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360"/>
              <w:spacing w:after="0" w:line="161"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shd w:val="clear" w:color="auto" w:fill="CCEEFF"/>
          </w:tcPr>
          <w:p>
            <w:pPr>
              <w:ind w:left="520"/>
              <w:spacing w:after="0" w:line="174" w:lineRule="exact"/>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Because substantially all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8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40" w:type="dxa"/>
            <w:vAlign w:val="bottom"/>
            <w:gridSpan w:val="4"/>
          </w:tcPr>
          <w:p>
            <w:pPr>
              <w:jc w:val="right"/>
              <w:ind w:right="102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969</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178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 reimbursement receivables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255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w:t>
            </w:r>
          </w:p>
        </w:tc>
      </w:tr>
      <w:tr>
        <w:trPr>
          <w:trHeight w:val="206"/>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1,672</w:t>
            </w:r>
          </w:p>
        </w:tc>
      </w:tr>
      <w:tr>
        <w:trPr>
          <w:trHeight w:val="24"/>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Certain components of premium revenue are subject to accounting estimates and are described in further detail below, and in our 2020 Annual Report on Form 10-K, Note 2, “Significant Accounting Policies,” under “Contractual Provisions That May Adjust or Limit Revenue or Profit,” and “Quality Incentives.”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Many of our contracts contain provisions that may adjust or limit revenue or profit, which include those provisions with significant interim period balances described in further detail below. We recognize premium revenue as it is earned under such provisions. Liabilities accrued for premiums to be returned under such provisions are reported in the aggregate as “Amounts due government agencies,” in the accompanying consolidated balance sheets. Categorized by segment, such amounts due government agencies included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4"/>
          </w:tcPr>
          <w:p>
            <w:pPr>
              <w:jc w:val="right"/>
              <w:ind w:right="108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513</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Medicare: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62</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Marketplace: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37</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143</w:t>
            </w:r>
          </w:p>
        </w:tc>
      </w:tr>
      <w:tr>
        <w:trPr>
          <w:trHeight w:val="237"/>
        </w:trPr>
        <w:tc>
          <w:tcPr>
            <w:tcW w:w="8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amounts due government agencies</w:t>
            </w: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w:t>
      </w:r>
    </w:p>
    <w:p>
      <w:pPr>
        <w:spacing w:after="0" w:line="9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Minimum MLR and Retroactive Premium Adjustments. </w:t>
      </w:r>
      <w:r>
        <w:rPr>
          <w:rFonts w:ascii="Arial" w:cs="Arial" w:eastAsia="Arial" w:hAnsi="Arial"/>
          <w:sz w:val="18"/>
          <w:szCs w:val="18"/>
          <w:color w:val="auto"/>
        </w:rPr>
        <w:t>State Medicaid programs periodically adjust premium rates on a retroactive basis.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we adjust our premium revenue in the period in which we determine that the adjustment is probable and reasonably estimable, and is based on our best estimate of the ultimate premium we expect to realize for the period being adjusted.</w:t>
      </w:r>
    </w:p>
    <w:p>
      <w:pPr>
        <w:spacing w:after="0" w:line="8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Beginning in 2020, through June 30, 2021,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Beginning in the second quarter of 2020, we have recognized retroactive risk corridors that we believe to be probable, and where the ultimate premium amount is reasonably estimable. For the three and six months ended June 30, 2021, we recognized approximately $56 million and $166 million, respectively, related to such risk corridors, primarily in the Medicaid segment.</w:t>
      </w:r>
    </w:p>
    <w:p>
      <w:pPr>
        <w:spacing w:after="0" w:line="10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It is possible that certain states could increase the level of existing risk corridors, and other states could implement some form of risk corridors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June 30, 2021, Marketplace risk adjustment payables amounted to $719 million and related receivables amounted to $40 million, for a net payable of $679 million, of which $414 million related to 2021, and $265 million related primarily to 2020. As of December 31, 2020, Marketplace risk adjustment payables amounted to $326 million and related receivables amounted to $20 million, for a net payable of $306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the local governments of the states in which our health plan subsidiaries operate.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Various recent accounting pronouncements issued by the FASB (including its Emerging Issues Task Force), the American Institute of Certified Public Accountants, and the Securities and Exchange Commission (“SEC”) did not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net income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3400" w:type="dxa"/>
            <w:vAlign w:val="bottom"/>
            <w:gridSpan w:val="6"/>
          </w:tcPr>
          <w:p>
            <w:pPr>
              <w:ind w:left="64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54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r>
      <w:tr>
        <w:trPr>
          <w:trHeight w:val="223"/>
        </w:trPr>
        <w:tc>
          <w:tcPr>
            <w:tcW w:w="4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Stock purchases</w:t>
            </w:r>
          </w:p>
        </w:tc>
        <w:tc>
          <w:tcPr>
            <w:tcW w:w="10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54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59.4</w:t>
            </w:r>
          </w:p>
        </w:tc>
      </w:tr>
      <w:tr>
        <w:trPr>
          <w:trHeight w:val="219"/>
        </w:trPr>
        <w:tc>
          <w:tcPr>
            <w:tcW w:w="4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454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54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r>
      <w:tr>
        <w:trPr>
          <w:trHeight w:val="21"/>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color w:val="828282"/>
        </w:rPr>
        <w:t>4. Business Combinations</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31, 2020, we closed on our acquisition of 100% of the outstanding equity interests of the Magellan Complete Care line of business of Magellan Health, Inc., for total purchase consideration of approximately $1,037 million. In the six months ended June 30, 2021, we recorded various measurement period adjustments, including a decrease of $7 million to “Receivables,” a decrease of $26 million to “Medical claims and benefits payable,” and an increase of $27 million to “Amounts due government agencies.” In the aggregate, we recorded a net increase of $12 million to goodwill for these measurement period adjustments and various purchase price adjustments.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“Segments” for further information regarding the allocation of goodwill and intangible assets, net, by reportable segment.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color w:val="828282"/>
        </w:rPr>
        <w:t>5. Fair Value Measurements</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generally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2020 Annual Report on Form 10-K, Note 5, “Fair Value Measurements.”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June 30, 2021,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0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2020,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6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7"/>
                <w:szCs w:val="17"/>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 liabilities</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net changes in fair value of Level 3 financial instruments are reported in “Other” operating expenses in our consolidated statements of income. In the six months ended June 30, 2021, we recognized a loss of $3 million for the increase in the fair value of the contingent consideration liabilities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Liabilities</w:t>
      </w:r>
    </w:p>
    <w:p>
      <w:pPr>
        <w:spacing w:after="0" w:line="13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As of June 30, 2021, our Level 3 financial instruments recorded at fair value on a recurring basis included contingent consideration liabilities of $ 26 million, in connection with our 2020 acquisition of certain assets of Passport Health Plan, Inc., a Medicaid health plan in Kentucky. In the first quarter of 2021, the contingent purchase consideration relating to 2021 member enrollment was finalized and half the consideration due, or $23 million, was paid to the seller. The portion of the contingent purchase consideration paid in the first quarter of 2021 has been presented primarily in “Financing activities” in the accompanying consolidated statements of cash flows for the six months ended June 30, 2021, with the balance reflected in “Operating activities.” We expect to pay the remaining balance of the liabilities, reported in “Accounts payable, accrued liabilities and other” in the accompanying consolidated balance sheets, later in 2021 and in the first quarter of 2022.</w:t>
      </w:r>
    </w:p>
    <w:p>
      <w:pPr>
        <w:spacing w:after="0" w:line="200" w:lineRule="exact"/>
        <w:rPr>
          <w:sz w:val="20"/>
          <w:szCs w:val="20"/>
          <w:color w:val="auto"/>
        </w:rPr>
      </w:pPr>
    </w:p>
    <w:p>
      <w:pPr>
        <w:spacing w:after="0" w:line="33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2021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12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5.375% Notes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2"/>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2,246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5"/>
          <w:szCs w:val="25"/>
          <w:color w:val="828282"/>
        </w:rPr>
        <w:t>6.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consider all our investments classified as current assets to be available-for-sale. The following tables summarize our investments as of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6"/>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63"/>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7"/>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1,875</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June 30, 2021 are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34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were insignificant for the three and six months ended June 30, 2021. Gross realized investment gains amounted to $1 million and $6 million for the three and six months ended June 30, 2020, respectively. Gross realized investment losses were insignificant for the three and six months ended June 30, 2021, and 2020.</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determined that unrealized losses at June 30, 2021, and December 31, 2020,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those available-for-sale investments that have been in a continuous loss position for less than 12 months. No investments have been in a continuous loss position for 12 months or more as of June 30, 2021, and December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Unrealized</w:t>
            </w:r>
          </w:p>
        </w:tc>
        <w:tc>
          <w:tcPr>
            <w:tcW w:w="14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2780" w:type="dxa"/>
            <w:vAlign w:val="bottom"/>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$145 million at June 30, 2021, of which $137 million will mature in one year or less, and $8 million will mature in after one through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7.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020" w:type="dxa"/>
            <w:vAlign w:val="bottom"/>
          </w:tcPr>
          <w:p>
            <w:pPr>
              <w:spacing w:after="0"/>
              <w:rPr>
                <w:sz w:val="15"/>
                <w:szCs w:val="15"/>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528</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Total</w:t>
            </w: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2,942</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2,696</w:t>
            </w:r>
          </w:p>
        </w:tc>
      </w:tr>
      <w:tr>
        <w:trPr>
          <w:trHeight w:val="21"/>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$185 million and $235 million as of June 30, 2021, and December 31, 2020, respectively.</w:t>
      </w:r>
    </w:p>
    <w:p>
      <w:pPr>
        <w:spacing w:after="0" w:line="9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with the prior period recast to conform to the current year presentation. The amounts presented for “Components of medical care costs related to: Prior years” represent decreases in medical care costs resulting from actual medical care costs being less than we previously estimated in the prior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11,293</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9,023</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w:t>
            </w:r>
          </w:p>
        </w:tc>
      </w:tr>
      <w:tr>
        <w:trPr>
          <w:trHeight w:val="210"/>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10,972</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Change in acquired balances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2,942</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2021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Six Months Ended June 30, 2020</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7,372</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2"/>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7,314</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5,688</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w:t>
            </w:r>
          </w:p>
        </w:tc>
      </w:tr>
      <w:tr>
        <w:trPr>
          <w:trHeight w:val="20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7,174</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estimates of medical claims and benefits payable recorded at December 31, 2020, and 2019 developed favorably by approximately $193 million and $58 million as of June 30, 2021, and 2020, respectively.</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favorable prior period development recognized in the six months ended June 30, 2021 was primarily due to lower than expected utilization of medical services by our Medicaid members and improved operating performance. Consequently, the ultimate costs recognized in 2021, as claims payments were processed, were lower than our previous estimates in 2020.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8. Debt</w:t>
      </w:r>
    </w:p>
    <w:p>
      <w:pPr>
        <w:spacing w:after="0" w:line="115"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All long-term debt is held at the parent, which is reported in the Other segment. The following table summarizes our outstanding debt obligations, all of which are non-current as of the dates reported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020" w:type="dxa"/>
            <w:vAlign w:val="bottom"/>
          </w:tcPr>
          <w:p>
            <w:pPr>
              <w:spacing w:after="0"/>
              <w:rPr>
                <w:sz w:val="15"/>
                <w:szCs w:val="15"/>
                <w:color w:val="auto"/>
              </w:rPr>
            </w:pPr>
          </w:p>
        </w:tc>
        <w:tc>
          <w:tcPr>
            <w:tcW w:w="106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800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5.375% Notes due 2022</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2030</w:t>
            </w:r>
          </w:p>
        </w:tc>
        <w:tc>
          <w:tcPr>
            <w:tcW w:w="1060" w:type="dxa"/>
            <w:vAlign w:val="bottom"/>
          </w:tcPr>
          <w:p>
            <w:pPr>
              <w:spacing w:after="0"/>
              <w:rPr>
                <w:sz w:val="18"/>
                <w:szCs w:val="18"/>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650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8020" w:type="dxa"/>
            <w:vAlign w:val="bottom"/>
          </w:tcPr>
          <w:p>
            <w:pPr>
              <w:ind w:left="36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2,129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2,127</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9"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We are party to a credit agreement (“Credit Agreement”) which includes a revolving credit facility (“Credit Facility”) of $ 1.0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7"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As of June 30, 2021, we were in compliance with all financial and non-financial covenants under the Credit Agreement and other long-term debt. As of June 30, 2021, no amounts were outstanding under the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High-Yield Senior Notes</w:t>
      </w:r>
    </w:p>
    <w:p>
      <w:pPr>
        <w:spacing w:after="0" w:line="139"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Our high-yield senior notes are described below. Each of these notes are senior unsecured obligations of Molina Healthcare, and rank equally in right of payment with all existing and future senior debt, and senior to all existing and future subordinated debt of Molina Healthcare. In addition, each of the notes contain customary non-financial covenants and change of control provisions.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indentures governing the high-yield senior notes contain cross-default provisions that are triggered upon default by us or any of our subsidiaries on any indebtedness in excess of the amount specified in the applicable indenture.</w:t>
      </w:r>
    </w:p>
    <w:p>
      <w:pPr>
        <w:spacing w:after="0" w:line="7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had $800 million aggregate principal amount of senior notes (the “4.375%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which are due June 15, 2028, unless earlier redeemed. Interest, at a rate of 4.375% per annum, is payable semiannually in arrears on June 15 and December 15.</w:t>
      </w:r>
    </w:p>
    <w:p>
      <w:pPr>
        <w:spacing w:after="0" w:line="6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5.375% Notes due 2022. </w:t>
      </w:r>
      <w:r>
        <w:rPr>
          <w:rFonts w:ascii="Arial" w:cs="Arial" w:eastAsia="Arial" w:hAnsi="Arial"/>
          <w:sz w:val="18"/>
          <w:szCs w:val="18"/>
          <w:color w:val="auto"/>
        </w:rPr>
        <w:t>We had $700 million aggregate principal amount of senior notes (the “5.375%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which are due November 15, 2022, unless earlier redeemed. Interest, at a rate of 5.375% per annum, is payable semiannually in arrears on May 15 and November 15.</w:t>
      </w:r>
    </w:p>
    <w:p>
      <w:pPr>
        <w:spacing w:after="0" w:line="68"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had $650 million aggregate principal amount of senior notes (the “3.875% Notes”) outstanding as of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which are due November 15, 2030, unless earlier redeemed. Interest, at a rate of 3.875% per annum, is payable semiannually in arrears on May 15 and November 15.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2020, our board of directors authorized the purchase of up to $500 million, in the aggregate, of our common stock. This program is funded with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Under this program, pursuant to a Rule 10b5-1 trading plan, we purchased approximately 577,000 shares for $122 million in January and February 2021 (average cost of $211.65). In the first quarter of 2021, we also paid $6 million to settle shares purchased in late December 2020.</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color w:val="828282"/>
        </w:rPr>
        <w:t>10. Segments</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 revised reporting structure reflects the reporting and review process used by our chief executive officer (who is our chief operating decision maker) to assess performance and allocate resources, and is consistent with how we currently manage the business and view the markets we serve. These reportable segments consist of: 1) Medicaid; 2) Medicare; 3) Marketplace; and 4) Other.</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because this is not a metric used to assess segment performance or allocate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all tables presented below, the prior period disclosures have been recast to conform to the current period segment presentation.</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8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4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5,209</w:t>
            </w:r>
          </w:p>
        </w:tc>
        <w:tc>
          <w:tcPr>
            <w:tcW w:w="120" w:type="dxa"/>
            <w:vAlign w:val="bottom"/>
          </w:tcPr>
          <w:p>
            <w:pPr>
              <w:spacing w:after="0"/>
              <w:rPr>
                <w:sz w:val="18"/>
                <w:szCs w:val="18"/>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3,611</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7,128</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1,273</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766</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2"/>
        </w:trPr>
        <w:tc>
          <w:tcPr>
            <w:tcW w:w="4800" w:type="dxa"/>
            <w:vAlign w:val="bottom"/>
          </w:tcPr>
          <w:p>
            <w:pPr>
              <w:ind w:left="480"/>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4,618</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13,322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9,167</w:t>
            </w:r>
          </w:p>
        </w:tc>
      </w:tr>
      <w:tr>
        <w:trPr>
          <w:trHeight w:val="21"/>
        </w:trPr>
        <w:tc>
          <w:tcPr>
            <w:tcW w:w="4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following table presents goodwill and intangibles assets, net by segment. For the Magellan Complete Care acquisition completed on December 31, 2020, the total purchase price was preliminarily allocated to tangible and intangible assets acquired, and liabilities assumed, based on their fair values as of the acquisition date. We expect to complete the final determination of the purchase price allocation no later than December 31, 2021, which may result in adjustments to the related goodwill and intangible assets,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60" w:type="dxa"/>
            <w:vAlign w:val="bottom"/>
          </w:tcPr>
          <w:p>
            <w:pPr>
              <w:spacing w:after="0"/>
              <w:rPr>
                <w:sz w:val="16"/>
                <w:szCs w:val="16"/>
                <w:color w:val="auto"/>
              </w:rPr>
            </w:pPr>
          </w:p>
        </w:tc>
        <w:tc>
          <w:tcPr>
            <w:tcW w:w="11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23"/>
        </w:trPr>
        <w:tc>
          <w:tcPr>
            <w:tcW w:w="8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378</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Other</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assets, net:</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ind w:right="94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800" w:type="dxa"/>
            <w:vAlign w:val="bottom"/>
          </w:tcPr>
          <w:p>
            <w:pPr>
              <w:spacing w:after="0"/>
              <w:rPr>
                <w:sz w:val="15"/>
                <w:szCs w:val="15"/>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23"/>
        </w:trPr>
        <w:tc>
          <w:tcPr>
            <w:tcW w:w="4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918</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202</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80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1,362</w:t>
            </w:r>
          </w:p>
        </w:tc>
      </w:tr>
      <w:tr>
        <w:trPr>
          <w:trHeight w:val="219"/>
        </w:trPr>
        <w:tc>
          <w:tcPr>
            <w:tcW w:w="48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16"/>
        </w:trPr>
        <w:tc>
          <w:tcPr>
            <w:tcW w:w="4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r>
      <w:tr>
        <w:trPr>
          <w:trHeight w:val="210"/>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investment income, and other revenue.</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11.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continue to be sufficient to withstand the financial impact of the pandemic, and will enable us to continue to support our operations, regulatory requirements, debt repayment obligations, and capital expenditures for the foreseeable future.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The consequences associated with violations of these laws and regulations include significant fines and penalties, exclusion from participating in publicly funded programs, and the repayment of previously collected revenues.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8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Kentucky RFP</w:t>
      </w:r>
      <w:r>
        <w:rPr>
          <w:rFonts w:ascii="Arial" w:cs="Arial" w:eastAsia="Arial" w:hAnsi="Arial"/>
          <w:sz w:val="18"/>
          <w:szCs w:val="18"/>
          <w:color w:val="auto"/>
        </w:rPr>
        <w:t>. On September 4, 2020, Anthem Kentucky Managed Care Plan, Inc. brought an action in Franklin County Circuit Court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Kentucky Finance and Administration Cabinet, the Kentucky Cabinet for Health and Family Services, and all of the five winning bidder health plans, including Molina Healthcare of Kentucky, Inc., Civil Action No. 20-CI-00719. On October 23, 2020, the Court issued a temporary injunction directing that open enrollment for 2021 proceed with six health plans, including both Molina Healthcare of Kentucky and Anthem. The new Medicaid contracts commenced on January 1, 2021. On April 28, 2021, the Court issued its preliminary Opinion and Order, which Opinion and Order the Court finalized on June 16, 2021. Under the final Order, which the Court indicated is immediately appealable by the parties, the Court, among other things, upheld the validity of the RFP award to Molina, and also upheld the validity of Molina’s acquisition of the assets of Passport in September 2020. Due to various perceived scoring irregularities, however, the Court ordered a new RFP, with the status quo of six health plans serving Kentucky Medicaid members to continue in the interim. On July 15-16, 2021, each of United, Molina, Humana, and Aetna filed notices of appeal. On July 23, 2021, both the Kentucky Finance and Administration Cabinet and the Kentucky Cabinet for Health and Family Services filed notices of cross appeal, and on July 26, 2021, Anthem filed a notice of cross appeal. This matter remains subject to potential additional legal and appellate proceedings, and no assurances can be given regarding the ultimate outcome. Under the Court’s June 16, 2021 final Order, Molina Healthcare of Kentucky will continue to operate for the foreseeable future under its current Medicaid contract and provide care to Kentucky Medicaid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right="42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1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2020 Annual Report on Form 10-K, including without limitation the following:</w:t>
      </w:r>
    </w:p>
    <w:p>
      <w:pPr>
        <w:spacing w:after="0" w:line="85"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COVID-19 pandemic and its associated or indirect effects on our business, operations, and financial results;</w:t>
      </w:r>
    </w:p>
    <w:p>
      <w:pPr>
        <w:spacing w:after="0" w:line="27" w:lineRule="exact"/>
        <w:rPr>
          <w:rFonts w:ascii="Arial" w:cs="Arial" w:eastAsia="Arial" w:hAnsi="Arial"/>
          <w:sz w:val="18"/>
          <w:szCs w:val="18"/>
          <w:i w:val="1"/>
          <w:iCs w:val="1"/>
          <w:color w:val="auto"/>
        </w:rPr>
      </w:pPr>
    </w:p>
    <w:p>
      <w:pPr>
        <w:ind w:left="340" w:right="18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incidental to the COVID-19 pandemic and their efforts to reduce rates or limit rate increases, to impose profit caps or risk corridors, or to recoup previously paid premium amounts on a retroactive basis;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w:t>
      </w:r>
    </w:p>
    <w:p>
      <w:pPr>
        <w:spacing w:after="0" w:line="9" w:lineRule="exact"/>
        <w:rPr>
          <w:rFonts w:ascii="Arial" w:cs="Arial" w:eastAsia="Arial" w:hAnsi="Arial"/>
          <w:sz w:val="18"/>
          <w:szCs w:val="18"/>
          <w:i w:val="1"/>
          <w:iCs w:val="1"/>
          <w:color w:val="auto"/>
        </w:rPr>
      </w:pPr>
    </w:p>
    <w:p>
      <w:pPr>
        <w:ind w:left="340" w:right="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issues impacting enrollment, risk adjustment estimates and results, the potential for disproportionate enrollment of higher acuity members, and the discontinuation of premium tax credits;</w:t>
      </w:r>
    </w:p>
    <w:p>
      <w:pPr>
        <w:ind w:left="340" w:right="66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legal proceedings in Kentucky with regard to the Medicaid contract award to our Kentucky health plan and our acquisition of certain assets of Passport;</w:t>
      </w:r>
    </w:p>
    <w:p>
      <w:pPr>
        <w:ind w:left="340" w:right="36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bid submissions in response to requests for proposal, including our contracts in California and Texas;</w:t>
      </w:r>
    </w:p>
    <w:p>
      <w:pPr>
        <w:ind w:left="340" w:right="18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consummate, integrate, and realize benefits from acquisitions, including the completed acquisitions of Magellan Complete Care and Passport, and announced acquisitions of Affinity and of the Medicaid assets of Cigna in Texas;</w:t>
      </w: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COVID-19;</w:t>
      </w:r>
    </w:p>
    <w:p>
      <w:pPr>
        <w:spacing w:after="0" w:line="9" w:lineRule="exact"/>
        <w:rPr>
          <w:rFonts w:ascii="Arial" w:cs="Arial" w:eastAsia="Arial" w:hAnsi="Arial"/>
          <w:sz w:val="18"/>
          <w:szCs w:val="18"/>
          <w:i w:val="1"/>
          <w:iCs w:val="1"/>
          <w:color w:val="auto"/>
        </w:rPr>
      </w:pPr>
    </w:p>
    <w:p>
      <w:pPr>
        <w:ind w:left="340" w:right="50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information;</w:t>
      </w:r>
    </w:p>
    <w:p>
      <w:pPr>
        <w:ind w:left="340" w:right="1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180" w:hanging="332"/>
        <w:spacing w:after="0" w:line="261"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340" w:right="40" w:hanging="332"/>
        <w:spacing w:after="0" w:line="26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34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Medicare-Medicaid Plan (“MMP”) programs in California, Illinois, Michigan, Ohio, South Carolina, and Texas;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i w:val="1"/>
          <w:iCs w:val="1"/>
          <w:color w:val="auto"/>
        </w:rPr>
      </w:pPr>
    </w:p>
    <w:p>
      <w:pPr>
        <w:ind w:left="340" w:right="54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ind w:left="340" w:right="32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exit from Puerto Rico, including the payment in full of our outstanding accounts receivable, the effective run-out of claims, and the return of our capital;</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favorable resolution of litigation, arbitration, or administrative proceedings;</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comply with the financial or other covenants in the Credit Agreement or the indentures governing our outstanding notes;</w:t>
      </w:r>
    </w:p>
    <w:p>
      <w:pPr>
        <w:spacing w:after="0" w:line="9" w:lineRule="exact"/>
        <w:rPr>
          <w:rFonts w:ascii="Arial" w:cs="Arial" w:eastAsia="Arial" w:hAnsi="Arial"/>
          <w:sz w:val="18"/>
          <w:szCs w:val="18"/>
          <w:i w:val="1"/>
          <w:iCs w:val="1"/>
          <w:color w:val="auto"/>
        </w:rPr>
      </w:pPr>
    </w:p>
    <w:p>
      <w:pPr>
        <w:ind w:left="340" w:right="62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Readers should refer to the section entitled “Risk Factors” in our 2020 Annual Report on Form 10-K,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1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We served approximately 4.7 million members as of June 30, 2021.</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SECOND QUARTER 2021 HIGHLIGHTS</w:t>
      </w:r>
    </w:p>
    <w:p>
      <w:pPr>
        <w:spacing w:after="0" w:line="11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reported net income per diluted share of $3.16 for the second quarter of 2021, with net income of $185 million, which reflected the following:</w:t>
      </w:r>
    </w:p>
    <w:p>
      <w:pPr>
        <w:spacing w:after="0" w:line="90" w:lineRule="exact"/>
        <w:rPr>
          <w:sz w:val="20"/>
          <w:szCs w:val="20"/>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Membership increase of 1.1 million, or 32%, compared with June 30, 2020, and a 91,000 sequential increase compared to March 31, 2021;</w:t>
      </w:r>
    </w:p>
    <w:p>
      <w:pPr>
        <w:ind w:left="660" w:right="14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Premium revenue of $6.6 billion, which increased 51% compared with the second quarter of 2020, reflecting increased membership in Medicaid and Medicare, consistent with our expectations, and exceeding our expectations in Marketplace;</w:t>
      </w:r>
    </w:p>
    <w:p>
      <w:pPr>
        <w:ind w:left="660" w:right="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medical care ratio (“MCR”) was 88.4%, compared with 82.3% for the second quarter of 2020, and increased due to the net effect of COVID, which increased the MCR in the second quarter, but decreased the MCR in the prior year and was higher than our expectations;</w:t>
      </w:r>
    </w:p>
    <w:p>
      <w:pPr>
        <w:spacing w:after="0" w:line="1" w:lineRule="exact"/>
        <w:rPr>
          <w:rFonts w:ascii="Arial" w:cs="Arial" w:eastAsia="Arial" w:hAnsi="Arial"/>
          <w:sz w:val="18"/>
          <w:szCs w:val="18"/>
          <w:color w:val="auto"/>
        </w:rPr>
      </w:pPr>
    </w:p>
    <w:p>
      <w:pPr>
        <w:ind w:left="660" w:right="240" w:hanging="328"/>
        <w:spacing w:after="0" w:line="265"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and administrative expense (“G&amp;A”) ratio of 7.1%, which decreased compared with 7.5% in the second quarter of 2020, reflecting continued discipline in cost management, which enabled us to harvest the benefits of scale produced by our growth;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After-tax margin of 2.7%, which met our expectations.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note the following factors impacting the 2021 second quarter financial results:</w:t>
      </w:r>
    </w:p>
    <w:p>
      <w:pPr>
        <w:spacing w:after="0" w:line="117" w:lineRule="exact"/>
        <w:rPr>
          <w:sz w:val="20"/>
          <w:szCs w:val="20"/>
          <w:color w:val="auto"/>
        </w:rPr>
      </w:pPr>
    </w:p>
    <w:p>
      <w:pPr>
        <w:ind w:left="660" w:right="2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estimate that the net effect of COVID decreased net income by approximately $1.00 per diluted share in the second quarter of 2021, compared to an increase of approximately $1.10 to $1.65 per diluted share in the second quarter of 2020.</w:t>
      </w:r>
    </w:p>
    <w:p>
      <w:pPr>
        <w:ind w:left="660" w:right="4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effect of COVID reflects higher COVID inpatient costs, lower COVID-related utilization curtailment and the impact of the COVID risk-sharing corridors, and impacted all our segments.</w:t>
      </w:r>
    </w:p>
    <w:p>
      <w:pPr>
        <w:ind w:left="66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experienced higher than expected membership increases in Marketplace, due to strong open enrollment. This improvement resulted from several factors, including strong product design and competitive pricing, better than expected natural attrition rates, and the extended open enrollment period, as described in further detail below in “Trends and Uncertainties.”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FINANCIAL SUMMARY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3400" w:type="dxa"/>
            <w:vAlign w:val="bottom"/>
            <w:gridSpan w:val="6"/>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940" w:type="dxa"/>
            <w:vAlign w:val="bottom"/>
            <w:gridSpan w:val="4"/>
          </w:tcPr>
          <w:p>
            <w:pPr>
              <w:jc w:val="right"/>
              <w:ind w:right="639"/>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5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50"/>
        </w:trPr>
        <w:tc>
          <w:tcPr>
            <w:tcW w:w="4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5"/>
          </w:tcPr>
          <w:p>
            <w:pPr>
              <w:ind w:left="10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9"/>
              </w:rPr>
              <w:t>6,583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12,889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8,676</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5,819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3,598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11,293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7,314</w:t>
            </w: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1,596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1,362</w:t>
            </w:r>
          </w:p>
        </w:tc>
      </w:tr>
      <w:tr>
        <w:trPr>
          <w:trHeight w:val="216"/>
        </w:trPr>
        <w:tc>
          <w:tcPr>
            <w:tcW w:w="452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MCR </w:t>
            </w:r>
            <w:r>
              <w:rPr>
                <w:rFonts w:ascii="Arial" w:cs="Arial" w:eastAsia="Arial" w:hAnsi="Arial"/>
                <w:sz w:val="21"/>
                <w:szCs w:val="21"/>
                <w:i w:val="1"/>
                <w:iCs w:val="1"/>
                <w:color w:val="auto"/>
                <w:vertAlign w:val="superscript"/>
              </w:rPr>
              <w:t>(1)</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88.4 %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82.3 %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i w:val="1"/>
                <w:iCs w:val="1"/>
                <w:color w:val="auto"/>
              </w:rPr>
              <w:t>87.6 %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84.3 %</w:t>
            </w:r>
          </w:p>
        </w:tc>
      </w:tr>
      <w:tr>
        <w:trPr>
          <w:trHeight w:val="216"/>
        </w:trPr>
        <w:tc>
          <w:tcPr>
            <w:tcW w:w="4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Health insurer fees reimbursed</w:t>
            </w:r>
          </w:p>
        </w:tc>
        <w:tc>
          <w:tcPr>
            <w:tcW w:w="96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137</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w:t>
            </w:r>
          </w:p>
        </w:tc>
      </w:tr>
      <w:tr>
        <w:trPr>
          <w:trHeight w:val="219"/>
        </w:trPr>
        <w:tc>
          <w:tcPr>
            <w:tcW w:w="4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662</w:t>
            </w:r>
          </w:p>
        </w:tc>
      </w:tr>
      <w:tr>
        <w:trPr>
          <w:trHeight w:val="219"/>
        </w:trPr>
        <w:tc>
          <w:tcPr>
            <w:tcW w:w="45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7.5 %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7.2 %</w:t>
            </w:r>
          </w:p>
        </w:tc>
      </w:tr>
      <w:tr>
        <w:trPr>
          <w:trHeight w:val="216"/>
        </w:trPr>
        <w:tc>
          <w:tcPr>
            <w:tcW w:w="4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expenses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Health insurer fees</w:t>
            </w:r>
          </w:p>
        </w:tc>
        <w:tc>
          <w:tcPr>
            <w:tcW w:w="96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139</w:t>
            </w: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698</w:t>
            </w:r>
          </w:p>
        </w:tc>
      </w:tr>
      <w:tr>
        <w:trPr>
          <w:trHeight w:val="209"/>
        </w:trPr>
        <w:tc>
          <w:tcPr>
            <w:tcW w:w="45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45</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r>
      <w:tr>
        <w:trPr>
          <w:trHeight w:val="210"/>
        </w:trPr>
        <w:tc>
          <w:tcPr>
            <w:tcW w:w="452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648</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194</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454</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Net income per share - Diluted</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7.54</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6"/>
        </w:trPr>
        <w:tc>
          <w:tcPr>
            <w:tcW w:w="452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60.2</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5"/>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membership</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24.7 %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29.9 %</w:t>
            </w:r>
          </w:p>
        </w:tc>
      </w:tr>
      <w:tr>
        <w:trPr>
          <w:trHeight w:val="219"/>
        </w:trPr>
        <w:tc>
          <w:tcPr>
            <w:tcW w:w="45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6"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income in the second quarter of 2021 amounted to $185 million, or $3.16 per diluted share, compared with $ 276 million, or $4.65 per diluted share, in the second quarter of 2020. We estimate that the net effect of COVID decreased net income by approximately $1.00 per diluted share in the second quarter of 2021, compared to an increase of approximately $1.10 to $1.65 per diluted share in the second quarter of 2020.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of $273 million in the second quarter of 2021, was lower compared with $424 million in the second quarter of 2020.</w:t>
      </w:r>
    </w:p>
    <w:p>
      <w:pPr>
        <w:spacing w:after="0" w:line="11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Net income in the six months ended June 30, 2021 amounted to $413 million, or $7.05 per diluted share, compared with $454 million, or $7.54 per diluted share, in the six months ended June 30, 2020. Operating income of $608</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Molina Healthcare, Inc. June 30, 2021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million in the six months ended June 30, 2021, was lower compared with $698 million in the six months ended June 30, 2020.</w:t>
      </w:r>
    </w:p>
    <w:p>
      <w:pPr>
        <w:spacing w:after="0" w:line="11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decrease in operating income for both periods was mainly due to the increase in our Medicaid, Medicare, and Marketplace MCRs, due primarily to the net effect of COVID, partially offset by membership growth and higher premium revenues in Medicaid and Marketplace.</w:t>
      </w:r>
    </w:p>
    <w:p>
      <w:pPr>
        <w:spacing w:after="0" w:line="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second quarter of 2020 was the first full quarter of the COVID-19 pandemic, so the year-over-year comparison with 2021 is distorted by the significant positive net effect of COVID that characterized that phase of the pandemic.</w:t>
      </w:r>
    </w:p>
    <w:p>
      <w:pPr>
        <w:spacing w:after="0" w:line="90" w:lineRule="exact"/>
        <w:rPr>
          <w:sz w:val="20"/>
          <w:szCs w:val="20"/>
          <w:color w:val="auto"/>
        </w:rPr>
      </w:pPr>
    </w:p>
    <w:p>
      <w:pPr>
        <w:jc w:val="both"/>
        <w:ind w:right="580"/>
        <w:spacing w:after="0" w:line="256" w:lineRule="auto"/>
        <w:rPr>
          <w:sz w:val="20"/>
          <w:szCs w:val="20"/>
          <w:color w:val="auto"/>
        </w:rPr>
      </w:pPr>
      <w:r>
        <w:rPr>
          <w:rFonts w:ascii="Arial" w:cs="Arial" w:eastAsia="Arial" w:hAnsi="Arial"/>
          <w:sz w:val="18"/>
          <w:szCs w:val="18"/>
          <w:color w:val="auto"/>
        </w:rPr>
        <w:t>Net income per share in the second quarter and six months ended June 30, 2021 was favorably impacted by the reduction in common shares outstanding as a result of our share repurchases in late 2020 and early 2021. See further discussion in “Liquidity and Financial Condition,” below.</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Premium revenue increased $2.2 billion, or 51%, in the second quarter of 2021, when compared with the second quarter of 2020, and increased $4.2 billion, or 49%, in the six months ended June 30, 2021, when compared with the six months ended June 30, 2020.</w:t>
      </w:r>
    </w:p>
    <w:p>
      <w:pPr>
        <w:spacing w:after="0" w:line="90" w:lineRule="exact"/>
        <w:rPr>
          <w:sz w:val="20"/>
          <w:szCs w:val="20"/>
          <w:color w:val="auto"/>
        </w:rPr>
      </w:pPr>
    </w:p>
    <w:p>
      <w:pPr>
        <w:jc w:val="both"/>
        <w:ind w:right="500"/>
        <w:spacing w:after="0" w:line="254" w:lineRule="auto"/>
        <w:rPr>
          <w:sz w:val="20"/>
          <w:szCs w:val="20"/>
          <w:color w:val="auto"/>
        </w:rPr>
      </w:pPr>
      <w:r>
        <w:rPr>
          <w:rFonts w:ascii="Arial" w:cs="Arial" w:eastAsia="Arial" w:hAnsi="Arial"/>
          <w:sz w:val="18"/>
          <w:szCs w:val="18"/>
          <w:color w:val="auto"/>
        </w:rPr>
        <w:t>Membership increased by 1.1 million compared with June 30, 2020, which mainly reflected increases in the Medicaid and Marketplace segments and included the impact from the Magellan Complete Care and other acquisitions that closed in the second half of 2020. The increase in premium revenue was net of COVID-related risk corridors that have been enacted in several states beginning in the second quarter of 2020.</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consolidated MCR in the second quarter of 2021 was 88.4%, compared with 82.3% in the second quarter of 2020. The net effect of COVID increased the consolidated MCR by approximately 110 basis points, and reflects higher COVID inpatient costs, lower COVID-related utilization curtailment and the impact of the risk-sharing corridors, and impacted all our segments. In the prior year the net effect of COVID decreased the consolidated MCR by approximately 350 basis points, at the mid-point of the prior year range.</w:t>
      </w:r>
    </w:p>
    <w:p>
      <w:pPr>
        <w:spacing w:after="0" w:line="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consolidated MCR in the six months ended June 30, 2021 was 87.6%, compared with 84.3% in the six months ended June 30, 2020. Similar to the quarter-to-date consolidated MCR, the increase is due to the net effect of COVID; however, the impacts were varied by segment.</w:t>
      </w:r>
    </w:p>
    <w:p>
      <w:pPr>
        <w:spacing w:after="0" w:line="9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prior year reserve development in the second quarter and six months ended June 30, 2021 was modestly favorable, but its impact on earnings was mostly absorbed by the COVID-related risk corridors.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11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2.7% and 3.5% for the second quarter of 2021 and 2020, respectively, and 2.8% and 3.4% for the six months ended June 30, 2021 and 2020, respectively. The current year ratio decrease was mainly due to changes in business mix resulting from the Magellan Complete Care and other acquisitions closed in the second half of 2020.</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Investment income decreased to $ 10 million in the second quarter of 2021, compared with $ 13 million in the second quarter of 2020, and decreased to $ 19 million in the six months ended June 30, 2021, compared with $38 million in the six months ended June 30, 2020. The year-over-year decrease was due to the continued low interest rate environment and a temporarily higher allocation in shorter-term invested assets during the COVID-19 pandemic, which was rescinded effective for the second quarter of 2021.</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OTHER REVENUE</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Other revenue increased to $22 million in the second quarter of 2021, compared with $5 million in the second quarter of 2020, and increased to $42 million in the six months ended June 30, 2021, compared with $9 million in the six months ended June 30, 2020. Beginning in the first quarter of 2021, other revenue includes service revenue associated with the long-term services and supports consultative services we now provide in Wisconsin, as a result of our Magellan Complete Care acquisition. Such service revenue amounted to $18 million and $35 million in the second quarter of 2021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G&amp;A EXPENSES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G&amp;A expense ratio decreased to 7.1% in the second quarter of 2021, compared with 7.5% in the second quarter of 2020, due mainly to increased revenues and disciplined cost management. The G&amp;A expense ratio was 7.2% in the six months ended June 30, 2021, consistent with the six months ended June 30, 2020, and reflects increased integration and other costs associated with the Magellan Complete Care and other acquisitions that closed in the second half of 2020, offset by the impact of increased revenues.</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HIF fees incurred or reimbursed in 2021, because the HIF was repealed effective for years after 2020.</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DEPRECIATION AND AMORTIZATION</w:t>
      </w:r>
    </w:p>
    <w:p>
      <w:pPr>
        <w:spacing w:after="0" w:line="11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Depreciation and amortization increased to $31 million in the second quarter of 2021, compared with $21 million in the second quarter of 2020, and increased to $64 million in the six months ended June 30, 2021, compared with $41 million in the six months ended June 30, 2020. The increases in both periods were due primarily to amortization associated with acquisitions completed in the second half of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to Consolidated Financial Statements, Note 10, “Segments,” for further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OTHER OPERATING EXPENSES</w:t>
      </w:r>
    </w:p>
    <w:p>
      <w:pPr>
        <w:spacing w:after="0" w:line="115"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Other operating expenses increased to $8 million in the second quarter of 2021, compared with $2 million in the second quarter of 2020, and increased to $28 million in the six months ended June 30, 2021, compared with $6 million in the six months ended June 30, 2020. Beginning in the first quarter of 2021, other operating expenses include service costs associated with the long-term services and supports consultative services we now provide in Wisconsin, as noted above. Such service costs amounted to $15 million and $28 million in the second quarter of 2021 and six months ended June 30, 2021,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Interest expense increased to $30 million in the second quarter of 2021, compared with $24 million in the second quarter of 2020, and to $60 million in the six months ended June 30, 2021, compared with $45 million in the six months ended June 30, 2020, mainly due to the $650 million principal amount of 3.875% Notes issued in the fourth quarter of 2020.</w:t>
      </w:r>
    </w:p>
    <w:p>
      <w:pPr>
        <w:spacing w:after="0" w:line="9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See further details of our financing transactions in Notes to Consolidated Financial Statements, Note 8, “Debt,” and below in “Liquidity and Financial Condition.”</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Income tax expense amounted to $58 million in the second quarter of 2021, or 24.2% of pretax income, compared with income tax expense of $119 million, or 30.0% of pretax income in the second quarter of 2020. Income tax expense amounted to $135 million in the six months ended June 30, 2021, or 24.7% of pretax income, compared with income tax expense of $194 million, or 29.9% of pretax income in the six months ended June 30, 2020. The effective tax rate is lower in 2021 mainly because the nondeductible HIF was repealed for years after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TRENDS AND UNCERTAINTIES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COVID-19 PANDEMIC</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the COVID-19 pandemic continues to evolve, its ongoing impact to our business, results of operations, financial condition, and cash flows is uncertain and difficult to predict. Specific trends and uncertainties related to our Medicaid, Medicare, and Marketplace segments follow.</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In addition to various programs enacted in 2020 and described in our 2020 Annual Report on Form 10-K, the $1.9 trillion </w:t>
      </w:r>
      <w:r>
        <w:rPr>
          <w:rFonts w:ascii="Arial" w:cs="Arial" w:eastAsia="Arial" w:hAnsi="Arial"/>
          <w:sz w:val="18"/>
          <w:szCs w:val="18"/>
          <w:i w:val="1"/>
          <w:iCs w:val="1"/>
          <w:color w:val="auto"/>
        </w:rPr>
        <w:t>American Rescue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 Act of 2021 </w:t>
      </w:r>
      <w:r>
        <w:rPr>
          <w:rFonts w:ascii="Arial" w:cs="Arial" w:eastAsia="Arial" w:hAnsi="Arial"/>
          <w:sz w:val="18"/>
          <w:szCs w:val="18"/>
          <w:color w:val="auto"/>
        </w:rPr>
        <w:t>was enacted on March 11, 2021. This legislation includes several components to assist in COVID-19 vaccine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as well as provisions relating to the opening of schools; direct immediate relief to working families; and additional support for communities struggling in the wake of the pandemic. Among its specific provisions:</w:t>
      </w:r>
    </w:p>
    <w:p>
      <w:pPr>
        <w:spacing w:after="0" w:line="9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$350 billion in state and local funding;</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Funding for Medicaid and CHIP COVID-19 vaccines and treatment to be matched at 100% of the federal medical assistance percentage (“FMAP”);</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Incentives for states that have not expanded Medicaid to do 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flexibility to extend Medicaid eligibility to women for 12 months postpartum;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temporary 10% FMAP increase for states to improve Medicaid home- and community-based services for one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to the ACA Marketplace premium subsidies for 2021 and 2022.</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the Biden Administration has extended the COVID-19 related Public Health Emergency Declaration (“PHE”). The Biden Administration has indicated the PHE will likely remain in place throughout 2021, and that states will receive 60 days’ notice before the end of the PHE to prepare for the end of emergency authorities and the resumption of pre-PHE rules. This extension of the PHE will continue the suspension in state Medicaid eligibility redeterminations.</w:t>
      </w:r>
    </w:p>
    <w:p>
      <w:pPr>
        <w:spacing w:after="0" w:line="9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Also, President Biden’s January 2021 executive order providing for a three-month Marketplace special enrollment period from February 15, 2021, to May 15, 2021, was extended through August 15, 2021.</w:t>
      </w:r>
    </w:p>
    <w:p>
      <w:pPr>
        <w:spacing w:after="0" w:line="90"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Due to the uncertainty as to the duration and breadth of the pandemic, we are unable to reasonably estimate the ultimate impact of the economic stabilization and other programs to our business, financial condition, and operating results.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Excluding acquisitions and our exit from Puerto Rico, we have added over 600,000 new Medicaid 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through the end of 2021. We estimate that for each month the PHE is extended, it could increase our full-year revenue estimate by $150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 growth is now expected to be over 70% in 2021, and we expect to end 2021 with approximately 590,000 members.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current rate environment is stable and rational. We continue to believe that the risk-sharing corridors previously introduced are related to the declared PHE and will likely be eliminated as the COVID pandemic subsides. However, the risk corridors continue to contribute an added level of variability to our results of operations. In the second quarter and the six months ended June 30, 2021, we recognized approximately $56 million and $166 million, respectively, for the impact of risk corridors enacted in several states beginning in the second quarter of 2020, in response to the lower utilization of medical services resulting from COVID-19.</w:t>
      </w:r>
    </w:p>
    <w:p>
      <w:pPr>
        <w:spacing w:after="0" w:line="9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It is possible that certain states could increase the level of existing risk corridors, and other states could implement some form of risk corridors in the future.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Care Costs</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expect continued uncertainty regarding utilization trends as the pandemic continues. The speed and extent to which utilization rebounds will be greatly impacted by the economy and consumer behavior, provider capacity, and the potential resurgence of COVID-19 infection rates. We believe that some portion of the utilization curtailment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experienced in the six months ended June 30, 2021 is likely the result of service deferrals, and so these services will likely be provided to members over the remainder of the year.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and Financial Resources</w:t>
      </w:r>
    </w:p>
    <w:p>
      <w:pPr>
        <w:spacing w:after="0" w:line="11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continue to be sufficient to withstand the financial impact of the pandemic, and will enable us to continue to support our operations, regulatory requirements, debt repayment obligations, and capital expenditures for the foreseeable future. Refer to “Liquidity and Financial Condition” below for further discussion of our capital and financial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color w:val="828282"/>
        </w:rPr>
        <w:t>AFFORDABLE CARE ACT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December 2018, in a case brought by the state of Texas and nineteen other states, a federal judge in Texas held that the individual mandate of the ACA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 is unconstitutional, but remanded the case back to the District Court for further consideration of the severability issue. The intervenor defendant states led by California subsequently appealed the case to the U.S. Supreme Court, which heard oral arguments in the case on November 10, 2020. In June 2021, the Supreme Court held in a 7-2 opinion that the states and individuals that brought the lawsuit challenging the ACA’s individual mandate did not have standing to challenge the law. Although the Supreme Court did not reach the merits of the challenge, it vacated the District Court’s judgment and remanded the case with instructions to dismiss—effectively ending the case.</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color w:val="828282"/>
        </w:rPr>
        <w:t>OTHER RECENT DEVELOPMENTS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The state currently expects a final RFP to be released at the end of 2021.</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April 22, 2021, we announced a definitive agreement to acquire Cigna Corporation’s Texas</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w:t>
      </w:r>
    </w:p>
    <w:p>
      <w:pPr>
        <w:spacing w:after="0" w:line="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$1.0 billion. The purchase price for the transaction is approximately $60 million, which we intend to fund with cash on hand. The transaction is subject to receipt of applicable federal and state regulatory approvals and satisfaction of other customary closing conditions. We currently expect the transaction to close in January 2022.</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Ohio Procurement—Medicaid. </w:t>
      </w:r>
      <w:r>
        <w:rPr>
          <w:rFonts w:ascii="Arial" w:cs="Arial" w:eastAsia="Arial" w:hAnsi="Arial"/>
          <w:sz w:val="18"/>
          <w:szCs w:val="18"/>
          <w:color w:val="auto"/>
        </w:rPr>
        <w:t>On April 13, 2021, we announced that our Ohio health plan subsidiary was selected as an awardee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across the state pursuant to the Medicaid managed care request for award issued on September 30, 2020, by the Ohio Department of Medicaid. This new contract is expected to begin in early 2022, and will offer health care coverage to Medicaid beneficiaries through the state of Ohio’s Covered Family and Children, Expansion, and ABD programs.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2020 Annual Report on Form 10-K, “Item 1. Business—Our Business,” and “—Legislative and Political Environment.”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14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June 30, 2021, we served approximately 4.7 million members eligible for Medicaid, Medicare, and other government-sponsored healthcare programs for low-income families and individuals, including Marketplace members, most of whom receive government premium subsidies.</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These reportable segments consist of: 1) Medicaid; 2) Medicare; 3) Marketplace; and 4) Other.</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1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10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10, “Segments.”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SEGMENT MEMBERSHIP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54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r>
      <w:tr>
        <w:trPr>
          <w:trHeight w:val="189"/>
        </w:trPr>
        <w:tc>
          <w:tcPr>
            <w:tcW w:w="6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22"/>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3,928,000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3,599,000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3,122,000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130,000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115,000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108,000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325,000</w:t>
            </w:r>
          </w:p>
        </w:tc>
      </w:tr>
      <w:tr>
        <w:trPr>
          <w:trHeight w:val="212"/>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4,696,000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4,032,000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3,555,000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57" w:lineRule="exact"/>
        <w:rPr>
          <w:sz w:val="20"/>
          <w:szCs w:val="20"/>
          <w:color w:val="auto"/>
        </w:rPr>
      </w:pPr>
    </w:p>
    <w:p>
      <w:pPr>
        <w:ind w:left="340" w:right="400" w:hanging="332"/>
        <w:spacing w:after="0" w:line="260" w:lineRule="auto"/>
        <w:tabs>
          <w:tab w:leader="none" w:pos="338" w:val="left"/>
        </w:tabs>
        <w:numPr>
          <w:ilvl w:val="0"/>
          <w:numId w:val="12"/>
        </w:numPr>
        <w:rPr>
          <w:rFonts w:ascii="Arial" w:cs="Arial" w:eastAsia="Arial" w:hAnsi="Arial"/>
          <w:sz w:val="15"/>
          <w:szCs w:val="15"/>
          <w:color w:val="auto"/>
        </w:rPr>
      </w:pPr>
      <w:r>
        <w:rPr>
          <w:rFonts w:ascii="Arial" w:cs="Arial" w:eastAsia="Arial" w:hAnsi="Arial"/>
          <w:sz w:val="15"/>
          <w:szCs w:val="15"/>
          <w:color w:val="auto"/>
        </w:rPr>
        <w:t>Approximately 200,000 members, from the Magellan Complete Care acquisition that closed on December 31, 2020, are included in the totals as of June 30, 2021, but not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SEGMENT FINANCIAL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premium revenue, medical margin, and MCR by segment for the periods indicated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4"/>
                <w:szCs w:val="14"/>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5"/>
        </w:trPr>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89.0 %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553</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83.6 %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125</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96</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6,583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88.4 %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4,372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774</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82.3 %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4"/>
                <w:szCs w:val="14"/>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88.3 %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918</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86.2 %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242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87.6 %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8,676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84.3 %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Medicaid premium revenue increased $1,659 million in the second quarter of 2021, when compared with the second quarter of 2020. Medicaid premium revenue increased $3,213 million in the six months ended June 30, 2021, when compared with the six months ended June 30, 2020. The increase in both periods was mainly due to membership growth and the impact from the Magellan Complete Care and other acquisitions closed in the second half of 2020. Excluding the acquisitions, the membership growth was across several states and was mainly driven by the extension of the PHE period and the associated suspension of membership redeterminations due to COVID-19. The overall increase was partially offset by the impact of state risk corridors stemming from COVID-19.</w:t>
      </w:r>
    </w:p>
    <w:p>
      <w:pPr>
        <w:spacing w:after="0" w:line="10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described above in “Trends and Uncertainties,” we recognized approximately $56 million and $166 million in the second quarter and six months ended June 30, 2021, respectively, for the impact of risk corridors enacted in several states beginning in the second quarter of 2020, in response to the lower utilization of medical services resulting from COVID-19.</w:t>
      </w:r>
    </w:p>
    <w:p>
      <w:pPr>
        <w:spacing w:after="0" w:line="9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medical margin in our Medicaid program decreased $2 million in the second quarter of 2021 when compared with the second quarter of 2020. The decrease in margin was driven by the MCR increase discussed below, partially offset by increased premium revenues. The medical margin in our Medicaid program increased $237 million in the six months ended June 30, 2021 when compared with the six months ended June 30, 2020. The increase was driven by increased premium revenues and margin associated with the membership growth discussed above, partially offset by the MCR increase discussed below.</w:t>
      </w:r>
    </w:p>
    <w:p>
      <w:pPr>
        <w:spacing w:after="0" w:line="9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total Medicaid MCR increased to 89.0% in the second quarter of 2021, from 83.6% in the second quarter of 2020. The total Medicaid MCR increased to 88.3% in the six months ended June 30, 2021, from 86.2% in the six months ended June 30, 2020. The net effect of COVID increased the MCR for the current year and reflects an increase in COVID-related inpatient costs, lower COVID-related utilization curtailment and the impact of the COVID-related risk corridors enacted in several states as previously disclosed. In the prior year the net effect of COVID decreased the MCR.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Medicare premium revenue increased $184 million in the second quarter of 2021 compared to the second quarter of 2020 and increased $349 million in the six months ended June 30, 2021 compared to the six months ended June 30, 2020, primarily due to the impact from the Magellan Complete Care acquisition, including higher membership and higher premium revenue PMPM. The increase was partially offset by risk corridors, mainly in MMP, enacted in response to the lower utilization of medical services stemming from COVID-19.</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medical margin for Medicare decreased $24 million in the second quarter of 2021 and decreased $64 million in the six months ended June 30, 2021, when compared with the second quarter and six months ended June 30, 2020, mainly due to an increase in the MCR, partially offset by the increase in revenues.</w:t>
      </w:r>
    </w:p>
    <w:p>
      <w:pPr>
        <w:spacing w:after="0" w:line="9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Medicare MCR increased to 87.6% in the second quarter of 2021, from 80.0% in the second quarter of 2020. The Medicare MCR increased to 89.0% in the six months ended June 30, 2021, from 80.8% in the six months ended June 30, 2020. The increase for both periods in 2021 was primarily driven by the net effect of COVID, including higher direct COVID medical costs, and the temporary industry-wide challenge of risk scores that do not fully reflect the acuity of our membership. COVID-related utilization curtailment drove a lower MCR for the 2020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Marketplace premium revenue increased $368 million in the second quarter of 2021 compared to the second quarter of 2020 and increased $651 million in the six months ended June 30, 2021 compared to the six months ended June 30, 2020. The increase was mainly due to higher membership, partially offset by a decrease in premium revenue PMPM. Our Marketplace membership as of June 30, 2021, amounted to 638,000 members, representing growth of 18,000 members sequentially, and substantially exceeding our expectation. This improvement resulted from several factors, including strong product design and competitive pricing, better than expected natural attrition rates, and the extended open enrollment period. The decrease in premium revenue PMPM was mainly driven by changes in business mix, with an increase of members in the bronze metal tier.</w:t>
      </w:r>
    </w:p>
    <w:p>
      <w:pPr>
        <w:spacing w:after="0" w:line="9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Marketplace medical margin increased $16 million in the second quarter of 2021, when compared with the second quarter of 2020 and increased $61 million in the six months ended June 30, 2021, when compared with the six months ended June 30, 2020, primarily due to the increase in membership and premiums, partially offset by an increase in the MCR compared to 2020.</w:t>
      </w:r>
    </w:p>
    <w:p>
      <w:pPr>
        <w:spacing w:after="0" w:line="9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Marketplace MCR increased to 84.8% in the second quarter of 2021, from 74.0% in the second quarter of 2020. The Marketplace MCR increased to 81.2% in the six months ended June 30, 2021, from 73.1% in the six months ended June 30, 2020. The increase for both periods resulted mainly from higher direct COVID medical costs, due to continued COVID utilization pressure in many of our Marketplace geographies. Additionally, the year-over-year comparisons are impacted by COVID-related utilization curtailment that drove a lower MCR for the 2020 periods.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Other segment includes service revenues and costs associated with the long-term services and supports consultative services we now provide in Wisconsin, and also includes certain corporate amounts not allocated to the Medicaid, Medicare, or Marketplace segments. Such amounts were immaterial to our consolidated results of operations for the second quarter and six months ended June 30, 2021 and 2020, respectively.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In the first half of 2021, we did not experience noticeable delays to, or changes in, the timing or level of premium receipts as a result of the COVID-19 pandemic, but there can be no assurances that we will not experience such delays in the future. See further discussion below in “Future Sources and Uses of Liquidity—Future Uses—</w:t>
      </w: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 general corporate purposes. In the second quarter and six months ended June 30, 2021, the parent company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received $145 million and $219 million, respectively, in dividends and return of capital from the regulated health plan subsidiaries. See further discussion of dividends below in “Future Sources and Uses of Liquidity—Future Sources.”</w:t>
      </w:r>
    </w:p>
    <w:p>
      <w:pPr>
        <w:spacing w:after="0" w:line="63"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parent company may also contribute capital to the regulated health plan subsidiaries to satisfy minimum statutory net worth requirements, including funding for newer health plans. In the second quarter and six months ended June 30, 2021, the parent company contributed capital of $35 million and $87 million, respectively, to the regulated health plan subsidiaries.</w:t>
      </w:r>
    </w:p>
    <w:p>
      <w:pPr>
        <w:spacing w:after="0" w:line="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Cash, cash equivalents and investments at the parent company amounted to $564 million and $644 million as of June 30, 2021, and December 31, 2020, respectively. The decrease as of June 30, 2021, was mainly due to our share repurchase program. In the first quarter of 2021, we purchased an aggregate of approximately 577,000 shares for $122 million, and we also paid $6 million to settle shares purchased in late December 2020.</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AA. Our investment policy has directives in conjunction with state guidelines to minimize risks and exposures in volatile markets. Additionally, our portfolio managers assist us in navigating the current volatility in the capital markets.</w:t>
      </w:r>
    </w:p>
    <w:p>
      <w:pPr>
        <w:spacing w:after="0" w:line="6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center"/>
              <w:ind w:left="681"/>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center"/>
              <w:ind w:left="661"/>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61"/>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157"/>
        </w:trPr>
        <w:tc>
          <w:tcPr>
            <w:tcW w:w="6680" w:type="dxa"/>
            <w:vAlign w:val="bottom"/>
          </w:tcPr>
          <w:p>
            <w:pPr>
              <w:ind w:left="140"/>
              <w:spacing w:after="0" w:line="158"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920" w:type="dxa"/>
            <w:vAlign w:val="bottom"/>
            <w:vMerge w:val="restart"/>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ind w:right="1"/>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3"/>
                <w:szCs w:val="13"/>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2"/>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3"/>
                <w:szCs w:val="13"/>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center"/>
              <w:ind w:left="661"/>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79"/>
        </w:trPr>
        <w:tc>
          <w:tcPr>
            <w:tcW w:w="6680" w:type="dxa"/>
            <w:vAlign w:val="bottom"/>
          </w:tcPr>
          <w:p>
            <w:pPr>
              <w:ind w:left="300"/>
              <w:spacing w:after="0" w:line="174" w:lineRule="exact"/>
              <w:rPr>
                <w:sz w:val="20"/>
                <w:szCs w:val="20"/>
                <w:color w:val="auto"/>
              </w:rPr>
            </w:pPr>
            <w:r>
              <w:rPr>
                <w:rFonts w:ascii="Arial" w:cs="Arial" w:eastAsia="Arial" w:hAnsi="Arial"/>
                <w:sz w:val="16"/>
                <w:szCs w:val="16"/>
                <w:color w:val="auto"/>
              </w:rPr>
              <w:t>equivalents</w:t>
            </w:r>
          </w:p>
        </w:tc>
        <w:tc>
          <w:tcPr>
            <w:tcW w:w="9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cash provided by operations for the six months ended June 30, 2021 was $1,061 million, compared with $757 million in the six months ended June 30, 2020. The $304 million increase in cash flow was due to the growth in operations and the net impact of timing differences in government receivables and payables.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cash used in investing activities was $408 million in the six months ended June 30, 2021, compared with $38 million provided by investing activities in the six months ended June 30, 2020, a decrease in cash flow of $446 million. This decrease in cash flow was primarily due to increased purchases of investments in the six months ended June 30, 2021.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Net cash used in financing activities was $200 million in the six months ended June 30, 2021, compared with $63 million provided by investing activities in the six months ended June 30, 2020, a decrease in cash flow of $263 million. In the six months ended June 30, 2021, financing cash outflows included common stock purchases of $128 million and $52 million for common stock withheld to settle employee tax obligations, Additionally, we paid $23 million to settle contingent consideration liabilities relating to our Kentucky Passport acquisition that closed in 2020, $20 million of which has been presented as a financing cash outflow. In the six months ended June 30, 2020, net cash paid for the common stock purchases amounted to $453 million, partially offset by proceeds of $380 million borrowed under the term loan facility.</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11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9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On a consolidated basis, at June 30, 2021, our working capital was $3.2 billion, compared with $ 2.9 billion at December 31, 2020. At June 30, 2021, our cash and investments amounted to $7.0 billion, compared with $6.2 billion at December 31, 2020.</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$1.8 billion at June 30, 2021, compared with $1.5 billion at December 31, 2020. The aggregate capital and surplus of our wholly owned subsidiaries was in excess of these minimum capital requirements as of both dates.</w:t>
      </w:r>
    </w:p>
    <w:p>
      <w:pPr>
        <w:spacing w:after="0" w:line="9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June 30, 2021, was approximately $110 million in the aggregate. The subsidiaries may pay dividends over this amount, but only after approval is granted by the regulatory authorities.</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Based on our cash and investments balances as of June 30, 2021,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Each of our high-yield senior notes is rated “BB-” by Standard &amp; Poor’s, and “Ba3” by Moody’s Investor Service, Inc. A downgrade in our ratings could adversely affect our borrowing capacity and increase our borrowing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the indentures governing each of our outstanding high-yield senior notes contain cross-default provisions that are triggered upon default by us or any of our subsidiaries on any indebtedness in excess of the amount specified in the applicable indenture. As of June 30, 2021, we were in compliance with all financial and non-financial covenants under the Credit Agreement and other long-term debt.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exit from Puerto Rico, we have added over 600,000 new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through the end of 2021. We estimate that for each month the PHE is extended, it could increase our full-year revenue estimate by $150 million.</w:t>
      </w:r>
    </w:p>
    <w:p>
      <w:pPr>
        <w:spacing w:after="0" w:line="7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restrict the ability of our regulated health plan subsidiaries to pay dividends to the parent company, which would reduce the liquidity of the parent company.</w:t>
      </w:r>
    </w:p>
    <w:p>
      <w:pPr>
        <w:spacing w:after="0" w:line="7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June 30, 2021,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our consolidated net leverage ratio is not greater than a defined maximum. See further discussion in the Notes to Consolidated Financial Statements, Note 8,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2020, our board of directors authorized the purchase of up to $ 500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program is funded with cash on hand and extends through December 31, 2021. The exact timing and amount of any repurchase is determined by management based on market conditions and share price, in addition to other factors, and subject to the restrictions relating to volume, price, and timing under applicable law. As of July 29, 2021, approximately $219 million remained available to purchase our common stock under this program through December 31, 2021.</w:t>
      </w:r>
    </w:p>
    <w:p>
      <w:pPr>
        <w:spacing w:after="0" w:line="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On April 22, 2021, we announced a definitive agreement to acquire Cigna Corporation’s Texas 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 $1.0 billion. The purchase price for the transaction is approximately $60 million, which we intend to fund with cash on hand. The transaction is subject to receipt of applicable federal and state regulatory approvals and satisfaction of other customary closing conditions. We currently expect the transaction to close in January 2022.</w:t>
      </w:r>
    </w:p>
    <w:p>
      <w:pPr>
        <w:spacing w:after="0" w:line="9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September 2020, we entered into a definitive agreement to acquire substantially all of the assets of Affinity Health Plan, Inc., a Medicaid health plan in New York. The net purchase price for the transaction is approximately $380 million, subject to various adjustments at closing, which we intend to fund with cash on hand. We currently expect the transaction to close in the fourth quarter of 2021.</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As described above in “Trends and Uncertainties,” we have been subject to Medicaid risk corridors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pandemic. Beginning in 2020, through June 30, 2021,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Beginning in the second quarter of 2020, we have recognized retroactive risk corridors that we believe to be probable, and where the ultimate premium amount is reasonably estimable. For the three and six months ended June 30, 2021, we recognized approximately $56 million and $166 million, respectively, related to such risk corridors, primarily in the Medicaid segment.</w:t>
      </w:r>
    </w:p>
    <w:p>
      <w:pPr>
        <w:spacing w:after="0" w:line="99"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It is possible that certain states could increase the level of existing risk corridors, and other states could implement some form of risk corridors in the future. Due to these uncertainties, the ultimate outcomes could differ materially</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from our estimates as a result of changes in facts or further developments, which could have an adverse effect on our consolidated financial position, results of operations, or cash flows.</w:t>
      </w:r>
    </w:p>
    <w:p>
      <w:pPr>
        <w:spacing w:after="0" w:line="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2020, was disclosed in our 2020 Annual Report on Form 10-K.</w:t>
      </w:r>
    </w:p>
    <w:p>
      <w:pPr>
        <w:spacing w:after="0" w:line="9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six months ended June 30, 2021.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14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72" w:lineRule="exact"/>
        <w:rPr>
          <w:sz w:val="20"/>
          <w:szCs w:val="20"/>
          <w:color w:val="auto"/>
        </w:rPr>
      </w:pPr>
    </w:p>
    <w:p>
      <w:pPr>
        <w:ind w:left="660" w:right="220" w:hanging="328"/>
        <w:spacing w:after="0" w:line="277"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Medical claims and benefits payable</w:t>
      </w:r>
      <w:r>
        <w:rPr>
          <w:rFonts w:ascii="Arial" w:cs="Arial" w:eastAsia="Arial" w:hAnsi="Arial"/>
          <w:sz w:val="17"/>
          <w:szCs w:val="17"/>
          <w:color w:val="auto"/>
        </w:rPr>
        <w:t>. Refer to Notes to Consolidated Financial Statements, Note 7, “Medical Claims and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six months ended June 30, 2021 there have been no significant changes to our disclosure reported in “Critical Accounting Estimates” in our 2020 Annual Report on Form 10-K.</w:t>
      </w:r>
    </w:p>
    <w:p>
      <w:pPr>
        <w:spacing w:after="0" w:line="59" w:lineRule="exact"/>
        <w:rPr>
          <w:rFonts w:ascii="Arial" w:cs="Arial" w:eastAsia="Arial" w:hAnsi="Arial"/>
          <w:sz w:val="17"/>
          <w:szCs w:val="17"/>
          <w:i w:val="1"/>
          <w:iCs w:val="1"/>
          <w:color w:val="auto"/>
        </w:rPr>
      </w:pPr>
    </w:p>
    <w:p>
      <w:pPr>
        <w:jc w:val="both"/>
        <w:ind w:left="660" w:right="380" w:hanging="328"/>
        <w:spacing w:after="0" w:line="31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460" w:hanging="328"/>
        <w:spacing w:after="0" w:line="282"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In the six months ended June 30, 2021, there have been no significant changes to our disclosure reported in</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Accounting Estimates” in our 2020 Annual Report on Form 10-K.</w:t>
      </w:r>
    </w:p>
    <w:p>
      <w:pPr>
        <w:spacing w:after="0" w:line="53" w:lineRule="exact"/>
        <w:rPr>
          <w:rFonts w:ascii="Arial" w:cs="Arial" w:eastAsia="Arial" w:hAnsi="Arial"/>
          <w:sz w:val="18"/>
          <w:szCs w:val="18"/>
          <w:i w:val="1"/>
          <w:iCs w:val="1"/>
          <w:color w:val="auto"/>
        </w:rPr>
      </w:pPr>
    </w:p>
    <w:p>
      <w:pPr>
        <w:ind w:left="660" w:right="20" w:hanging="328"/>
        <w:spacing w:after="0" w:line="25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combinations, goodwill, and intangible assets, net. </w:t>
      </w:r>
      <w:r>
        <w:rPr>
          <w:rFonts w:ascii="Arial" w:cs="Arial" w:eastAsia="Arial" w:hAnsi="Arial"/>
          <w:sz w:val="18"/>
          <w:szCs w:val="18"/>
          <w:color w:val="auto"/>
        </w:rPr>
        <w:t>In the first quarter of 2021, we realigned our reportable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to reflect recent changes in our internal operating and reporting structure, which is now organized by government program. The revised reporting structure reflects the reporting and review process used by our chief executive officer (who is our chief operating decision maker) to assess performance and allocate resources, and is consistent with how we currently manage the business and view the markets we serve. These reportable segments consist of: 1) Medicaid; 2) Medicare; 3) Marketplace; and</w:t>
      </w:r>
    </w:p>
    <w:p>
      <w:pPr>
        <w:spacing w:after="0" w:line="2" w:lineRule="exact"/>
        <w:rPr>
          <w:rFonts w:ascii="Arial" w:cs="Arial" w:eastAsia="Arial" w:hAnsi="Arial"/>
          <w:sz w:val="18"/>
          <w:szCs w:val="18"/>
          <w:color w:val="auto"/>
        </w:rPr>
      </w:pPr>
    </w:p>
    <w:p>
      <w:pPr>
        <w:ind w:left="660" w:right="360"/>
        <w:spacing w:after="0" w:line="254" w:lineRule="auto"/>
        <w:rPr>
          <w:rFonts w:ascii="Arial" w:cs="Arial" w:eastAsia="Arial" w:hAnsi="Arial"/>
          <w:sz w:val="18"/>
          <w:szCs w:val="18"/>
          <w:color w:val="auto"/>
        </w:rPr>
      </w:pPr>
      <w:r>
        <w:rPr>
          <w:rFonts w:ascii="Arial" w:cs="Arial" w:eastAsia="Arial" w:hAnsi="Arial"/>
          <w:sz w:val="18"/>
          <w:szCs w:val="18"/>
          <w:color w:val="auto"/>
        </w:rPr>
        <w:t>4) Other. Such reportable operating segments also now constitute our reporting units in the annual assessment of goodwill impairment. Refer to Notes to Consolidated Financial Statements, Note 10, “Segments,” for a presentation of goodwill, and intangibles assets, net, by reportable segment, and “Critical Accounting Estimates,” in our 2020 Annual Report on Form 10-K, for further information.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9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June 30, 2021, the fair value of our fixed income investments would decrease by approximately $56 million. Declines in interest rates over time will reduce our investment income.</w:t>
      </w:r>
    </w:p>
    <w:p>
      <w:pPr>
        <w:spacing w:after="0" w:line="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1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7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that has materially affected, or is reasonably likely to materially affect, our internal controls over financial reporting.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147"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risk factors described in our 2020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1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Purchases of common stock made by us, or on our behalf, during the second quarter of 2021, including shares withheld by us to satisfy our employees’ income tax obligations,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9"/>
              </w:rPr>
              <w:t>Announced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8"/>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 April 30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235.48</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219,000,000</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Arial" w:cs="Arial" w:eastAsia="Arial" w:hAnsi="Arial"/>
                <w:sz w:val="16"/>
                <w:szCs w:val="16"/>
                <w:color w:val="auto"/>
              </w:rPr>
              <w:t>May 1 - May 31</w:t>
            </w:r>
          </w:p>
        </w:tc>
        <w:tc>
          <w:tcPr>
            <w:tcW w:w="1400" w:type="dxa"/>
            <w:vAlign w:val="bottom"/>
          </w:tcPr>
          <w:p>
            <w:pPr>
              <w:jc w:val="right"/>
              <w:spacing w:after="0"/>
              <w:rPr>
                <w:sz w:val="20"/>
                <w:szCs w:val="20"/>
                <w:color w:val="auto"/>
              </w:rPr>
            </w:pPr>
            <w:r>
              <w:rPr>
                <w:rFonts w:ascii="Arial" w:cs="Arial" w:eastAsia="Arial" w:hAnsi="Arial"/>
                <w:sz w:val="16"/>
                <w:szCs w:val="16"/>
                <w:color w:val="auto"/>
              </w:rPr>
              <w:t>2,000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256.49</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219,000,000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 June 30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249.00</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219,000,000</w:t>
            </w:r>
          </w:p>
        </w:tc>
        <w:tc>
          <w:tcPr>
            <w:tcW w:w="0" w:type="dxa"/>
            <w:vAlign w:val="bottom"/>
          </w:tcPr>
          <w:p>
            <w:pPr>
              <w:spacing w:after="0"/>
              <w:rPr>
                <w:sz w:val="1"/>
                <w:szCs w:val="1"/>
                <w:color w:val="auto"/>
              </w:rPr>
            </w:pPr>
          </w:p>
        </w:tc>
      </w:tr>
      <w:tr>
        <w:trPr>
          <w:trHeight w:val="213"/>
        </w:trPr>
        <w:tc>
          <w:tcPr>
            <w:tcW w:w="4060" w:type="dxa"/>
            <w:vAlign w:val="bottom"/>
          </w:tcPr>
          <w:p>
            <w:pPr>
              <w:ind w:left="140"/>
              <w:spacing w:after="0"/>
              <w:rPr>
                <w:sz w:val="20"/>
                <w:szCs w:val="20"/>
                <w:color w:val="auto"/>
              </w:rPr>
            </w:pPr>
            <w:r>
              <w:rPr>
                <w:rFonts w:ascii="Arial" w:cs="Arial" w:eastAsia="Arial" w:hAnsi="Arial"/>
                <w:sz w:val="16"/>
                <w:szCs w:val="16"/>
                <w:color w:val="auto"/>
              </w:rPr>
              <w:t>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245.70</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40" w:hanging="332"/>
        <w:spacing w:after="0" w:line="246"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second quarter of 2021, we withheld approximately 5,000 shares of common stock, to settle employee income tax obligations, for releases of awards granted under the Molina Healthcare, Inc. 2019 Equity Incentive Plan.</w:t>
      </w: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 refer to Note 9, “Stockholders' Equity.”</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4"/>
                <w:szCs w:val="14"/>
                <w:color w:val="auto"/>
              </w:rPr>
            </w:pP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204"/>
        </w:trPr>
        <w:tc>
          <w:tcPr>
            <w:tcW w:w="980" w:type="dxa"/>
            <w:vAlign w:val="bottom"/>
          </w:tcPr>
          <w:p>
            <w:pPr>
              <w:ind w:left="20"/>
              <w:spacing w:after="0"/>
              <w:rPr>
                <w:rFonts w:ascii="Arial" w:cs="Arial" w:eastAsia="Arial" w:hAnsi="Arial"/>
                <w:sz w:val="16"/>
                <w:szCs w:val="16"/>
                <w:color w:val="0000FF"/>
              </w:rPr>
            </w:pPr>
            <w:hyperlink w:anchor="page38">
              <w:r>
                <w:rPr>
                  <w:rFonts w:ascii="Arial" w:cs="Arial" w:eastAsia="Arial" w:hAnsi="Arial"/>
                  <w:sz w:val="16"/>
                  <w:szCs w:val="16"/>
                  <w:color w:val="0000FF"/>
                </w:rPr>
                <w:t>31.1</w:t>
              </w:r>
            </w:hyperlink>
          </w:p>
        </w:tc>
        <w:tc>
          <w:tcPr>
            <w:tcW w:w="100" w:type="dxa"/>
            <w:vAlign w:val="bottom"/>
          </w:tcPr>
          <w:p>
            <w:pPr>
              <w:spacing w:after="0"/>
              <w:rPr>
                <w:sz w:val="17"/>
                <w:szCs w:val="17"/>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Executive Officer</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980" w:type="dxa"/>
            <w:vAlign w:val="bottom"/>
          </w:tcPr>
          <w:p>
            <w:pPr>
              <w:ind w:left="20"/>
              <w:spacing w:after="0"/>
              <w:rPr>
                <w:rFonts w:ascii="Arial" w:cs="Arial" w:eastAsia="Arial" w:hAnsi="Arial"/>
                <w:sz w:val="16"/>
                <w:szCs w:val="16"/>
                <w:color w:val="0000FF"/>
              </w:rPr>
            </w:pPr>
            <w:hyperlink w:anchor="page39">
              <w:r>
                <w:rPr>
                  <w:rFonts w:ascii="Arial" w:cs="Arial" w:eastAsia="Arial" w:hAnsi="Arial"/>
                  <w:sz w:val="16"/>
                  <w:szCs w:val="16"/>
                  <w:color w:val="0000FF"/>
                </w:rPr>
                <w:t>31.2</w:t>
              </w:r>
            </w:hyperlink>
          </w:p>
        </w:tc>
        <w:tc>
          <w:tcPr>
            <w:tcW w:w="100" w:type="dxa"/>
            <w:vAlign w:val="bottom"/>
          </w:tcPr>
          <w:p>
            <w:pPr>
              <w:spacing w:after="0"/>
              <w:rPr>
                <w:sz w:val="23"/>
                <w:szCs w:val="23"/>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Section 302 Certification of Chief Financial Officer</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37"/>
        </w:trPr>
        <w:tc>
          <w:tcPr>
            <w:tcW w:w="980" w:type="dxa"/>
            <w:vAlign w:val="bottom"/>
          </w:tcPr>
          <w:p>
            <w:pPr>
              <w:ind w:left="20"/>
              <w:spacing w:after="0"/>
              <w:rPr>
                <w:rFonts w:ascii="Arial" w:cs="Arial" w:eastAsia="Arial" w:hAnsi="Arial"/>
                <w:sz w:val="16"/>
                <w:szCs w:val="16"/>
                <w:color w:val="0000FF"/>
              </w:rPr>
            </w:pPr>
            <w:hyperlink w:anchor="page40">
              <w:r>
                <w:rPr>
                  <w:rFonts w:ascii="Arial" w:cs="Arial" w:eastAsia="Arial" w:hAnsi="Arial"/>
                  <w:sz w:val="16"/>
                  <w:szCs w:val="16"/>
                  <w:color w:val="0000FF"/>
                </w:rPr>
                <w:t>32.1</w:t>
              </w:r>
            </w:hyperlink>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Certification of Chief Executive Officer pursuant to 18 U.S.C. Section 1350, as</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c>
          <w:tcPr>
            <w:tcW w:w="4180" w:type="dxa"/>
            <w:vAlign w:val="bottom"/>
          </w:tcPr>
          <w:p>
            <w:pPr>
              <w:spacing w:after="0"/>
              <w:rPr>
                <w:sz w:val="16"/>
                <w:szCs w:val="16"/>
                <w:color w:val="auto"/>
              </w:rPr>
            </w:pPr>
          </w:p>
        </w:tc>
      </w:tr>
      <w:tr>
        <w:trPr>
          <w:trHeight w:val="237"/>
        </w:trPr>
        <w:tc>
          <w:tcPr>
            <w:tcW w:w="980" w:type="dxa"/>
            <w:vAlign w:val="bottom"/>
          </w:tcPr>
          <w:p>
            <w:pPr>
              <w:ind w:left="20"/>
              <w:spacing w:after="0"/>
              <w:rPr>
                <w:rFonts w:ascii="Arial" w:cs="Arial" w:eastAsia="Arial" w:hAnsi="Arial"/>
                <w:sz w:val="16"/>
                <w:szCs w:val="16"/>
                <w:color w:val="0000FF"/>
              </w:rPr>
            </w:pPr>
            <w:hyperlink w:anchor="page41">
              <w:r>
                <w:rPr>
                  <w:rFonts w:ascii="Arial" w:cs="Arial" w:eastAsia="Arial" w:hAnsi="Arial"/>
                  <w:sz w:val="16"/>
                  <w:szCs w:val="16"/>
                  <w:color w:val="0000FF"/>
                </w:rPr>
                <w:t>32.2</w:t>
              </w:r>
            </w:hyperlink>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Certification of Chief Financial Officer pursuant to 18 U.S.C. Section 1350, as</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adopted pursuant to Section 906 of the Sarbanes-Oxley Act of 2002.</w:t>
            </w:r>
          </w:p>
        </w:tc>
        <w:tc>
          <w:tcPr>
            <w:tcW w:w="4180" w:type="dxa"/>
            <w:vAlign w:val="bottom"/>
          </w:tcPr>
          <w:p>
            <w:pPr>
              <w:spacing w:after="0"/>
              <w:rPr>
                <w:sz w:val="16"/>
                <w:szCs w:val="16"/>
                <w:color w:val="auto"/>
              </w:rPr>
            </w:pP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Instance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70"/>
        </w:trPr>
        <w:tc>
          <w:tcPr>
            <w:tcW w:w="108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37"/>
        </w:trPr>
        <w:tc>
          <w:tcPr>
            <w:tcW w:w="98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Cover Page Interactive Data file (formatted as Inline XBRL and embedded within</w:t>
            </w:r>
          </w:p>
        </w:tc>
        <w:tc>
          <w:tcPr>
            <w:tcW w:w="418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Exhibit 101)</w:t>
            </w:r>
          </w:p>
        </w:tc>
        <w:tc>
          <w:tcPr>
            <w:tcW w:w="41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July 29, 2021</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30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July 29, 2021</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June 30, 2021 Form 10-Q | 37</w:t>
      </w:r>
    </w:p>
    <w:p>
      <w:pPr>
        <w:sectPr>
          <w:pgSz w:w="11900" w:h="16838" w:orient="portrait"/>
          <w:cols w:equalWidth="0" w:num="1">
            <w:col w:w="11240"/>
          </w:cols>
          <w:pgMar w:left="320" w:top="140"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2021, of Molina Healthcare, Inc.;</w:t>
      </w:r>
    </w:p>
    <w:p>
      <w:pPr>
        <w:spacing w:after="0" w:line="117"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93"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5"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93"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93"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93"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June 30, 2021, of Molina Healthcare, Inc.;</w:t>
      </w:r>
    </w:p>
    <w:p>
      <w:pPr>
        <w:spacing w:after="0" w:line="117"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93"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5"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93"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93"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93"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39" w:name="page40"/>
    <w:bookmarkEnd w:id="39"/>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2021 (the “Report”), I, Joseph M. Zubretsky, Chief Executive Officer of the Company, certify, pursuant to 18 U.S.C. Section 1350, as adopted pursuant to Section 906 of the Sarbanes-Oxley Act of 2002, that:</w:t>
      </w:r>
    </w:p>
    <w:p>
      <w:pPr>
        <w:spacing w:after="0" w:line="94" w:lineRule="exact"/>
        <w:rPr>
          <w:sz w:val="20"/>
          <w:szCs w:val="20"/>
          <w:color w:val="auto"/>
        </w:rPr>
      </w:pPr>
    </w:p>
    <w:p>
      <w:pPr>
        <w:ind w:left="1160" w:hanging="26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17" w:lineRule="exact"/>
        <w:rPr>
          <w:rFonts w:ascii="Arial" w:cs="Arial" w:eastAsia="Arial" w:hAnsi="Arial"/>
          <w:sz w:val="18"/>
          <w:szCs w:val="18"/>
          <w:color w:val="auto"/>
        </w:rPr>
      </w:pPr>
    </w:p>
    <w:p>
      <w:pPr>
        <w:ind w:firstLine="899"/>
        <w:spacing w:after="0" w:line="261"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40" w:name="page41"/>
    <w:bookmarkEnd w:id="40"/>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60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June 30, 2021 (the “Report”), I, Mark L. Keim, Chief Financial Officer of the Company, certify, pursuant to 18 U.S.C. Section 1350, as adopted pursuant to Section 906 of the Sarbanes-Oxley Act of 2002, that:</w:t>
      </w:r>
    </w:p>
    <w:p>
      <w:pPr>
        <w:spacing w:after="0" w:line="94" w:lineRule="exact"/>
        <w:rPr>
          <w:sz w:val="20"/>
          <w:szCs w:val="20"/>
          <w:color w:val="auto"/>
        </w:rPr>
      </w:pPr>
    </w:p>
    <w:p>
      <w:pPr>
        <w:ind w:left="1160" w:hanging="26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17" w:lineRule="exact"/>
        <w:rPr>
          <w:rFonts w:ascii="Arial" w:cs="Arial" w:eastAsia="Arial" w:hAnsi="Arial"/>
          <w:sz w:val="18"/>
          <w:szCs w:val="18"/>
          <w:color w:val="auto"/>
        </w:rPr>
      </w:pPr>
    </w:p>
    <w:p>
      <w:pPr>
        <w:ind w:firstLine="899"/>
        <w:spacing w:after="0" w:line="261" w:lineRule="auto"/>
        <w:tabs>
          <w:tab w:leader="none" w:pos="11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29, 2021</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2021-07-29T09:00:25Z</dcterms:created>
  <dcterms:modified xsi:type="dcterms:W3CDTF">2021-07-29T09:00:25Z</dcterms:modified>
</cp:coreProperties>
</file>