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40640</wp:posOffset>
            </wp:positionV>
            <wp:extent cx="23107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0765" cy="698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1" w:lineRule="exact"/>
        <w:rPr>
          <w:sz w:val="24"/>
          <w:szCs w:val="24"/>
          <w:color w:val="auto"/>
        </w:rPr>
      </w:pPr>
    </w:p>
    <w:p>
      <w:pPr>
        <w:ind w:left="3900" w:right="2960" w:hanging="3881"/>
        <w:spacing w:after="0" w:line="391" w:lineRule="auto"/>
        <w:tabs>
          <w:tab w:leader="none" w:pos="633" w:val="left"/>
        </w:tabs>
        <w:numPr>
          <w:ilvl w:val="0"/>
          <w:numId w:val="1"/>
        </w:numPr>
        <w:rPr>
          <w:rFonts w:ascii="MS PGothic" w:cs="MS PGothic" w:eastAsia="MS PGothic" w:hAnsi="MS PGothic"/>
          <w:sz w:val="16"/>
          <w:szCs w:val="16"/>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680" w:right="40" w:hanging="661"/>
        <w:spacing w:after="0" w:line="247" w:lineRule="auto"/>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2381250</wp:posOffset>
            </wp:positionH>
            <wp:positionV relativeFrom="paragraph">
              <wp:posOffset>110490</wp:posOffset>
            </wp:positionV>
            <wp:extent cx="2405380" cy="774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5380" cy="774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MOLINA HEALTHCARE,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120650</wp:posOffset>
            </wp:positionV>
            <wp:extent cx="23983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8395" cy="6985"/>
                    </a:xfrm>
                    <a:prstGeom prst="rect">
                      <a:avLst/>
                    </a:prstGeom>
                    <a:noFill/>
                  </pic:spPr>
                </pic:pic>
              </a:graphicData>
            </a:graphic>
          </wp:anchor>
        </w:drawing>
      </w:r>
    </w:p>
    <w:p>
      <w:pPr>
        <w:spacing w:after="0" w:line="282" w:lineRule="exact"/>
        <w:rPr>
          <w:sz w:val="24"/>
          <w:szCs w:val="24"/>
          <w:color w:val="auto"/>
        </w:rPr>
      </w:pPr>
    </w:p>
    <w:tbl>
      <w:tblPr>
        <w:tblLayout w:type="fixed"/>
        <w:tblInd w:w="3000" w:type="dxa"/>
        <w:tblCellMar>
          <w:top w:w="0" w:type="dxa"/>
          <w:left w:w="0" w:type="dxa"/>
          <w:bottom w:w="0" w:type="dxa"/>
          <w:right w:w="0" w:type="dxa"/>
        </w:tblCellMar>
      </w:tblPr>
      <w:tr>
        <w:trPr>
          <w:trHeight w:val="189"/>
        </w:trPr>
        <w:tc>
          <w:tcPr>
            <w:tcW w:w="2800" w:type="dxa"/>
            <w:vAlign w:val="bottom"/>
          </w:tcPr>
          <w:p>
            <w:pPr>
              <w:jc w:val="center"/>
              <w:ind w:right="1119"/>
              <w:spacing w:after="0"/>
              <w:rPr>
                <w:sz w:val="20"/>
                <w:szCs w:val="20"/>
                <w:color w:val="auto"/>
              </w:rPr>
            </w:pPr>
            <w:r>
              <w:rPr>
                <w:rFonts w:ascii="Arial" w:cs="Arial" w:eastAsia="Arial" w:hAnsi="Arial"/>
                <w:sz w:val="14"/>
                <w:szCs w:val="14"/>
                <w:b w:val="1"/>
                <w:bCs w:val="1"/>
                <w:color w:val="auto"/>
              </w:rPr>
              <w:t>Delaware</w:t>
            </w:r>
          </w:p>
        </w:tc>
        <w:tc>
          <w:tcPr>
            <w:tcW w:w="2160" w:type="dxa"/>
            <w:vAlign w:val="bottom"/>
          </w:tcPr>
          <w:p>
            <w:pPr>
              <w:jc w:val="center"/>
              <w:ind w:left="1139"/>
              <w:spacing w:after="0"/>
              <w:rPr>
                <w:sz w:val="20"/>
                <w:szCs w:val="20"/>
                <w:color w:val="auto"/>
              </w:rPr>
            </w:pPr>
            <w:r>
              <w:rPr>
                <w:rFonts w:ascii="Arial" w:cs="Arial" w:eastAsia="Arial" w:hAnsi="Arial"/>
                <w:sz w:val="14"/>
                <w:szCs w:val="14"/>
                <w:b w:val="1"/>
                <w:bCs w:val="1"/>
                <w:color w:val="auto"/>
              </w:rPr>
              <w:t>13-4204626</w:t>
            </w:r>
          </w:p>
        </w:tc>
      </w:tr>
      <w:tr>
        <w:trPr>
          <w:trHeight w:val="154"/>
        </w:trPr>
        <w:tc>
          <w:tcPr>
            <w:tcW w:w="2800" w:type="dxa"/>
            <w:vAlign w:val="bottom"/>
          </w:tcPr>
          <w:p>
            <w:pPr>
              <w:jc w:val="center"/>
              <w:ind w:right="1139"/>
              <w:spacing w:after="0"/>
              <w:rPr>
                <w:sz w:val="20"/>
                <w:szCs w:val="20"/>
                <w:color w:val="auto"/>
              </w:rPr>
            </w:pPr>
            <w:r>
              <w:rPr>
                <w:rFonts w:ascii="Arial" w:cs="Arial" w:eastAsia="Arial" w:hAnsi="Arial"/>
                <w:sz w:val="11"/>
                <w:szCs w:val="11"/>
                <w:b w:val="1"/>
                <w:bCs w:val="1"/>
                <w:color w:val="auto"/>
              </w:rPr>
              <w:t>(State or other jurisdiction of</w:t>
            </w:r>
          </w:p>
        </w:tc>
        <w:tc>
          <w:tcPr>
            <w:tcW w:w="2160" w:type="dxa"/>
            <w:vAlign w:val="bottom"/>
          </w:tcPr>
          <w:p>
            <w:pPr>
              <w:jc w:val="center"/>
              <w:ind w:left="1139"/>
              <w:spacing w:after="0"/>
              <w:rPr>
                <w:sz w:val="20"/>
                <w:szCs w:val="20"/>
                <w:color w:val="auto"/>
              </w:rPr>
            </w:pPr>
            <w:r>
              <w:rPr>
                <w:rFonts w:ascii="Arial" w:cs="Arial" w:eastAsia="Arial" w:hAnsi="Arial"/>
                <w:sz w:val="11"/>
                <w:szCs w:val="11"/>
                <w:b w:val="1"/>
                <w:bCs w:val="1"/>
                <w:color w:val="auto"/>
              </w:rPr>
              <w:t>(I.R.S. Employer</w:t>
            </w:r>
          </w:p>
        </w:tc>
      </w:tr>
      <w:tr>
        <w:trPr>
          <w:trHeight w:val="170"/>
        </w:trPr>
        <w:tc>
          <w:tcPr>
            <w:tcW w:w="2800" w:type="dxa"/>
            <w:vAlign w:val="bottom"/>
          </w:tcPr>
          <w:p>
            <w:pPr>
              <w:jc w:val="center"/>
              <w:ind w:right="1119"/>
              <w:spacing w:after="0"/>
              <w:rPr>
                <w:sz w:val="20"/>
                <w:szCs w:val="20"/>
                <w:color w:val="auto"/>
              </w:rPr>
            </w:pPr>
            <w:r>
              <w:rPr>
                <w:rFonts w:ascii="Arial" w:cs="Arial" w:eastAsia="Arial" w:hAnsi="Arial"/>
                <w:sz w:val="11"/>
                <w:szCs w:val="11"/>
                <w:b w:val="1"/>
                <w:bCs w:val="1"/>
                <w:color w:val="auto"/>
              </w:rPr>
              <w:t>incorporation or organization)</w:t>
            </w:r>
          </w:p>
        </w:tc>
        <w:tc>
          <w:tcPr>
            <w:tcW w:w="2160" w:type="dxa"/>
            <w:vAlign w:val="bottom"/>
          </w:tcPr>
          <w:p>
            <w:pPr>
              <w:jc w:val="center"/>
              <w:ind w:left="1139"/>
              <w:spacing w:after="0"/>
              <w:rPr>
                <w:sz w:val="20"/>
                <w:szCs w:val="20"/>
                <w:color w:val="auto"/>
              </w:rPr>
            </w:pPr>
            <w:r>
              <w:rPr>
                <w:rFonts w:ascii="Arial" w:cs="Arial" w:eastAsia="Arial" w:hAnsi="Arial"/>
                <w:sz w:val="11"/>
                <w:szCs w:val="11"/>
                <w:b w:val="1"/>
                <w:bCs w:val="1"/>
                <w:color w:val="auto"/>
              </w:rPr>
              <w:t>Identification No.)</w:t>
            </w:r>
          </w:p>
        </w:tc>
      </w:tr>
    </w:tbl>
    <w:p>
      <w:pPr>
        <w:spacing w:after="0" w:line="187"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200 Oceangate, Suite 100, Long Beach, California 90802</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(562) 435-3666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41" w:lineRule="exact"/>
        <w:rPr>
          <w:sz w:val="24"/>
          <w:szCs w:val="24"/>
          <w:color w:val="auto"/>
        </w:rPr>
      </w:pPr>
    </w:p>
    <w:tbl>
      <w:tblPr>
        <w:tblLayout w:type="fixed"/>
        <w:tblInd w:w="244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2320" w:type="dxa"/>
            <w:vAlign w:val="bottom"/>
            <w:gridSpan w:val="2"/>
          </w:tcPr>
          <w:p>
            <w:pPr>
              <w:jc w:val="center"/>
              <w:ind w:right="1320"/>
              <w:spacing w:after="0"/>
              <w:rPr>
                <w:sz w:val="20"/>
                <w:szCs w:val="20"/>
                <w:color w:val="auto"/>
              </w:rPr>
            </w:pPr>
            <w:r>
              <w:rPr>
                <w:rFonts w:ascii="Arial" w:cs="Arial" w:eastAsia="Arial" w:hAnsi="Arial"/>
                <w:sz w:val="11"/>
                <w:szCs w:val="11"/>
                <w:b w:val="1"/>
                <w:bCs w:val="1"/>
                <w:color w:val="auto"/>
              </w:rPr>
              <w:t>Title of Each Class</w:t>
            </w: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Trading Symbol(s)</w:t>
            </w:r>
          </w:p>
        </w:tc>
        <w:tc>
          <w:tcPr>
            <w:tcW w:w="2780" w:type="dxa"/>
            <w:vAlign w:val="bottom"/>
            <w:gridSpan w:val="2"/>
          </w:tcPr>
          <w:p>
            <w:pPr>
              <w:jc w:val="center"/>
              <w:ind w:left="243"/>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171"/>
        </w:trPr>
        <w:tc>
          <w:tcPr>
            <w:tcW w:w="2700" w:type="dxa"/>
            <w:vAlign w:val="bottom"/>
            <w:gridSpan w:val="3"/>
          </w:tcPr>
          <w:p>
            <w:pPr>
              <w:jc w:val="center"/>
              <w:ind w:right="940"/>
              <w:spacing w:after="0"/>
              <w:rPr>
                <w:sz w:val="20"/>
                <w:szCs w:val="20"/>
                <w:color w:val="auto"/>
              </w:rPr>
            </w:pPr>
            <w:r>
              <w:rPr>
                <w:rFonts w:ascii="Arial" w:cs="Arial" w:eastAsia="Arial" w:hAnsi="Arial"/>
                <w:sz w:val="11"/>
                <w:szCs w:val="11"/>
                <w:b w:val="1"/>
                <w:bCs w:val="1"/>
                <w:color w:val="auto"/>
              </w:rPr>
              <w:t>Common Stock, $0.001 Par Value</w:t>
            </w: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MOH</w:t>
            </w:r>
          </w:p>
        </w:tc>
        <w:tc>
          <w:tcPr>
            <w:tcW w:w="30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b w:val="1"/>
                <w:bCs w:val="1"/>
                <w:color w:val="auto"/>
              </w:rPr>
              <w:t>New York Stock Exchange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109220</wp:posOffset>
            </wp:positionV>
            <wp:extent cx="29578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ectPr>
          <w:pgSz w:w="11900" w:h="16838" w:orient="portrait"/>
          <w:cols w:equalWidth="0" w:num="1">
            <w:col w:w="11280"/>
          </w:cols>
          <w:pgMar w:left="300" w:top="806"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34" w:lineRule="exact"/>
        <w:rPr>
          <w:sz w:val="24"/>
          <w:szCs w:val="24"/>
          <w:color w:val="auto"/>
        </w:rPr>
      </w:pPr>
    </w:p>
    <w:p>
      <w:pPr>
        <w:sectPr>
          <w:pgSz w:w="11900" w:h="16838" w:orient="portrait"/>
          <w:cols w:equalWidth="0" w:num="3">
            <w:col w:w="7300" w:space="160"/>
            <w:col w:w="460" w:space="160"/>
            <w:col w:w="3200"/>
          </w:cols>
          <w:pgMar w:left="300" w:top="806" w:right="319" w:bottom="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67" w:lineRule="exact"/>
        <w:rPr>
          <w:sz w:val="24"/>
          <w:szCs w:val="24"/>
          <w:color w:val="auto"/>
        </w:rPr>
      </w:pPr>
    </w:p>
    <w:p>
      <w:pPr>
        <w:sectPr>
          <w:pgSz w:w="11900" w:h="16838" w:orient="portrait"/>
          <w:cols w:equalWidth="0" w:num="4">
            <w:col w:w="7400" w:space="160"/>
            <w:col w:w="140" w:space="80"/>
            <w:col w:w="220" w:space="200"/>
            <w:col w:w="3080"/>
          </w:cols>
          <w:pgMar w:left="300" w:top="806" w:right="319" w:bottom="0" w:gutter="0" w:footer="0" w:header="0"/>
          <w:type w:val="continuous"/>
        </w:sectPr>
      </w:pPr>
    </w:p>
    <w:p>
      <w:pPr>
        <w:jc w:val="both"/>
        <w:spacing w:after="0" w:line="21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56" w:lineRule="exact"/>
        <w:rPr>
          <w:sz w:val="24"/>
          <w:szCs w:val="24"/>
          <w:color w:val="auto"/>
        </w:rPr>
      </w:pPr>
    </w:p>
    <w:p>
      <w:pPr>
        <w:jc w:val="both"/>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15" w:lineRule="exact"/>
        <w:rPr>
          <w:sz w:val="24"/>
          <w:szCs w:val="24"/>
          <w:color w:val="auto"/>
        </w:rPr>
      </w:pPr>
    </w:p>
    <w:p>
      <w:pPr>
        <w:ind w:left="20"/>
        <w:spacing w:after="0" w:line="127" w:lineRule="exact"/>
        <w:tabs>
          <w:tab w:leader="none" w:pos="1860" w:val="left"/>
          <w:tab w:leader="none" w:pos="2160" w:val="left"/>
          <w:tab w:leader="none" w:pos="3680" w:val="left"/>
          <w:tab w:leader="none" w:pos="4000" w:val="left"/>
          <w:tab w:leader="none" w:pos="5860" w:val="left"/>
          <w:tab w:leader="none" w:pos="6200" w:val="left"/>
          <w:tab w:leader="none" w:pos="8420" w:val="left"/>
          <w:tab w:leader="none" w:pos="8740" w:val="left"/>
          <w:tab w:leader="none" w:pos="1094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57" w:lineRule="exact"/>
        <w:rPr>
          <w:sz w:val="24"/>
          <w:szCs w:val="24"/>
          <w:color w:val="auto"/>
        </w:rPr>
      </w:pPr>
    </w:p>
    <w:p>
      <w:pPr>
        <w:jc w:val="both"/>
        <w:spacing w:after="0" w:line="21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7" w:lineRule="exact"/>
        <w:rPr>
          <w:sz w:val="24"/>
          <w:szCs w:val="24"/>
          <w:color w:val="auto"/>
        </w:rPr>
      </w:pPr>
    </w:p>
    <w:p>
      <w:pPr>
        <w:jc w:val="both"/>
        <w:spacing w:after="0" w:line="21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7" w:lineRule="exact"/>
        <w:rPr>
          <w:sz w:val="24"/>
          <w:szCs w:val="24"/>
          <w:color w:val="auto"/>
        </w:rPr>
      </w:pPr>
    </w:p>
    <w:p>
      <w:pPr>
        <w:jc w:val="both"/>
        <w:spacing w:after="0" w:line="21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56" w:lineRule="exact"/>
        <w:rPr>
          <w:sz w:val="24"/>
          <w:szCs w:val="24"/>
          <w:color w:val="auto"/>
        </w:rPr>
      </w:pPr>
    </w:p>
    <w:p>
      <w:pPr>
        <w:jc w:val="both"/>
        <w:spacing w:after="0" w:line="211"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3" w:lineRule="exact"/>
        <w:rPr>
          <w:sz w:val="24"/>
          <w:szCs w:val="24"/>
          <w:color w:val="auto"/>
        </w:rPr>
      </w:pPr>
    </w:p>
    <w:p>
      <w:pPr>
        <w:spacing w:after="0" w:line="166" w:lineRule="exact"/>
        <w:tabs>
          <w:tab w:leader="none" w:pos="70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3"/>
          <w:szCs w:val="13"/>
          <w:color w:val="auto"/>
        </w:rPr>
        <w:t>No</w:t>
      </w:r>
    </w:p>
    <w:p>
      <w:pPr>
        <w:spacing w:after="0" w:line="187" w:lineRule="exact"/>
        <w:rPr>
          <w:sz w:val="24"/>
          <w:szCs w:val="24"/>
          <w:color w:val="auto"/>
        </w:rPr>
      </w:pPr>
    </w:p>
    <w:p>
      <w:pPr>
        <w:jc w:val="both"/>
        <w:spacing w:after="0" w:line="282"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2024, the last business day of our most recently completed second fiscal quarter, was approximately $17.2 billion (based upon the closing price for shares of the registrant’s Common Stock as reported by the New York Stock Exchange, Inc. on June 30, 2024).</w:t>
      </w: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7, 2025, approximately 55.5 million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142875</wp:posOffset>
            </wp:positionV>
            <wp:extent cx="2957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5" w:lineRule="exact"/>
        <w:rPr>
          <w:sz w:val="24"/>
          <w:szCs w:val="24"/>
          <w:color w:val="auto"/>
        </w:rPr>
      </w:pPr>
    </w:p>
    <w:p>
      <w:pPr>
        <w:jc w:val="both"/>
        <w:spacing w:after="0" w:line="290" w:lineRule="auto"/>
        <w:rPr>
          <w:sz w:val="20"/>
          <w:szCs w:val="20"/>
          <w:color w:val="auto"/>
        </w:rPr>
      </w:pPr>
      <w:r>
        <w:rPr>
          <w:rFonts w:ascii="Arial" w:cs="Arial" w:eastAsia="Arial" w:hAnsi="Arial"/>
          <w:sz w:val="14"/>
          <w:szCs w:val="14"/>
          <w:color w:val="auto"/>
        </w:rPr>
        <w:t>Portions of the registrant’s Proxy Statement for the 2025 Annual Meeting of Stockholders are incorporated by reference into Part III of this Annual Report on Form 10-K, to the extent described therein.</w:t>
      </w:r>
    </w:p>
    <w:p>
      <w:pPr>
        <w:sectPr>
          <w:pgSz w:w="11900" w:h="16838" w:orient="portrait"/>
          <w:cols w:equalWidth="0" w:num="1">
            <w:col w:w="11280"/>
          </w:cols>
          <w:pgMar w:left="300" w:top="806" w:right="319" w:bottom="0" w:gutter="0" w:footer="0" w:header="0"/>
          <w:type w:val="continuous"/>
        </w:sectPr>
      </w:pPr>
    </w:p>
    <w:bookmarkStart w:id="1" w:name="page2"/>
    <w:bookmarkEnd w:id="1"/>
    <w:p>
      <w:pPr>
        <w:jc w:val="both"/>
        <w:spacing w:after="0" w:line="29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635635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0F7C7F"/>
        </w:rPr>
        <w:t>MOLINA HEALTHCARE, INC. 2024 FORM 10-K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TABLE OF CONTENTS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2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Page</w:t>
            </w:r>
          </w:p>
        </w:tc>
      </w:tr>
      <w:tr>
        <w:trPr>
          <w:trHeight w:val="192"/>
        </w:trPr>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40" w:type="dxa"/>
            <w:vAlign w:val="bottom"/>
            <w:gridSpan w:val="4"/>
          </w:tcPr>
          <w:p>
            <w:pPr>
              <w:jc w:val="center"/>
              <w:ind w:right="3360"/>
              <w:spacing w:after="0"/>
              <w:rPr>
                <w:sz w:val="20"/>
                <w:szCs w:val="20"/>
                <w:color w:val="auto"/>
              </w:rPr>
            </w:pPr>
            <w:r>
              <w:rPr>
                <w:rFonts w:ascii="Arial" w:cs="Arial" w:eastAsia="Arial" w:hAnsi="Arial"/>
                <w:sz w:val="13"/>
                <w:szCs w:val="13"/>
                <w:b w:val="1"/>
                <w:bCs w:val="1"/>
                <w:color w:val="auto"/>
                <w:w w:val="98"/>
              </w:rPr>
              <w:t>Part I</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9720" w:type="dxa"/>
            <w:vAlign w:val="bottom"/>
            <w:gridSpan w:val="17"/>
          </w:tcPr>
          <w:p>
            <w:pPr>
              <w:spacing w:after="0"/>
              <w:rPr>
                <w:sz w:val="20"/>
                <w:szCs w:val="20"/>
                <w:color w:val="auto"/>
              </w:rPr>
            </w:pPr>
            <w:r>
              <w:rPr>
                <w:rFonts w:ascii="Arial" w:cs="Arial" w:eastAsia="Arial" w:hAnsi="Arial"/>
                <w:sz w:val="13"/>
                <w:szCs w:val="13"/>
                <w:b w:val="1"/>
                <w:bCs w:val="1"/>
                <w:color w:val="auto"/>
              </w:rPr>
              <w:t>Item Number</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580" w:type="dxa"/>
            <w:vAlign w:val="bottom"/>
          </w:tcPr>
          <w:p>
            <w:pPr>
              <w:spacing w:after="0" w:line="138" w:lineRule="exact"/>
              <w:rPr>
                <w:sz w:val="20"/>
                <w:szCs w:val="20"/>
                <w:color w:val="auto"/>
              </w:rPr>
            </w:pPr>
            <w:r>
              <w:rPr>
                <w:rFonts w:ascii="Arial" w:cs="Arial" w:eastAsia="Arial" w:hAnsi="Arial"/>
                <w:sz w:val="13"/>
                <w:szCs w:val="13"/>
                <w:color w:val="auto"/>
              </w:rPr>
              <w:t>1.</w:t>
            </w:r>
          </w:p>
        </w:tc>
        <w:tc>
          <w:tcPr>
            <w:tcW w:w="9140" w:type="dxa"/>
            <w:vAlign w:val="bottom"/>
            <w:gridSpan w:val="16"/>
          </w:tcPr>
          <w:p>
            <w:pPr>
              <w:spacing w:after="0" w:line="138" w:lineRule="exact"/>
              <w:rPr>
                <w:sz w:val="20"/>
                <w:szCs w:val="20"/>
                <w:color w:val="auto"/>
              </w:rPr>
            </w:pPr>
            <w:r>
              <w:rPr>
                <w:rFonts w:ascii="Arial" w:cs="Arial" w:eastAsia="Arial" w:hAnsi="Arial"/>
                <w:sz w:val="13"/>
                <w:szCs w:val="13"/>
                <w:color w:val="0F7C7F"/>
              </w:rPr>
              <w:t>Business</w:t>
            </w:r>
          </w:p>
        </w:tc>
        <w:tc>
          <w:tcPr>
            <w:tcW w:w="1500" w:type="dxa"/>
            <w:vAlign w:val="bottom"/>
            <w:gridSpan w:val="2"/>
          </w:tcPr>
          <w:p>
            <w:pPr>
              <w:jc w:val="right"/>
              <w:spacing w:after="0" w:line="138" w:lineRule="exact"/>
              <w:rPr>
                <w:sz w:val="20"/>
                <w:szCs w:val="20"/>
                <w:color w:val="auto"/>
              </w:rPr>
            </w:pPr>
            <w:r>
              <w:rPr>
                <w:rFonts w:ascii="Arial" w:cs="Arial" w:eastAsia="Arial" w:hAnsi="Arial"/>
                <w:sz w:val="13"/>
                <w:szCs w:val="13"/>
                <w:color w:val="0F7C7F"/>
              </w:rPr>
              <w:t>3</w:t>
            </w:r>
          </w:p>
        </w:tc>
        <w:tc>
          <w:tcPr>
            <w:tcW w:w="20" w:type="dxa"/>
            <w:vAlign w:val="bottom"/>
          </w:tcPr>
          <w:p>
            <w:pPr>
              <w:spacing w:after="0"/>
              <w:rPr>
                <w:sz w:val="11"/>
                <w:szCs w:val="11"/>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F7C7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1A.</w:t>
            </w:r>
          </w:p>
        </w:tc>
        <w:tc>
          <w:tcPr>
            <w:tcW w:w="700" w:type="dxa"/>
            <w:vAlign w:val="bottom"/>
            <w:tcBorders>
              <w:bottom w:val="single" w:sz="8" w:color="0F7C7F"/>
            </w:tcBorders>
            <w:gridSpan w:val="3"/>
          </w:tcPr>
          <w:p>
            <w:pPr>
              <w:spacing w:after="0"/>
              <w:rPr>
                <w:sz w:val="20"/>
                <w:szCs w:val="20"/>
                <w:color w:val="auto"/>
              </w:rPr>
            </w:pPr>
            <w:r>
              <w:rPr>
                <w:rFonts w:ascii="Arial" w:cs="Arial" w:eastAsia="Arial" w:hAnsi="Arial"/>
                <w:sz w:val="13"/>
                <w:szCs w:val="13"/>
                <w:color w:val="0F7C7F"/>
                <w:w w:val="94"/>
              </w:rPr>
              <w:t>Risk Factors</w:t>
            </w:r>
          </w:p>
        </w:tc>
        <w:tc>
          <w:tcPr>
            <w:tcW w:w="8440" w:type="dxa"/>
            <w:vAlign w:val="bottom"/>
            <w:gridSpan w:val="13"/>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20</w:t>
            </w:r>
          </w:p>
        </w:tc>
        <w:tc>
          <w:tcPr>
            <w:tcW w:w="20" w:type="dxa"/>
            <w:vAlign w:val="bottom"/>
          </w:tcPr>
          <w:p>
            <w:pPr>
              <w:spacing w:after="0"/>
              <w:rPr>
                <w:sz w:val="16"/>
                <w:szCs w:val="16"/>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1B.</w:t>
            </w:r>
          </w:p>
        </w:tc>
        <w:tc>
          <w:tcPr>
            <w:tcW w:w="9140" w:type="dxa"/>
            <w:vAlign w:val="bottom"/>
            <w:gridSpan w:val="16"/>
          </w:tcPr>
          <w:p>
            <w:pPr>
              <w:spacing w:after="0"/>
              <w:rPr>
                <w:sz w:val="20"/>
                <w:szCs w:val="20"/>
                <w:color w:val="auto"/>
              </w:rPr>
            </w:pPr>
            <w:r>
              <w:rPr>
                <w:rFonts w:ascii="Arial" w:cs="Arial" w:eastAsia="Arial" w:hAnsi="Arial"/>
                <w:sz w:val="13"/>
                <w:szCs w:val="13"/>
                <w:color w:val="auto"/>
              </w:rPr>
              <w:t>Unresolved Staff Comments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3"/>
        </w:trPr>
        <w:tc>
          <w:tcPr>
            <w:tcW w:w="580" w:type="dxa"/>
            <w:vAlign w:val="bottom"/>
          </w:tcPr>
          <w:p>
            <w:pPr>
              <w:spacing w:after="0"/>
              <w:rPr>
                <w:sz w:val="20"/>
                <w:szCs w:val="20"/>
                <w:color w:val="auto"/>
              </w:rPr>
            </w:pPr>
            <w:r>
              <w:rPr>
                <w:rFonts w:ascii="Arial" w:cs="Arial" w:eastAsia="Arial" w:hAnsi="Arial"/>
                <w:sz w:val="13"/>
                <w:szCs w:val="13"/>
                <w:color w:val="auto"/>
              </w:rPr>
              <w:t>1C.</w:t>
            </w:r>
          </w:p>
        </w:tc>
        <w:tc>
          <w:tcPr>
            <w:tcW w:w="78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5"/>
              </w:rPr>
              <w:t>Cybersecurity</w:t>
            </w:r>
          </w:p>
        </w:tc>
        <w:tc>
          <w:tcPr>
            <w:tcW w:w="8360" w:type="dxa"/>
            <w:vAlign w:val="bottom"/>
            <w:gridSpan w:val="12"/>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35</w:t>
            </w:r>
          </w:p>
        </w:tc>
        <w:tc>
          <w:tcPr>
            <w:tcW w:w="20" w:type="dxa"/>
            <w:vAlign w:val="bottom"/>
          </w:tcPr>
          <w:p>
            <w:pPr>
              <w:spacing w:after="0"/>
              <w:rPr>
                <w:sz w:val="15"/>
                <w:szCs w:val="15"/>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2.</w:t>
            </w:r>
          </w:p>
        </w:tc>
        <w:tc>
          <w:tcPr>
            <w:tcW w:w="580" w:type="dxa"/>
            <w:vAlign w:val="bottom"/>
            <w:tcBorders>
              <w:bottom w:val="single" w:sz="8" w:color="0F7C7F"/>
            </w:tcBorders>
            <w:gridSpan w:val="2"/>
          </w:tcPr>
          <w:p>
            <w:pPr>
              <w:spacing w:after="0"/>
              <w:rPr>
                <w:sz w:val="20"/>
                <w:szCs w:val="20"/>
                <w:color w:val="auto"/>
              </w:rPr>
            </w:pPr>
            <w:r>
              <w:rPr>
                <w:rFonts w:ascii="Arial" w:cs="Arial" w:eastAsia="Arial" w:hAnsi="Arial"/>
                <w:sz w:val="13"/>
                <w:szCs w:val="13"/>
                <w:color w:val="0F7C7F"/>
                <w:w w:val="94"/>
              </w:rPr>
              <w:t>Properties</w:t>
            </w:r>
          </w:p>
        </w:tc>
        <w:tc>
          <w:tcPr>
            <w:tcW w:w="8560" w:type="dxa"/>
            <w:vAlign w:val="bottom"/>
            <w:gridSpan w:val="14"/>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36</w:t>
            </w:r>
          </w:p>
        </w:tc>
        <w:tc>
          <w:tcPr>
            <w:tcW w:w="20" w:type="dxa"/>
            <w:vAlign w:val="bottom"/>
          </w:tcPr>
          <w:p>
            <w:pPr>
              <w:spacing w:after="0"/>
              <w:rPr>
                <w:sz w:val="16"/>
                <w:szCs w:val="16"/>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3.</w:t>
            </w:r>
          </w:p>
        </w:tc>
        <w:tc>
          <w:tcPr>
            <w:tcW w:w="9140" w:type="dxa"/>
            <w:vAlign w:val="bottom"/>
            <w:gridSpan w:val="16"/>
          </w:tcPr>
          <w:p>
            <w:pPr>
              <w:spacing w:after="0"/>
              <w:rPr>
                <w:sz w:val="20"/>
                <w:szCs w:val="20"/>
                <w:color w:val="auto"/>
              </w:rPr>
            </w:pPr>
            <w:r>
              <w:rPr>
                <w:rFonts w:ascii="Arial" w:cs="Arial" w:eastAsia="Arial" w:hAnsi="Arial"/>
                <w:sz w:val="13"/>
                <w:szCs w:val="13"/>
                <w:color w:val="0F7C7F"/>
              </w:rPr>
              <w:t>Legal Proceedings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36</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gridSpan w:val="5"/>
            <w:shd w:val="clear" w:color="auto" w:fill="0F7C7F"/>
          </w:tcPr>
          <w:p>
            <w:pPr>
              <w:spacing w:after="0" w:line="20" w:lineRule="exact"/>
              <w:rPr>
                <w:sz w:val="1"/>
                <w:szCs w:val="1"/>
                <w:color w:val="auto"/>
              </w:rPr>
            </w:pPr>
          </w:p>
        </w:tc>
        <w:tc>
          <w:tcPr>
            <w:tcW w:w="420" w:type="dxa"/>
            <w:vAlign w:val="bottom"/>
            <w:tcBorders>
              <w:left w:val="single" w:sz="8" w:color="0F7C7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4.</w:t>
            </w:r>
          </w:p>
        </w:tc>
        <w:tc>
          <w:tcPr>
            <w:tcW w:w="9140" w:type="dxa"/>
            <w:vAlign w:val="bottom"/>
            <w:gridSpan w:val="16"/>
          </w:tcPr>
          <w:p>
            <w:pPr>
              <w:spacing w:after="0"/>
              <w:rPr>
                <w:sz w:val="20"/>
                <w:szCs w:val="20"/>
                <w:color w:val="auto"/>
              </w:rPr>
            </w:pPr>
            <w:r>
              <w:rPr>
                <w:rFonts w:ascii="Arial" w:cs="Arial" w:eastAsia="Arial" w:hAnsi="Arial"/>
                <w:sz w:val="13"/>
                <w:szCs w:val="13"/>
                <w:color w:val="auto"/>
              </w:rPr>
              <w:t>Mine Safety Disclosures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218"/>
        </w:trPr>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40" w:type="dxa"/>
            <w:vAlign w:val="bottom"/>
            <w:gridSpan w:val="4"/>
          </w:tcPr>
          <w:p>
            <w:pPr>
              <w:jc w:val="center"/>
              <w:ind w:right="3360"/>
              <w:spacing w:after="0"/>
              <w:rPr>
                <w:sz w:val="20"/>
                <w:szCs w:val="20"/>
                <w:color w:val="auto"/>
              </w:rPr>
            </w:pPr>
            <w:r>
              <w:rPr>
                <w:rFonts w:ascii="Arial" w:cs="Arial" w:eastAsia="Arial" w:hAnsi="Arial"/>
                <w:sz w:val="13"/>
                <w:szCs w:val="13"/>
                <w:b w:val="1"/>
                <w:bCs w:val="1"/>
                <w:color w:val="auto"/>
                <w:w w:val="99"/>
              </w:rPr>
              <w:t>Part II</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7"/>
        </w:trPr>
        <w:tc>
          <w:tcPr>
            <w:tcW w:w="580" w:type="dxa"/>
            <w:vAlign w:val="bottom"/>
          </w:tcPr>
          <w:p>
            <w:pPr>
              <w:spacing w:after="0"/>
              <w:rPr>
                <w:sz w:val="20"/>
                <w:szCs w:val="20"/>
                <w:color w:val="auto"/>
              </w:rPr>
            </w:pPr>
            <w:r>
              <w:rPr>
                <w:rFonts w:ascii="Arial" w:cs="Arial" w:eastAsia="Arial" w:hAnsi="Arial"/>
                <w:sz w:val="13"/>
                <w:szCs w:val="13"/>
                <w:color w:val="auto"/>
              </w:rPr>
              <w:t>5.</w:t>
            </w:r>
          </w:p>
        </w:tc>
        <w:tc>
          <w:tcPr>
            <w:tcW w:w="6280" w:type="dxa"/>
            <w:vAlign w:val="bottom"/>
            <w:tcBorders>
              <w:bottom w:val="single" w:sz="8" w:color="0F7C7F"/>
            </w:tcBorders>
            <w:gridSpan w:val="15"/>
          </w:tcPr>
          <w:p>
            <w:pPr>
              <w:spacing w:after="0"/>
              <w:rPr>
                <w:sz w:val="20"/>
                <w:szCs w:val="20"/>
                <w:color w:val="auto"/>
              </w:rPr>
            </w:pPr>
            <w:r>
              <w:rPr>
                <w:rFonts w:ascii="Arial" w:cs="Arial" w:eastAsia="Arial" w:hAnsi="Arial"/>
                <w:sz w:val="13"/>
                <w:szCs w:val="13"/>
                <w:color w:val="0F7C7F"/>
                <w:w w:val="97"/>
              </w:rPr>
              <w:t>Market for Registrant’s Common Equity, Related Stockholder Matters and Issuer Purchases of Equity Securities</w:t>
            </w:r>
          </w:p>
        </w:tc>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37</w:t>
            </w:r>
          </w:p>
        </w:tc>
        <w:tc>
          <w:tcPr>
            <w:tcW w:w="20" w:type="dxa"/>
            <w:vAlign w:val="bottom"/>
          </w:tcPr>
          <w:p>
            <w:pPr>
              <w:spacing w:after="0"/>
              <w:rPr>
                <w:sz w:val="15"/>
                <w:szCs w:val="15"/>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6.</w:t>
            </w:r>
          </w:p>
        </w:tc>
        <w:tc>
          <w:tcPr>
            <w:tcW w:w="9140" w:type="dxa"/>
            <w:vAlign w:val="bottom"/>
            <w:gridSpan w:val="16"/>
          </w:tcPr>
          <w:p>
            <w:pPr>
              <w:spacing w:after="0"/>
              <w:rPr>
                <w:sz w:val="20"/>
                <w:szCs w:val="20"/>
                <w:color w:val="auto"/>
              </w:rPr>
            </w:pPr>
            <w:r>
              <w:rPr>
                <w:rFonts w:ascii="Arial" w:cs="Arial" w:eastAsia="Arial" w:hAnsi="Arial"/>
                <w:sz w:val="13"/>
                <w:szCs w:val="13"/>
                <w:color w:val="auto"/>
              </w:rPr>
              <w:t>[Reserved]</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3"/>
        </w:trPr>
        <w:tc>
          <w:tcPr>
            <w:tcW w:w="580" w:type="dxa"/>
            <w:vAlign w:val="bottom"/>
          </w:tcPr>
          <w:p>
            <w:pPr>
              <w:spacing w:after="0"/>
              <w:rPr>
                <w:sz w:val="20"/>
                <w:szCs w:val="20"/>
                <w:color w:val="auto"/>
              </w:rPr>
            </w:pPr>
            <w:r>
              <w:rPr>
                <w:rFonts w:ascii="Arial" w:cs="Arial" w:eastAsia="Arial" w:hAnsi="Arial"/>
                <w:sz w:val="13"/>
                <w:szCs w:val="13"/>
                <w:color w:val="auto"/>
              </w:rPr>
              <w:t>7.</w:t>
            </w:r>
          </w:p>
        </w:tc>
        <w:tc>
          <w:tcPr>
            <w:tcW w:w="5000" w:type="dxa"/>
            <w:vAlign w:val="bottom"/>
            <w:tcBorders>
              <w:bottom w:val="single" w:sz="8" w:color="0F7C7F"/>
            </w:tcBorders>
            <w:gridSpan w:val="13"/>
          </w:tcPr>
          <w:p>
            <w:pPr>
              <w:spacing w:after="0"/>
              <w:rPr>
                <w:sz w:val="20"/>
                <w:szCs w:val="20"/>
                <w:color w:val="auto"/>
              </w:rPr>
            </w:pPr>
            <w:r>
              <w:rPr>
                <w:rFonts w:ascii="Arial" w:cs="Arial" w:eastAsia="Arial" w:hAnsi="Arial"/>
                <w:sz w:val="13"/>
                <w:szCs w:val="13"/>
                <w:color w:val="0F7C7F"/>
                <w:w w:val="97"/>
              </w:rPr>
              <w:t>Management’s Discussion and Analysis of Financial Condition and Results of Operations</w:t>
            </w:r>
          </w:p>
        </w:tc>
        <w:tc>
          <w:tcPr>
            <w:tcW w:w="4140" w:type="dxa"/>
            <w:vAlign w:val="bottom"/>
            <w:gridSpan w:val="3"/>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39</w:t>
            </w:r>
          </w:p>
        </w:tc>
        <w:tc>
          <w:tcPr>
            <w:tcW w:w="20" w:type="dxa"/>
            <w:vAlign w:val="bottom"/>
          </w:tcPr>
          <w:p>
            <w:pPr>
              <w:spacing w:after="0"/>
              <w:rPr>
                <w:sz w:val="15"/>
                <w:szCs w:val="15"/>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7A.</w:t>
            </w:r>
          </w:p>
        </w:tc>
        <w:tc>
          <w:tcPr>
            <w:tcW w:w="9140" w:type="dxa"/>
            <w:vAlign w:val="bottom"/>
            <w:gridSpan w:val="16"/>
          </w:tcPr>
          <w:p>
            <w:pPr>
              <w:spacing w:after="0"/>
              <w:rPr>
                <w:sz w:val="20"/>
                <w:szCs w:val="20"/>
                <w:color w:val="auto"/>
              </w:rPr>
            </w:pPr>
            <w:r>
              <w:rPr>
                <w:rFonts w:ascii="Arial" w:cs="Arial" w:eastAsia="Arial" w:hAnsi="Arial"/>
                <w:sz w:val="13"/>
                <w:szCs w:val="13"/>
                <w:color w:val="0F7C7F"/>
              </w:rPr>
              <w:t>Quantitative and Qualitative Disclosures About Market Risk</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51</w:t>
            </w:r>
          </w:p>
        </w:tc>
        <w:tc>
          <w:tcPr>
            <w:tcW w:w="20" w:type="dxa"/>
            <w:vAlign w:val="bottom"/>
          </w:tcPr>
          <w:p>
            <w:pPr>
              <w:spacing w:after="0"/>
              <w:rPr>
                <w:sz w:val="16"/>
                <w:szCs w:val="16"/>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8.</w:t>
            </w:r>
          </w:p>
        </w:tc>
        <w:tc>
          <w:tcPr>
            <w:tcW w:w="3320" w:type="dxa"/>
            <w:vAlign w:val="bottom"/>
            <w:tcBorders>
              <w:top w:val="single" w:sz="8" w:color="0F7C7F"/>
            </w:tcBorders>
            <w:gridSpan w:val="11"/>
          </w:tcPr>
          <w:p>
            <w:pPr>
              <w:spacing w:after="0"/>
              <w:rPr>
                <w:sz w:val="20"/>
                <w:szCs w:val="20"/>
                <w:color w:val="auto"/>
              </w:rPr>
            </w:pPr>
            <w:r>
              <w:rPr>
                <w:rFonts w:ascii="Arial" w:cs="Arial" w:eastAsia="Arial" w:hAnsi="Arial"/>
                <w:sz w:val="13"/>
                <w:szCs w:val="13"/>
                <w:color w:val="0F7C7F"/>
              </w:rPr>
              <w:t>Financial Statements and Supplementary Data</w:t>
            </w:r>
          </w:p>
        </w:tc>
        <w:tc>
          <w:tcPr>
            <w:tcW w:w="5820" w:type="dxa"/>
            <w:vAlign w:val="bottom"/>
            <w:gridSpan w:val="5"/>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top w:val="single" w:sz="8" w:color="0F7C7F"/>
            </w:tcBorders>
          </w:tcPr>
          <w:p>
            <w:pPr>
              <w:jc w:val="right"/>
              <w:spacing w:after="0"/>
              <w:rPr>
                <w:sz w:val="20"/>
                <w:szCs w:val="20"/>
                <w:color w:val="auto"/>
              </w:rPr>
            </w:pPr>
            <w:r>
              <w:rPr>
                <w:rFonts w:ascii="Arial" w:cs="Arial" w:eastAsia="Arial" w:hAnsi="Arial"/>
                <w:sz w:val="13"/>
                <w:szCs w:val="13"/>
                <w:color w:val="0F7C7F"/>
                <w:w w:val="82"/>
              </w:rPr>
              <w:t>52</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420" w:type="dxa"/>
            <w:vAlign w:val="bottom"/>
            <w:tcBorders>
              <w:left w:val="single" w:sz="8" w:color="0F7C7F"/>
            </w:tcBorders>
            <w:shd w:val="clear" w:color="auto" w:fill="0F7C7F"/>
          </w:tcPr>
          <w:p>
            <w:pPr>
              <w:spacing w:after="0" w:line="20" w:lineRule="exact"/>
              <w:rPr>
                <w:sz w:val="1"/>
                <w:szCs w:val="1"/>
                <w:color w:val="auto"/>
              </w:rPr>
            </w:pPr>
          </w:p>
        </w:tc>
        <w:tc>
          <w:tcPr>
            <w:tcW w:w="84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9.</w:t>
            </w:r>
          </w:p>
        </w:tc>
        <w:tc>
          <w:tcPr>
            <w:tcW w:w="9140" w:type="dxa"/>
            <w:vAlign w:val="bottom"/>
            <w:gridSpan w:val="16"/>
          </w:tcPr>
          <w:p>
            <w:pPr>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183"/>
        </w:trPr>
        <w:tc>
          <w:tcPr>
            <w:tcW w:w="580" w:type="dxa"/>
            <w:vAlign w:val="bottom"/>
          </w:tcPr>
          <w:p>
            <w:pPr>
              <w:spacing w:after="0"/>
              <w:rPr>
                <w:sz w:val="20"/>
                <w:szCs w:val="20"/>
                <w:color w:val="auto"/>
              </w:rPr>
            </w:pPr>
            <w:r>
              <w:rPr>
                <w:rFonts w:ascii="Arial" w:cs="Arial" w:eastAsia="Arial" w:hAnsi="Arial"/>
                <w:sz w:val="13"/>
                <w:szCs w:val="13"/>
                <w:color w:val="auto"/>
              </w:rPr>
              <w:t>9A.</w:t>
            </w:r>
          </w:p>
        </w:tc>
        <w:tc>
          <w:tcPr>
            <w:tcW w:w="1400" w:type="dxa"/>
            <w:vAlign w:val="bottom"/>
            <w:tcBorders>
              <w:bottom w:val="single" w:sz="8" w:color="0F7C7F"/>
            </w:tcBorders>
            <w:gridSpan w:val="6"/>
          </w:tcPr>
          <w:p>
            <w:pPr>
              <w:spacing w:after="0"/>
              <w:rPr>
                <w:sz w:val="20"/>
                <w:szCs w:val="20"/>
                <w:color w:val="auto"/>
              </w:rPr>
            </w:pPr>
            <w:r>
              <w:rPr>
                <w:rFonts w:ascii="Arial" w:cs="Arial" w:eastAsia="Arial" w:hAnsi="Arial"/>
                <w:sz w:val="13"/>
                <w:szCs w:val="13"/>
                <w:color w:val="0F7C7F"/>
                <w:w w:val="95"/>
              </w:rPr>
              <w:t>Controls and Procedures</w:t>
            </w:r>
          </w:p>
        </w:tc>
        <w:tc>
          <w:tcPr>
            <w:tcW w:w="7740" w:type="dxa"/>
            <w:vAlign w:val="bottom"/>
            <w:gridSpan w:val="10"/>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90</w:t>
            </w:r>
          </w:p>
        </w:tc>
        <w:tc>
          <w:tcPr>
            <w:tcW w:w="20" w:type="dxa"/>
            <w:vAlign w:val="bottom"/>
          </w:tcPr>
          <w:p>
            <w:pPr>
              <w:spacing w:after="0"/>
              <w:rPr>
                <w:sz w:val="15"/>
                <w:szCs w:val="15"/>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9B.</w:t>
            </w:r>
          </w:p>
        </w:tc>
        <w:tc>
          <w:tcPr>
            <w:tcW w:w="9140" w:type="dxa"/>
            <w:vAlign w:val="bottom"/>
            <w:gridSpan w:val="16"/>
          </w:tcPr>
          <w:p>
            <w:pPr>
              <w:spacing w:after="0"/>
              <w:rPr>
                <w:sz w:val="20"/>
                <w:szCs w:val="20"/>
                <w:color w:val="auto"/>
              </w:rPr>
            </w:pPr>
            <w:r>
              <w:rPr>
                <w:rFonts w:ascii="Arial" w:cs="Arial" w:eastAsia="Arial" w:hAnsi="Arial"/>
                <w:sz w:val="13"/>
                <w:szCs w:val="13"/>
                <w:color w:val="0F7C7F"/>
              </w:rPr>
              <w:t>Other Information</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93</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980" w:type="dxa"/>
            <w:vAlign w:val="bottom"/>
            <w:gridSpan w:val="5"/>
            <w:shd w:val="clear" w:color="auto" w:fill="0F7C7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9C.</w:t>
            </w:r>
          </w:p>
        </w:tc>
        <w:tc>
          <w:tcPr>
            <w:tcW w:w="9140" w:type="dxa"/>
            <w:vAlign w:val="bottom"/>
            <w:gridSpan w:val="16"/>
          </w:tcPr>
          <w:p>
            <w:pPr>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r>
        <w:trPr>
          <w:trHeight w:val="218"/>
        </w:trPr>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40" w:type="dxa"/>
            <w:vAlign w:val="bottom"/>
            <w:gridSpan w:val="4"/>
          </w:tcPr>
          <w:p>
            <w:pPr>
              <w:jc w:val="center"/>
              <w:ind w:right="3380"/>
              <w:spacing w:after="0"/>
              <w:rPr>
                <w:sz w:val="20"/>
                <w:szCs w:val="20"/>
                <w:color w:val="auto"/>
              </w:rPr>
            </w:pPr>
            <w:r>
              <w:rPr>
                <w:rFonts w:ascii="Arial" w:cs="Arial" w:eastAsia="Arial" w:hAnsi="Arial"/>
                <w:sz w:val="13"/>
                <w:szCs w:val="13"/>
                <w:b w:val="1"/>
                <w:bCs w:val="1"/>
                <w:color w:val="auto"/>
                <w:w w:val="95"/>
              </w:rPr>
              <w:t>Part III</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7"/>
        </w:trPr>
        <w:tc>
          <w:tcPr>
            <w:tcW w:w="580" w:type="dxa"/>
            <w:vAlign w:val="bottom"/>
          </w:tcPr>
          <w:p>
            <w:pPr>
              <w:spacing w:after="0"/>
              <w:rPr>
                <w:sz w:val="20"/>
                <w:szCs w:val="20"/>
                <w:color w:val="auto"/>
              </w:rPr>
            </w:pPr>
            <w:r>
              <w:rPr>
                <w:rFonts w:ascii="Arial" w:cs="Arial" w:eastAsia="Arial" w:hAnsi="Arial"/>
                <w:sz w:val="13"/>
                <w:szCs w:val="13"/>
                <w:color w:val="auto"/>
              </w:rPr>
              <w:t>10.</w:t>
            </w:r>
          </w:p>
        </w:tc>
        <w:tc>
          <w:tcPr>
            <w:tcW w:w="3180" w:type="dxa"/>
            <w:vAlign w:val="bottom"/>
            <w:tcBorders>
              <w:bottom w:val="single" w:sz="8" w:color="0F7C7F"/>
            </w:tcBorders>
            <w:gridSpan w:val="10"/>
          </w:tcPr>
          <w:p>
            <w:pPr>
              <w:spacing w:after="0"/>
              <w:rPr>
                <w:sz w:val="20"/>
                <w:szCs w:val="20"/>
                <w:color w:val="auto"/>
              </w:rPr>
            </w:pPr>
            <w:r>
              <w:rPr>
                <w:rFonts w:ascii="Arial" w:cs="Arial" w:eastAsia="Arial" w:hAnsi="Arial"/>
                <w:sz w:val="13"/>
                <w:szCs w:val="13"/>
                <w:color w:val="0F7C7F"/>
                <w:w w:val="97"/>
              </w:rPr>
              <w:t>Directors, Executive Officers and Corporate Governance</w:t>
            </w:r>
          </w:p>
        </w:tc>
        <w:tc>
          <w:tcPr>
            <w:tcW w:w="5960" w:type="dxa"/>
            <w:vAlign w:val="bottom"/>
            <w:gridSpan w:val="6"/>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93</w:t>
            </w:r>
          </w:p>
        </w:tc>
        <w:tc>
          <w:tcPr>
            <w:tcW w:w="20" w:type="dxa"/>
            <w:vAlign w:val="bottom"/>
          </w:tcPr>
          <w:p>
            <w:pPr>
              <w:spacing w:after="0"/>
              <w:rPr>
                <w:sz w:val="15"/>
                <w:szCs w:val="15"/>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11.</w:t>
            </w:r>
          </w:p>
        </w:tc>
        <w:tc>
          <w:tcPr>
            <w:tcW w:w="1400" w:type="dxa"/>
            <w:vAlign w:val="bottom"/>
            <w:tcBorders>
              <w:bottom w:val="single" w:sz="8" w:color="0F7C7F"/>
            </w:tcBorders>
            <w:gridSpan w:val="6"/>
          </w:tcPr>
          <w:p>
            <w:pPr>
              <w:spacing w:after="0"/>
              <w:rPr>
                <w:sz w:val="20"/>
                <w:szCs w:val="20"/>
                <w:color w:val="auto"/>
              </w:rPr>
            </w:pPr>
            <w:r>
              <w:rPr>
                <w:rFonts w:ascii="Arial" w:cs="Arial" w:eastAsia="Arial" w:hAnsi="Arial"/>
                <w:sz w:val="13"/>
                <w:szCs w:val="13"/>
                <w:color w:val="0F7C7F"/>
                <w:w w:val="95"/>
              </w:rPr>
              <w:t>Executive Compensation</w:t>
            </w:r>
          </w:p>
        </w:tc>
        <w:tc>
          <w:tcPr>
            <w:tcW w:w="7740" w:type="dxa"/>
            <w:vAlign w:val="bottom"/>
            <w:gridSpan w:val="10"/>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93</w:t>
            </w:r>
          </w:p>
        </w:tc>
        <w:tc>
          <w:tcPr>
            <w:tcW w:w="20" w:type="dxa"/>
            <w:vAlign w:val="bottom"/>
          </w:tcPr>
          <w:p>
            <w:pPr>
              <w:spacing w:after="0"/>
              <w:rPr>
                <w:sz w:val="16"/>
                <w:szCs w:val="16"/>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12.</w:t>
            </w:r>
          </w:p>
        </w:tc>
        <w:tc>
          <w:tcPr>
            <w:tcW w:w="5660" w:type="dxa"/>
            <w:vAlign w:val="bottom"/>
            <w:tcBorders>
              <w:bottom w:val="single" w:sz="8" w:color="0F7C7F"/>
            </w:tcBorders>
            <w:gridSpan w:val="14"/>
          </w:tcPr>
          <w:p>
            <w:pPr>
              <w:spacing w:after="0"/>
              <w:rPr>
                <w:sz w:val="20"/>
                <w:szCs w:val="20"/>
                <w:color w:val="auto"/>
              </w:rPr>
            </w:pPr>
            <w:r>
              <w:rPr>
                <w:rFonts w:ascii="Arial" w:cs="Arial" w:eastAsia="Arial" w:hAnsi="Arial"/>
                <w:sz w:val="13"/>
                <w:szCs w:val="13"/>
                <w:color w:val="0F7C7F"/>
                <w:w w:val="97"/>
              </w:rPr>
              <w:t>Security Ownership of Certain Beneficial Owners and Management and Related Stockholder Matters</w:t>
            </w:r>
          </w:p>
        </w:tc>
        <w:tc>
          <w:tcPr>
            <w:tcW w:w="3480" w:type="dxa"/>
            <w:vAlign w:val="bottom"/>
            <w:gridSpan w:val="2"/>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93</w:t>
            </w:r>
          </w:p>
        </w:tc>
        <w:tc>
          <w:tcPr>
            <w:tcW w:w="20" w:type="dxa"/>
            <w:vAlign w:val="bottom"/>
          </w:tcPr>
          <w:p>
            <w:pPr>
              <w:spacing w:after="0"/>
              <w:rPr>
                <w:sz w:val="16"/>
                <w:szCs w:val="16"/>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13.</w:t>
            </w:r>
          </w:p>
        </w:tc>
        <w:tc>
          <w:tcPr>
            <w:tcW w:w="4300" w:type="dxa"/>
            <w:vAlign w:val="bottom"/>
            <w:tcBorders>
              <w:bottom w:val="single" w:sz="8" w:color="0F7C7F"/>
            </w:tcBorders>
            <w:gridSpan w:val="12"/>
          </w:tcPr>
          <w:p>
            <w:pPr>
              <w:spacing w:after="0"/>
              <w:rPr>
                <w:sz w:val="20"/>
                <w:szCs w:val="20"/>
                <w:color w:val="auto"/>
              </w:rPr>
            </w:pPr>
            <w:r>
              <w:rPr>
                <w:rFonts w:ascii="Arial" w:cs="Arial" w:eastAsia="Arial" w:hAnsi="Arial"/>
                <w:sz w:val="13"/>
                <w:szCs w:val="13"/>
                <w:color w:val="0F7C7F"/>
                <w:w w:val="97"/>
              </w:rPr>
              <w:t>Certain Relationships and Related Transactions, and Director Independence</w:t>
            </w:r>
          </w:p>
        </w:tc>
        <w:tc>
          <w:tcPr>
            <w:tcW w:w="4840" w:type="dxa"/>
            <w:vAlign w:val="bottom"/>
            <w:gridSpan w:val="4"/>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93</w:t>
            </w:r>
          </w:p>
        </w:tc>
        <w:tc>
          <w:tcPr>
            <w:tcW w:w="20" w:type="dxa"/>
            <w:vAlign w:val="bottom"/>
          </w:tcPr>
          <w:p>
            <w:pPr>
              <w:spacing w:after="0"/>
              <w:rPr>
                <w:sz w:val="16"/>
                <w:szCs w:val="16"/>
                <w:color w:val="auto"/>
              </w:rPr>
            </w:pPr>
          </w:p>
        </w:tc>
      </w:tr>
      <w:tr>
        <w:trPr>
          <w:trHeight w:val="192"/>
        </w:trPr>
        <w:tc>
          <w:tcPr>
            <w:tcW w:w="580" w:type="dxa"/>
            <w:vAlign w:val="bottom"/>
          </w:tcPr>
          <w:p>
            <w:pPr>
              <w:spacing w:after="0"/>
              <w:rPr>
                <w:sz w:val="20"/>
                <w:szCs w:val="20"/>
                <w:color w:val="auto"/>
              </w:rPr>
            </w:pPr>
            <w:r>
              <w:rPr>
                <w:rFonts w:ascii="Arial" w:cs="Arial" w:eastAsia="Arial" w:hAnsi="Arial"/>
                <w:sz w:val="13"/>
                <w:szCs w:val="13"/>
                <w:color w:val="auto"/>
              </w:rPr>
              <w:t>14.</w:t>
            </w:r>
          </w:p>
        </w:tc>
        <w:tc>
          <w:tcPr>
            <w:tcW w:w="9140" w:type="dxa"/>
            <w:vAlign w:val="bottom"/>
            <w:gridSpan w:val="16"/>
          </w:tcPr>
          <w:p>
            <w:pPr>
              <w:spacing w:after="0"/>
              <w:rPr>
                <w:sz w:val="20"/>
                <w:szCs w:val="20"/>
                <w:color w:val="auto"/>
              </w:rPr>
            </w:pPr>
            <w:r>
              <w:rPr>
                <w:rFonts w:ascii="Arial" w:cs="Arial" w:eastAsia="Arial" w:hAnsi="Arial"/>
                <w:sz w:val="13"/>
                <w:szCs w:val="13"/>
                <w:color w:val="0F7C7F"/>
              </w:rPr>
              <w:t>Principal Accountant Fees and Services</w:t>
            </w:r>
          </w:p>
        </w:tc>
        <w:tc>
          <w:tcPr>
            <w:tcW w:w="1500" w:type="dxa"/>
            <w:vAlign w:val="bottom"/>
            <w:gridSpan w:val="2"/>
          </w:tcPr>
          <w:p>
            <w:pPr>
              <w:jc w:val="right"/>
              <w:spacing w:after="0"/>
              <w:rPr>
                <w:sz w:val="20"/>
                <w:szCs w:val="20"/>
                <w:color w:val="auto"/>
              </w:rPr>
            </w:pPr>
            <w:r>
              <w:rPr>
                <w:rFonts w:ascii="Arial" w:cs="Arial" w:eastAsia="Arial" w:hAnsi="Arial"/>
                <w:sz w:val="13"/>
                <w:szCs w:val="13"/>
                <w:color w:val="0F7C7F"/>
              </w:rPr>
              <w:t>93</w:t>
            </w:r>
          </w:p>
        </w:tc>
        <w:tc>
          <w:tcPr>
            <w:tcW w:w="20" w:type="dxa"/>
            <w:vAlign w:val="bottom"/>
          </w:tcPr>
          <w:p>
            <w:pPr>
              <w:spacing w:after="0"/>
              <w:rPr>
                <w:sz w:val="16"/>
                <w:szCs w:val="16"/>
                <w:color w:val="auto"/>
              </w:rPr>
            </w:pPr>
          </w:p>
        </w:tc>
      </w:tr>
      <w:tr>
        <w:trPr>
          <w:trHeight w:val="228"/>
        </w:trPr>
        <w:tc>
          <w:tcPr>
            <w:tcW w:w="580" w:type="dxa"/>
            <w:vAlign w:val="bottom"/>
          </w:tcPr>
          <w:p>
            <w:pPr>
              <w:spacing w:after="0"/>
              <w:rPr>
                <w:sz w:val="19"/>
                <w:szCs w:val="19"/>
                <w:color w:val="auto"/>
              </w:rPr>
            </w:pPr>
          </w:p>
        </w:tc>
        <w:tc>
          <w:tcPr>
            <w:tcW w:w="500" w:type="dxa"/>
            <w:vAlign w:val="bottom"/>
            <w:tcBorders>
              <w:top w:val="single" w:sz="8" w:color="0F7C7F"/>
            </w:tcBorders>
          </w:tcPr>
          <w:p>
            <w:pPr>
              <w:spacing w:after="0"/>
              <w:rPr>
                <w:sz w:val="19"/>
                <w:szCs w:val="19"/>
                <w:color w:val="auto"/>
              </w:rPr>
            </w:pPr>
          </w:p>
        </w:tc>
        <w:tc>
          <w:tcPr>
            <w:tcW w:w="80" w:type="dxa"/>
            <w:vAlign w:val="bottom"/>
            <w:tcBorders>
              <w:top w:val="single" w:sz="8" w:color="0F7C7F"/>
            </w:tcBorders>
          </w:tcPr>
          <w:p>
            <w:pPr>
              <w:spacing w:after="0"/>
              <w:rPr>
                <w:sz w:val="19"/>
                <w:szCs w:val="19"/>
                <w:color w:val="auto"/>
              </w:rPr>
            </w:pPr>
          </w:p>
        </w:tc>
        <w:tc>
          <w:tcPr>
            <w:tcW w:w="120" w:type="dxa"/>
            <w:vAlign w:val="bottom"/>
            <w:tcBorders>
              <w:top w:val="single" w:sz="8" w:color="0F7C7F"/>
            </w:tcBorders>
          </w:tcPr>
          <w:p>
            <w:pPr>
              <w:spacing w:after="0"/>
              <w:rPr>
                <w:sz w:val="19"/>
                <w:szCs w:val="19"/>
                <w:color w:val="auto"/>
              </w:rPr>
            </w:pPr>
          </w:p>
        </w:tc>
        <w:tc>
          <w:tcPr>
            <w:tcW w:w="80" w:type="dxa"/>
            <w:vAlign w:val="bottom"/>
            <w:tcBorders>
              <w:top w:val="single" w:sz="8" w:color="0F7C7F"/>
            </w:tcBorders>
          </w:tcPr>
          <w:p>
            <w:pPr>
              <w:spacing w:after="0"/>
              <w:rPr>
                <w:sz w:val="19"/>
                <w:szCs w:val="19"/>
                <w:color w:val="auto"/>
              </w:rPr>
            </w:pPr>
          </w:p>
        </w:tc>
        <w:tc>
          <w:tcPr>
            <w:tcW w:w="200" w:type="dxa"/>
            <w:vAlign w:val="bottom"/>
            <w:tcBorders>
              <w:top w:val="single" w:sz="8" w:color="0F7C7F"/>
            </w:tcBorders>
          </w:tcPr>
          <w:p>
            <w:pPr>
              <w:spacing w:after="0"/>
              <w:rPr>
                <w:sz w:val="19"/>
                <w:szCs w:val="19"/>
                <w:color w:val="auto"/>
              </w:rPr>
            </w:pPr>
          </w:p>
        </w:tc>
        <w:tc>
          <w:tcPr>
            <w:tcW w:w="420" w:type="dxa"/>
            <w:vAlign w:val="bottom"/>
            <w:tcBorders>
              <w:top w:val="single" w:sz="8" w:color="0F7C7F"/>
            </w:tcBorders>
          </w:tcPr>
          <w:p>
            <w:pPr>
              <w:spacing w:after="0"/>
              <w:rPr>
                <w:sz w:val="19"/>
                <w:szCs w:val="19"/>
                <w:color w:val="auto"/>
              </w:rPr>
            </w:pPr>
          </w:p>
        </w:tc>
        <w:tc>
          <w:tcPr>
            <w:tcW w:w="840" w:type="dxa"/>
            <w:vAlign w:val="bottom"/>
            <w:tcBorders>
              <w:top w:val="single" w:sz="8" w:color="0F7C7F"/>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40" w:type="dxa"/>
            <w:vAlign w:val="bottom"/>
            <w:gridSpan w:val="4"/>
          </w:tcPr>
          <w:p>
            <w:pPr>
              <w:jc w:val="center"/>
              <w:ind w:right="3360"/>
              <w:spacing w:after="0"/>
              <w:rPr>
                <w:sz w:val="20"/>
                <w:szCs w:val="20"/>
                <w:color w:val="auto"/>
              </w:rPr>
            </w:pPr>
            <w:r>
              <w:rPr>
                <w:rFonts w:ascii="Arial" w:cs="Arial" w:eastAsia="Arial" w:hAnsi="Arial"/>
                <w:sz w:val="13"/>
                <w:szCs w:val="13"/>
                <w:b w:val="1"/>
                <w:bCs w:val="1"/>
                <w:color w:val="auto"/>
                <w:w w:val="97"/>
              </w:rPr>
              <w:t>Part IV</w:t>
            </w:r>
          </w:p>
        </w:tc>
        <w:tc>
          <w:tcPr>
            <w:tcW w:w="1360" w:type="dxa"/>
            <w:vAlign w:val="bottom"/>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580" w:type="dxa"/>
            <w:vAlign w:val="bottom"/>
          </w:tcPr>
          <w:p>
            <w:pPr>
              <w:spacing w:after="0"/>
              <w:rPr>
                <w:sz w:val="20"/>
                <w:szCs w:val="20"/>
                <w:color w:val="auto"/>
              </w:rPr>
            </w:pPr>
            <w:r>
              <w:rPr>
                <w:rFonts w:ascii="Arial" w:cs="Arial" w:eastAsia="Arial" w:hAnsi="Arial"/>
                <w:sz w:val="13"/>
                <w:szCs w:val="13"/>
                <w:color w:val="auto"/>
              </w:rPr>
              <w:t>15.</w:t>
            </w:r>
          </w:p>
        </w:tc>
        <w:tc>
          <w:tcPr>
            <w:tcW w:w="2480" w:type="dxa"/>
            <w:vAlign w:val="bottom"/>
            <w:tcBorders>
              <w:bottom w:val="single" w:sz="8" w:color="0F7C7F"/>
            </w:tcBorders>
            <w:gridSpan w:val="8"/>
          </w:tcPr>
          <w:p>
            <w:pPr>
              <w:spacing w:after="0"/>
              <w:rPr>
                <w:sz w:val="20"/>
                <w:szCs w:val="20"/>
                <w:color w:val="auto"/>
              </w:rPr>
            </w:pPr>
            <w:r>
              <w:rPr>
                <w:rFonts w:ascii="Arial" w:cs="Arial" w:eastAsia="Arial" w:hAnsi="Arial"/>
                <w:sz w:val="13"/>
                <w:szCs w:val="13"/>
                <w:color w:val="0F7C7F"/>
                <w:w w:val="96"/>
              </w:rPr>
              <w:t>Exhibits and Financial Statement Schedules</w:t>
            </w:r>
          </w:p>
        </w:tc>
        <w:tc>
          <w:tcPr>
            <w:tcW w:w="6660" w:type="dxa"/>
            <w:vAlign w:val="bottom"/>
            <w:gridSpan w:val="8"/>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94</w:t>
            </w:r>
          </w:p>
        </w:tc>
        <w:tc>
          <w:tcPr>
            <w:tcW w:w="20" w:type="dxa"/>
            <w:vAlign w:val="bottom"/>
          </w:tcPr>
          <w:p>
            <w:pPr>
              <w:spacing w:after="0"/>
              <w:rPr>
                <w:sz w:val="15"/>
                <w:szCs w:val="15"/>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3"/>
                <w:szCs w:val="13"/>
                <w:color w:val="auto"/>
              </w:rPr>
              <w:t>16.</w:t>
            </w:r>
          </w:p>
        </w:tc>
        <w:tc>
          <w:tcPr>
            <w:tcW w:w="9140" w:type="dxa"/>
            <w:vAlign w:val="bottom"/>
            <w:gridSpan w:val="16"/>
          </w:tcPr>
          <w:p>
            <w:pPr>
              <w:spacing w:after="0"/>
              <w:rPr>
                <w:sz w:val="20"/>
                <w:szCs w:val="20"/>
                <w:color w:val="auto"/>
              </w:rPr>
            </w:pPr>
            <w:r>
              <w:rPr>
                <w:rFonts w:ascii="Arial" w:cs="Arial" w:eastAsia="Arial" w:hAnsi="Arial"/>
                <w:sz w:val="13"/>
                <w:szCs w:val="13"/>
                <w:color w:val="auto"/>
              </w:rPr>
              <w:t>Form 10-K Summary</w:t>
            </w:r>
          </w:p>
        </w:tc>
        <w:tc>
          <w:tcPr>
            <w:tcW w:w="1520" w:type="dxa"/>
            <w:vAlign w:val="bottom"/>
            <w:gridSpan w:val="3"/>
          </w:tcPr>
          <w:p>
            <w:pPr>
              <w:ind w:left="660"/>
              <w:spacing w:after="0"/>
              <w:rPr>
                <w:sz w:val="20"/>
                <w:szCs w:val="20"/>
                <w:color w:val="auto"/>
              </w:rPr>
            </w:pPr>
            <w:r>
              <w:rPr>
                <w:rFonts w:ascii="Arial" w:cs="Arial" w:eastAsia="Arial" w:hAnsi="Arial"/>
                <w:sz w:val="13"/>
                <w:szCs w:val="13"/>
                <w:color w:val="auto"/>
                <w:w w:val="96"/>
              </w:rPr>
              <w:t>Not Applicable.</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0F7C7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0F7C7F"/>
        </w:rPr>
        <w:t>FORWARD-LOOKING STATEMENTS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This Annual Report on Form 10-K (this “Form 10-K”)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10-K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10-K include, but are not limited to, statements regarding our future results of operations and financial position, industry and business trends, regulatory and political developments, business strategy, strategic transactions and commercial arrangements, membership and market growth, and our objectives for future operations. Readers are cautioned not to place undue reliance on any forward-looking statements, as the future is inherently unpredictable. Thus, forward-looking statements are not guarantees of future performance and the Company’s actual results may differ significantly due to numerous known and unknown risks and uncertainties.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Those known risks and uncertainties include, but are not limited to, risks related to the following:</w:t>
      </w:r>
    </w:p>
    <w:p>
      <w:pPr>
        <w:spacing w:after="0" w:line="96" w:lineRule="exact"/>
        <w:rPr>
          <w:sz w:val="20"/>
          <w:szCs w:val="20"/>
          <w:color w:val="auto"/>
        </w:rPr>
      </w:pPr>
    </w:p>
    <w:p>
      <w:pPr>
        <w:ind w:left="260" w:right="120" w:hanging="255"/>
        <w:spacing w:after="0" w:line="261" w:lineRule="auto"/>
        <w:tabs>
          <w:tab w:leader="none" w:pos="256" w:val="left"/>
        </w:tabs>
        <w:numPr>
          <w:ilvl w:val="0"/>
          <w:numId w:val="3"/>
        </w:numPr>
        <w:rPr>
          <w:rFonts w:ascii="Times New Roman" w:cs="Times New Roman" w:eastAsia="Times New Roman" w:hAnsi="Times New Roman"/>
          <w:sz w:val="14"/>
          <w:szCs w:val="14"/>
          <w:i w:val="1"/>
          <w:iCs w:val="1"/>
          <w:color w:val="auto"/>
        </w:rPr>
      </w:pPr>
      <w:r>
        <w:rPr>
          <w:rFonts w:ascii="Arial" w:cs="Arial" w:eastAsia="Arial" w:hAnsi="Arial"/>
          <w:sz w:val="14"/>
          <w:szCs w:val="14"/>
          <w:i w:val="1"/>
          <w:iCs w:val="1"/>
          <w:color w:val="auto"/>
        </w:rPr>
        <w:t>the implementation in 2025 of Medicaid rate adjustments and updates that are not commensurate with the current medical cost trends in our states and the health acuity levels of our members;</w:t>
      </w:r>
    </w:p>
    <w:p>
      <w:pPr>
        <w:jc w:val="both"/>
        <w:ind w:left="260" w:right="12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federal or state legislative or regulatory changes to the Medicaid, Medicare, or Marketplace programs incidental to the change in presidential administrations, including funding changes to the federal matching percentage, block grants or per capita caps, work requirements, the non-renewal of Marketplace subsidies, provider taxes, or amendments of the Affordable Care Act (“ACA”);</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budget pressures on state governments and states’ efforts to reduce rates or limit rate increases;</w:t>
      </w:r>
    </w:p>
    <w:p>
      <w:pPr>
        <w:spacing w:after="0" w:line="8" w:lineRule="exact"/>
        <w:rPr>
          <w:rFonts w:ascii="Arial" w:cs="Arial" w:eastAsia="Arial" w:hAnsi="Arial"/>
          <w:sz w:val="14"/>
          <w:szCs w:val="14"/>
          <w:i w:val="1"/>
          <w:iCs w:val="1"/>
          <w:color w:val="auto"/>
        </w:rPr>
      </w:pPr>
    </w:p>
    <w:p>
      <w:pPr>
        <w:ind w:left="260" w:right="20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evolving Marketplace dynamics including issues impacting enrollment, special enrollment periods, member choice, premium subsidies, risk adjustment estimates and results, Marketplace plan insolvencies or receiverships, and the potential for disproportionate enrollment of higher acuity members;</w:t>
      </w:r>
    </w:p>
    <w:p>
      <w:pPr>
        <w:ind w:left="260" w:right="6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 at projected levels;</w:t>
      </w:r>
    </w:p>
    <w:p>
      <w:pPr>
        <w:ind w:left="260" w:right="22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success of the scaling up of our operations in new states in connection with request for proposal wins, and the satisfaction of all readiness review requirements under the new Medicaid contracts;</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integrate our acquisitions and realize benefits as projected;</w:t>
      </w:r>
    </w:p>
    <w:p>
      <w:pPr>
        <w:spacing w:after="0" w:line="8" w:lineRule="exact"/>
        <w:rPr>
          <w:rFonts w:ascii="Arial" w:cs="Arial" w:eastAsia="Arial" w:hAnsi="Arial"/>
          <w:sz w:val="14"/>
          <w:szCs w:val="14"/>
          <w:i w:val="1"/>
          <w:iCs w:val="1"/>
          <w:color w:val="auto"/>
        </w:rPr>
      </w:pPr>
    </w:p>
    <w:p>
      <w:pPr>
        <w:ind w:left="260" w:right="16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effective management of our medical costs;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our ability to predict with a reasonable degree of accuracy utilization rates;</w:t>
      </w:r>
    </w:p>
    <w:p>
      <w:pPr>
        <w:spacing w:after="0" w:line="8" w:lineRule="exact"/>
        <w:rPr>
          <w:rFonts w:ascii="Arial" w:cs="Arial" w:eastAsia="Arial" w:hAnsi="Arial"/>
          <w:sz w:val="14"/>
          <w:szCs w:val="14"/>
          <w:color w:val="auto"/>
        </w:rPr>
      </w:pPr>
    </w:p>
    <w:p>
      <w:pPr>
        <w:ind w:left="260" w:right="26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cyber-attacks, ransomware attacks, or other privacy or data security incidents involving either ourselves or our contracted vendors, that result in an inadvertent unauthorized disclosure of protected information or operational delays, and the extent to which our working in a remote work environment heightens our exposure to these risks;</w:t>
      </w:r>
    </w:p>
    <w:p>
      <w:pPr>
        <w:ind w:left="260" w:right="24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12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our working in a remote work environment;</w:t>
      </w:r>
    </w:p>
    <w:p>
      <w:pPr>
        <w:spacing w:after="0" w:line="8" w:lineRule="exact"/>
        <w:rPr>
          <w:rFonts w:ascii="Arial" w:cs="Arial" w:eastAsia="Arial" w:hAnsi="Arial"/>
          <w:sz w:val="14"/>
          <w:szCs w:val="14"/>
          <w:i w:val="1"/>
          <w:iCs w:val="1"/>
          <w:color w:val="auto"/>
        </w:rPr>
      </w:pPr>
    </w:p>
    <w:p>
      <w:pPr>
        <w:ind w:left="260" w:right="240" w:hanging="255"/>
        <w:spacing w:after="0" w:line="253"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260" w:right="660" w:hanging="255"/>
        <w:spacing w:after="0" w:line="269"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interpretation, implementation, and estimates of amounts owed for federal or state medical cost expenditure floors, administrative cost and profit ceilings, premium stabilization programs, profit-sharing arrangements, and risk adjustment provisions and requirements;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 w:name="page5"/>
    <w:bookmarkEnd w:id="4"/>
    <w:p>
      <w:pPr>
        <w:ind w:left="260" w:right="320" w:hanging="255"/>
        <w:spacing w:after="0" w:line="262"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260" w:right="40" w:hanging="255"/>
        <w:spacing w:after="0" w:line="253"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the Centers for Medicare and Medicaid Services (“CMS”) into state-administered Medicaid programs;</w:t>
      </w: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accurate estimation of incurred but not reported or paid medical costs across our health plans;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changes in our annual effective tax rate due to federal and/or state legislation, or changes in our mix of earnings and other factors;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efficient and effective operations of the vendors on whom our business relies;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complications, member confusion, or enrollment backlogs related to the renewal of Medicaid coverage;</w:t>
      </w:r>
    </w:p>
    <w:p>
      <w:pPr>
        <w:spacing w:after="0" w:line="8" w:lineRule="exact"/>
        <w:rPr>
          <w:rFonts w:ascii="Arial" w:cs="Arial" w:eastAsia="Arial" w:hAnsi="Arial"/>
          <w:sz w:val="14"/>
          <w:szCs w:val="14"/>
          <w:color w:val="auto"/>
        </w:rPr>
      </w:pPr>
    </w:p>
    <w:p>
      <w:pPr>
        <w:ind w:left="260" w:right="220" w:hanging="255"/>
        <w:spacing w:after="0" w:line="253"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260" w:right="20" w:hanging="255"/>
        <w:spacing w:after="0" w:line="253" w:lineRule="auto"/>
        <w:tabs>
          <w:tab w:leader="none" w:pos="25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success of our providers, including delegated providers, the adequacy of our provider networks, the successful maintenance of relations with our providers, and the potential loss of providers;</w:t>
      </w: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approval by state regulators of dividends and distributions by our health plan subsidiaries;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high dollar claims related to catastrophic illness;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favorable resolution of litigation, arbitration, or administrative proceedings;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greater scale and revenues of our health plans in California, New York, Texas, and Washington, and risks related to the concentration of our business in those states;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failure to comply with the financial or other covenants in the credit agreement governing our revolving credit facility or the indentures governing our outstanding senior notes;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availability of adequate financing on acceptable terms to fund and capitalize our expansion and growth, and meet our general liquidity needs;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failure of a state in which we operate to renew its federal Medicaid waiver;</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changes generally affecting the managed care industry, including any new federal or state legislation that impacts the business space in which we operate;</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increases in government surcharges, taxes, and assessments;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impact of inflation on our medical costs and the cost of refinancing our outstanding indebtedness;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unexpected loss of the leadership of one or more of our senior executives;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increasing competition and consolidation in the Medicaid or general healthcare sector; and</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other risk factors identified in the section of this Form 10-K titled, “Risk Factors.”</w:t>
      </w:r>
    </w:p>
    <w:p>
      <w:pPr>
        <w:spacing w:after="0" w:line="8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Each of the terms “Molina Healthcare, Inc.” “Molina Healthcare,” “Company,” “we,” “our,” and “us,” as used herein, refers collectively to Molina Healthcare, Inc. and its wholly owned subsidiaries, unless otherwise stated. The forward-looking statements in this Form 10-K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10-K. The Company assumes no obligation to revise or update any forward-looking statements for any reason, except as required by law.</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 BUSINESS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ABOUT MOLINA HEALTHCARE</w:t>
      </w:r>
    </w:p>
    <w:p>
      <w:pPr>
        <w:spacing w:after="0" w:line="94"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Molina Healthcare, Inc., a FORTUNE 500 company,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served approximately 5.5 million members as of December 31, 2024, located across 21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Our business footprint, as of December 31, 2024,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68580</wp:posOffset>
            </wp:positionV>
            <wp:extent cx="3557270" cy="2122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270" cy="212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HIGHLIGHTS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r>
      <w:tr>
        <w:trPr>
          <w:trHeight w:val="150"/>
        </w:trPr>
        <w:tc>
          <w:tcPr>
            <w:tcW w:w="8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r>
      <w:tr>
        <w:trPr>
          <w:trHeight w:val="182"/>
        </w:trPr>
        <w:tc>
          <w:tcPr>
            <w:tcW w:w="8120" w:type="dxa"/>
            <w:vAlign w:val="bottom"/>
          </w:tcPr>
          <w:p>
            <w:pPr>
              <w:spacing w:after="0"/>
              <w:rPr>
                <w:sz w:val="15"/>
                <w:szCs w:val="15"/>
                <w:color w:val="auto"/>
              </w:rPr>
            </w:pPr>
          </w:p>
        </w:tc>
        <w:tc>
          <w:tcPr>
            <w:tcW w:w="3140" w:type="dxa"/>
            <w:vAlign w:val="bottom"/>
            <w:gridSpan w:val="5"/>
          </w:tcPr>
          <w:p>
            <w:pPr>
              <w:jc w:val="right"/>
              <w:ind w:right="456"/>
              <w:spacing w:after="0"/>
              <w:rPr>
                <w:sz w:val="20"/>
                <w:szCs w:val="20"/>
                <w:color w:val="auto"/>
              </w:rPr>
            </w:pPr>
            <w:r>
              <w:rPr>
                <w:rFonts w:ascii="Arial" w:cs="Arial" w:eastAsia="Arial" w:hAnsi="Arial"/>
                <w:sz w:val="11"/>
                <w:szCs w:val="11"/>
                <w:b w:val="1"/>
                <w:bCs w:val="1"/>
                <w:i w:val="1"/>
                <w:iCs w:val="1"/>
                <w:color w:val="auto"/>
              </w:rPr>
              <w:t>(In millions, except per-share amounts)</w:t>
            </w:r>
          </w:p>
        </w:tc>
      </w:tr>
      <w:tr>
        <w:trPr>
          <w:trHeight w:val="170"/>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38,627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32,529</w:t>
            </w:r>
          </w:p>
        </w:tc>
      </w:tr>
      <w:tr>
        <w:trPr>
          <w:trHeight w:val="169"/>
        </w:trPr>
        <w:tc>
          <w:tcPr>
            <w:tcW w:w="812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40,650</w:t>
            </w:r>
          </w:p>
        </w:tc>
        <w:tc>
          <w:tcPr>
            <w:tcW w:w="10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34,072</w:t>
            </w:r>
          </w:p>
        </w:tc>
      </w:tr>
      <w:tr>
        <w:trPr>
          <w:trHeight w:val="171"/>
        </w:trPr>
        <w:tc>
          <w:tcPr>
            <w:tcW w:w="81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Medical Care Ratio (“MCR”) </w:t>
            </w:r>
            <w:r>
              <w:rPr>
                <w:rFonts w:ascii="Arial" w:cs="Arial" w:eastAsia="Arial" w:hAnsi="Arial"/>
                <w:sz w:val="16"/>
                <w:szCs w:val="16"/>
                <w:color w:val="auto"/>
                <w:vertAlign w:val="superscript"/>
              </w:rPr>
              <w:t>(1)</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88.1 %</w:t>
            </w:r>
          </w:p>
        </w:tc>
      </w:tr>
      <w:tr>
        <w:trPr>
          <w:trHeight w:val="169"/>
        </w:trPr>
        <w:tc>
          <w:tcPr>
            <w:tcW w:w="8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1,091</w:t>
            </w:r>
          </w:p>
        </w:tc>
      </w:tr>
      <w:tr>
        <w:trPr>
          <w:trHeight w:val="171"/>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Diluted Share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20.42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18.77</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w:t>
      </w:r>
    </w:p>
    <w:p>
      <w:pPr>
        <w:spacing w:after="0" w:line="84"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Medical care ratio represents medical care costs as a percentage of premium revenue.</w:t>
      </w:r>
    </w:p>
    <w:p>
      <w:pPr>
        <w:spacing w:after="0" w:line="7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b w:val="1"/>
          <w:bCs w:val="1"/>
          <w:color w:val="828282"/>
        </w:rPr>
        <w:t>OUR SEGMENTS</w:t>
      </w:r>
    </w:p>
    <w:p>
      <w:pPr>
        <w:spacing w:after="0" w:line="9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We currently have four reportable segments consisting of: 1) Medicaid; 2) Medicare; 3) Marketplace; and 4) Other.</w:t>
      </w:r>
    </w:p>
    <w:p>
      <w:pPr>
        <w:spacing w:after="0" w:line="94"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Refer to Notes to Consolidated Financial Statements, Note 16, “Segments,” for further information, including segment revenue and profit information.</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828282"/>
        </w:rPr>
        <w:t>SEGMENT MEMBERSHIP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membership by segment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206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r>
      <w:tr>
        <w:trPr>
          <w:trHeight w:val="150"/>
        </w:trPr>
        <w:tc>
          <w:tcPr>
            <w:tcW w:w="83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r>
      <w:tr>
        <w:trPr>
          <w:trHeight w:val="16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4,890,000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4,542,000</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40" w:type="dxa"/>
            <w:vAlign w:val="bottom"/>
          </w:tcPr>
          <w:p>
            <w:pPr>
              <w:jc w:val="right"/>
              <w:spacing w:after="0"/>
              <w:rPr>
                <w:sz w:val="20"/>
                <w:szCs w:val="20"/>
                <w:color w:val="auto"/>
              </w:rPr>
            </w:pPr>
            <w:r>
              <w:rPr>
                <w:rFonts w:ascii="Arial" w:cs="Arial" w:eastAsia="Arial" w:hAnsi="Arial"/>
                <w:sz w:val="13"/>
                <w:szCs w:val="13"/>
                <w:color w:val="auto"/>
              </w:rPr>
              <w:t>242,000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172,000</w:t>
            </w: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403,000</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281,000</w:t>
            </w:r>
          </w:p>
        </w:tc>
      </w:tr>
      <w:tr>
        <w:trPr>
          <w:trHeight w:val="162"/>
        </w:trPr>
        <w:tc>
          <w:tcPr>
            <w:tcW w:w="830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5,535,000</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4,995,000</w:t>
            </w: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PREMIUM REVENUE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consolidated premium revenue by segment for the periods indicated: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826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r>
      <w:tr>
        <w:trPr>
          <w:trHeight w:val="150"/>
        </w:trPr>
        <w:tc>
          <w:tcPr>
            <w:tcW w:w="8260" w:type="dxa"/>
            <w:vAlign w:val="bottom"/>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r>
      <w:tr>
        <w:trPr>
          <w:trHeight w:val="182"/>
        </w:trPr>
        <w:tc>
          <w:tcPr>
            <w:tcW w:w="8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3"/>
          </w:tcPr>
          <w:p>
            <w:pPr>
              <w:jc w:val="right"/>
              <w:ind w:right="579"/>
              <w:spacing w:after="0"/>
              <w:rPr>
                <w:sz w:val="20"/>
                <w:szCs w:val="20"/>
                <w:color w:val="auto"/>
              </w:rPr>
            </w:pPr>
            <w:r>
              <w:rPr>
                <w:rFonts w:ascii="Arial" w:cs="Arial" w:eastAsia="Arial" w:hAnsi="Arial"/>
                <w:sz w:val="11"/>
                <w:szCs w:val="11"/>
                <w:b w:val="1"/>
                <w:bCs w:val="1"/>
                <w:color w:val="auto"/>
              </w:rPr>
              <w:t>(In millions)</w:t>
            </w:r>
          </w:p>
        </w:tc>
        <w:tc>
          <w:tcPr>
            <w:tcW w:w="540" w:type="dxa"/>
            <w:vAlign w:val="bottom"/>
          </w:tcPr>
          <w:p>
            <w:pPr>
              <w:spacing w:after="0"/>
              <w:rPr>
                <w:sz w:val="15"/>
                <w:szCs w:val="15"/>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26,327</w:t>
            </w:r>
          </w:p>
        </w:tc>
      </w:tr>
      <w:tr>
        <w:trPr>
          <w:trHeight w:val="169"/>
        </w:trPr>
        <w:tc>
          <w:tcPr>
            <w:tcW w:w="8260" w:type="dxa"/>
            <w:vAlign w:val="bottom"/>
          </w:tcPr>
          <w:p>
            <w:pPr>
              <w:ind w:left="20"/>
              <w:spacing w:after="0"/>
              <w:rPr>
                <w:sz w:val="20"/>
                <w:szCs w:val="20"/>
                <w:color w:val="auto"/>
              </w:rPr>
            </w:pPr>
            <w:r>
              <w:rPr>
                <w:rFonts w:ascii="Arial" w:cs="Arial" w:eastAsia="Arial" w:hAnsi="Arial"/>
                <w:sz w:val="13"/>
                <w:szCs w:val="13"/>
                <w:color w:val="auto"/>
              </w:rPr>
              <w:t>Medicare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5,542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4,179</w:t>
            </w: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2,506</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2,023</w:t>
            </w:r>
          </w:p>
        </w:tc>
      </w:tr>
      <w:tr>
        <w:trPr>
          <w:trHeight w:val="162"/>
        </w:trPr>
        <w:tc>
          <w:tcPr>
            <w:tcW w:w="8260" w:type="dxa"/>
            <w:vAlign w:val="bottom"/>
          </w:tcPr>
          <w:p>
            <w:pPr>
              <w:ind w:left="120"/>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38,627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32,529</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improve the health and lives of our members by delivering high-quality health care.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VISION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We will distinguish ourselves as the low-cost, most effective and reliable health plan delivering government-sponsored care.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STRATEGY</w:t>
      </w:r>
    </w:p>
    <w:p>
      <w:pPr>
        <w:spacing w:after="0" w:line="87"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Our long-term growth strategy remains unchanged, as we continue to be a pure-play government-sponsored healthcare business, which provides us with opportunities to compete in high-growth, synergistic market segments with attractive and sustainable margins. Our strategic priorities include:</w:t>
      </w:r>
    </w:p>
    <w:p>
      <w:pPr>
        <w:spacing w:after="0" w:line="35" w:lineRule="exact"/>
        <w:rPr>
          <w:sz w:val="20"/>
          <w:szCs w:val="20"/>
          <w:color w:val="auto"/>
        </w:rPr>
      </w:pPr>
    </w:p>
    <w:p>
      <w:pPr>
        <w:ind w:left="520" w:right="160" w:hanging="260"/>
        <w:spacing w:after="0" w:line="263"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Organic growth of our core businesses by growing with new state procurement opportunities, retaining existing contracts, increasing market share in current service areas and pursuing carve-in and/or adjacent opportunities;</w:t>
      </w: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Inorganic growth through accretive acquisitions;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Reinvesting excess capital in the business or returning it to shareholders (e.g., share repurchases);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MCR and general and administrative (“G&amp;A”) management to drive attractive and sustainable margins.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Our strategy analyzes our changing environment to identify the largest opportunities and risks within our portfolio and the adequacy of our capabilities.</w:t>
      </w:r>
    </w:p>
    <w:p>
      <w:pPr>
        <w:spacing w:after="0" w:line="9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u w:val="single" w:color="auto"/>
          <w:color w:val="auto"/>
        </w:rPr>
        <w:t>Landscape.</w:t>
      </w:r>
      <w:r>
        <w:rPr>
          <w:rFonts w:ascii="Arial" w:cs="Arial" w:eastAsia="Arial" w:hAnsi="Arial"/>
          <w:sz w:val="14"/>
          <w:szCs w:val="14"/>
          <w:color w:val="auto"/>
        </w:rPr>
        <w:t xml:space="preserve"> The competition is fierce, as our markets are attractive. Public policy and demographics continue to be positive catalysts for growth. The integration of Medicaid and low-income Medicare poses an opportunity and a threat, but the Marketplace risk pool continues to stabilize. Our evolving portfolio and environment require us to focus on developing new capabilities.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u w:val="single" w:color="auto"/>
          <w:color w:val="auto"/>
        </w:rPr>
        <w:t>Retrospective.</w:t>
      </w:r>
      <w:r>
        <w:rPr>
          <w:rFonts w:ascii="Arial" w:cs="Arial" w:eastAsia="Arial" w:hAnsi="Arial"/>
          <w:sz w:val="14"/>
          <w:szCs w:val="14"/>
          <w:color w:val="auto"/>
        </w:rPr>
        <w:t xml:space="preserve"> We have successfully executed our strategic plan and have confidence that we can continue to do so. We have achieved 19% revenue growth and 12% earnings per share growth from 2019 to 2024. We have achieved an 80% new contract win rate, and a 90% re-procurement win rate for Medicaid requests for proposal (“RFPs”) during this timeframe.</w:t>
      </w:r>
    </w:p>
    <w:p>
      <w:pPr>
        <w:spacing w:after="0" w:line="38"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u w:val="single" w:color="auto"/>
          <w:color w:val="auto"/>
        </w:rPr>
        <w:t>The Plan.</w:t>
      </w:r>
      <w:r>
        <w:rPr>
          <w:rFonts w:ascii="Arial" w:cs="Arial" w:eastAsia="Arial" w:hAnsi="Arial"/>
          <w:sz w:val="14"/>
          <w:szCs w:val="14"/>
          <w:color w:val="auto"/>
        </w:rPr>
        <w:t xml:space="preserve"> Our long-term strategy remains unchanged. Our current target is 11% to 13% revenue growth, and 13% to 15% earnings per share growth, leading us to achieve $52 to $55 billion in premium revenue by 2027. We plan to maintain our balanced approach to growth, including market share gains, new state contracts, and mergers and</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ind w:right="260"/>
        <w:spacing w:after="0" w:line="255" w:lineRule="auto"/>
        <w:rPr>
          <w:sz w:val="20"/>
          <w:szCs w:val="20"/>
          <w:color w:val="auto"/>
        </w:rPr>
      </w:pPr>
      <w:r>
        <w:rPr>
          <w:rFonts w:ascii="Arial" w:cs="Arial" w:eastAsia="Arial" w:hAnsi="Arial"/>
          <w:sz w:val="14"/>
          <w:szCs w:val="14"/>
          <w:color w:val="auto"/>
        </w:rPr>
        <w:t>acquisitions. We will continue to focus on driving market share gains through improved execution of enrollment and retention. Our proven track record of RFP success makes us confident in our ability to retain current revenue and to pursue the majority of new state opportunities with a continued high win rate. We plan to continue executing on our acquisitions pipeline at attractive prices and with strong integrations.</w:t>
      </w:r>
    </w:p>
    <w:p>
      <w:pPr>
        <w:spacing w:after="0" w:line="6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u w:val="single" w:color="auto"/>
          <w:color w:val="auto"/>
        </w:rPr>
        <w:t>How We Will Execute.</w:t>
      </w:r>
      <w:r>
        <w:rPr>
          <w:rFonts w:ascii="Arial" w:cs="Arial" w:eastAsia="Arial" w:hAnsi="Arial"/>
          <w:sz w:val="14"/>
          <w:szCs w:val="14"/>
          <w:color w:val="auto"/>
        </w:rPr>
        <w:t xml:space="preserve"> To enable the achievement of our growth strategy, we will continue providing low-cost and high quality health care services, with a seamless member experience, evolving capabilities in value-based contracting and strong clinical operations. We will also continue maintaining a strong capital foundation, enhancing the operating model, our management processes and organizational design, harnessing the power of our second line leaders and staff, and seeking continual talent upgrades. As part of our operating enhancements, we are making appreciable investments in AI administrative tools and initiatives to create efficiencies and save costs.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KEY DEVELOPMENTS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are pleased with the continued success of our profitable growth strategy, which included strong performance on Medicaid state procurements in 2024, and the Bright Health Medicare and ConnectiCare acquisitions that we closed on January 1, 2024, and February 1, 2025, respectively. Collectively, newly reported RFP successes and acquisitions in 2024 represent nearly $7 billion of incremental annual premium revenue, which will be partially realized in 2025, is expected to be mostly realized in 2026 and is expected to be fully realized in 2027 and 2028. More detail on recent developments and accomplishments relating to our growth strategy is presented below:</w:t>
      </w:r>
    </w:p>
    <w:p>
      <w:pPr>
        <w:spacing w:after="0" w:line="5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i w:val="1"/>
          <w:iCs w:val="1"/>
          <w:color w:val="auto"/>
        </w:rPr>
        <w:t xml:space="preserve">Connecticut Acquisition—Marketplace and Medicare. </w:t>
      </w:r>
      <w:r>
        <w:rPr>
          <w:rFonts w:ascii="Arial" w:cs="Arial" w:eastAsia="Arial" w:hAnsi="Arial"/>
          <w:sz w:val="14"/>
          <w:szCs w:val="14"/>
          <w:color w:val="auto"/>
        </w:rPr>
        <w:t>Effective February 1, 2025, we closed on our acquisition of ConnectiCare Holding Company, Inc. (“ConnectiCare”), a wholly</w:t>
      </w:r>
      <w:r>
        <w:rPr>
          <w:rFonts w:ascii="Arial" w:cs="Arial" w:eastAsia="Arial" w:hAnsi="Arial"/>
          <w:sz w:val="14"/>
          <w:szCs w:val="14"/>
          <w:i w:val="1"/>
          <w:iCs w:val="1"/>
          <w:color w:val="auto"/>
        </w:rPr>
        <w:t xml:space="preserve"> </w:t>
      </w:r>
      <w:r>
        <w:rPr>
          <w:rFonts w:ascii="Arial" w:cs="Arial" w:eastAsia="Arial" w:hAnsi="Arial"/>
          <w:sz w:val="14"/>
          <w:szCs w:val="14"/>
          <w:color w:val="auto"/>
        </w:rPr>
        <w:t>owned subsidiary of EmblemHealth, Inc. ConnectiCare is a leading health plan in the state of Connecticut serving approximately 140,000 members across Marketplace, Medicare, and certain commercial products. The purchase price for the transaction was $350 million.</w:t>
      </w:r>
    </w:p>
    <w:p>
      <w:pPr>
        <w:spacing w:after="0" w:line="49"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i w:val="1"/>
          <w:iCs w:val="1"/>
          <w:color w:val="auto"/>
        </w:rPr>
        <w:t>Idaho Procurement—Medicaid and Medicare</w:t>
      </w:r>
      <w:r>
        <w:rPr>
          <w:rFonts w:ascii="Arial" w:cs="Arial" w:eastAsia="Arial" w:hAnsi="Arial"/>
          <w:sz w:val="14"/>
          <w:szCs w:val="14"/>
          <w:color w:val="auto"/>
        </w:rPr>
        <w:t>. In December 2024, the Idaho Department of Health and Welfare announced that it intends to award a contract to our Idaho health</w:t>
      </w:r>
      <w:r>
        <w:rPr>
          <w:rFonts w:ascii="Arial" w:cs="Arial" w:eastAsia="Arial" w:hAnsi="Arial"/>
          <w:sz w:val="14"/>
          <w:szCs w:val="14"/>
          <w:i w:val="1"/>
          <w:iCs w:val="1"/>
          <w:color w:val="auto"/>
        </w:rPr>
        <w:t xml:space="preserve"> </w:t>
      </w:r>
      <w:r>
        <w:rPr>
          <w:rFonts w:ascii="Arial" w:cs="Arial" w:eastAsia="Arial" w:hAnsi="Arial"/>
          <w:sz w:val="14"/>
          <w:szCs w:val="14"/>
          <w:color w:val="auto"/>
        </w:rPr>
        <w:t>plan to administer the state’s Dually-Eligible Medicare/Medicaid Managed Care Plan, which provides access to integrated benefits to the state’s dual eligible population. The new contract, which is expected to commence on January 1, 2026, is expected to have an initial term of four years, with a potential one-year extension.</w:t>
      </w:r>
    </w:p>
    <w:p>
      <w:pPr>
        <w:spacing w:after="0" w:line="4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i w:val="1"/>
          <w:iCs w:val="1"/>
          <w:color w:val="auto"/>
        </w:rPr>
        <w:t xml:space="preserve">Georgia Procurement—Medicaid. </w:t>
      </w:r>
      <w:r>
        <w:rPr>
          <w:rFonts w:ascii="Arial" w:cs="Arial" w:eastAsia="Arial" w:hAnsi="Arial"/>
          <w:sz w:val="14"/>
          <w:szCs w:val="14"/>
          <w:color w:val="auto"/>
        </w:rPr>
        <w:t>In December 2024, the Georgia Department of Administrative Services issued the Notice of Intent to Award in the Georgia Families Medicaid</w:t>
      </w:r>
      <w:r>
        <w:rPr>
          <w:rFonts w:ascii="Arial" w:cs="Arial" w:eastAsia="Arial" w:hAnsi="Arial"/>
          <w:sz w:val="14"/>
          <w:szCs w:val="14"/>
          <w:i w:val="1"/>
          <w:iCs w:val="1"/>
          <w:color w:val="auto"/>
        </w:rPr>
        <w:t xml:space="preserve"> </w:t>
      </w:r>
      <w:r>
        <w:rPr>
          <w:rFonts w:ascii="Arial" w:cs="Arial" w:eastAsia="Arial" w:hAnsi="Arial"/>
          <w:sz w:val="14"/>
          <w:szCs w:val="14"/>
          <w:color w:val="auto"/>
        </w:rPr>
        <w:t>Managed procurement. Our Georgia health plan was the top scorer, and was noticed for award of one of the four statewide contracts. The new contract was originally scheduled to commence on July 1, 2025; however, due to ongoing procurement protests, we now anticipate implementation beginning on July 1, 2026.</w:t>
      </w:r>
    </w:p>
    <w:p>
      <w:pPr>
        <w:spacing w:after="0" w:line="4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i w:val="1"/>
          <w:iCs w:val="1"/>
          <w:color w:val="auto"/>
        </w:rPr>
        <w:t xml:space="preserve">Ohio Procurement—Medicare. </w:t>
      </w:r>
      <w:r>
        <w:rPr>
          <w:rFonts w:ascii="Arial" w:cs="Arial" w:eastAsia="Arial" w:hAnsi="Arial"/>
          <w:sz w:val="14"/>
          <w:szCs w:val="14"/>
          <w:color w:val="auto"/>
        </w:rPr>
        <w:t>In November 2024, our Ohio health plan was awarded a contract to provide benefits to the state’s Next Generation MyCare program. The new</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 is expected to commence on January 1, 2026 in the 29 counties where MyCare Ohio is currently available, with statewide expansion of the program to follow as quickly as possible.</w:t>
      </w:r>
    </w:p>
    <w:p>
      <w:pPr>
        <w:spacing w:after="0" w:line="49"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i w:val="1"/>
          <w:iCs w:val="1"/>
          <w:color w:val="auto"/>
        </w:rPr>
        <w:t xml:space="preserve">Michigan Procurement—Medicare. </w:t>
      </w:r>
      <w:r>
        <w:rPr>
          <w:rFonts w:ascii="Arial" w:cs="Arial" w:eastAsia="Arial" w:hAnsi="Arial"/>
          <w:sz w:val="14"/>
          <w:szCs w:val="14"/>
          <w:color w:val="auto"/>
        </w:rPr>
        <w:t>In October 2024, our Michigan health plan was awarded a contract to provide benefits for the state’s Highly Integrated Dual Eligible Special</w:t>
      </w:r>
      <w:r>
        <w:rPr>
          <w:rFonts w:ascii="Arial" w:cs="Arial" w:eastAsia="Arial" w:hAnsi="Arial"/>
          <w:sz w:val="14"/>
          <w:szCs w:val="14"/>
          <w:i w:val="1"/>
          <w:iCs w:val="1"/>
          <w:color w:val="auto"/>
        </w:rPr>
        <w:t xml:space="preserve"> </w:t>
      </w:r>
      <w:r>
        <w:rPr>
          <w:rFonts w:ascii="Arial" w:cs="Arial" w:eastAsia="Arial" w:hAnsi="Arial"/>
          <w:sz w:val="14"/>
          <w:szCs w:val="14"/>
          <w:color w:val="auto"/>
        </w:rPr>
        <w:t>Needs Plan (“HIDE D-SNP”) in six service regions. In November 2024, the Michigan procurement office announced it was cancelling the previously-issued notice of intent to award contracts. The state simultaneously re-issued the RFP. In December 2024, we were re-awarded the contract in eleven service regions, Michigan’s entire lower peninsula. This award facilitates the transition of our existing Medicare-Medicaid Plan (“MMP”) members to a HIDE D-SNP product and ensures a new dual-eligibles growth opportunity by expanding our footprint from two regions to eleven. The new contract, which is expected to commence on January 1, 2026 in select regions, will be implemented statewide in 2027 and is expected to continue for seven years, with up to three renewal options.</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i w:val="1"/>
          <w:iCs w:val="1"/>
          <w:color w:val="auto"/>
        </w:rPr>
        <w:t xml:space="preserve">Massachusetts Procurement—Medicare. </w:t>
      </w:r>
      <w:r>
        <w:rPr>
          <w:rFonts w:ascii="Arial" w:cs="Arial" w:eastAsia="Arial" w:hAnsi="Arial"/>
          <w:sz w:val="14"/>
          <w:szCs w:val="14"/>
          <w:color w:val="auto"/>
        </w:rPr>
        <w:t>In September 2024, our Massachusetts health plan was selected to proceed to contract negotiations to operate both One Care and Senior</w:t>
      </w:r>
      <w:r>
        <w:rPr>
          <w:rFonts w:ascii="Arial" w:cs="Arial" w:eastAsia="Arial" w:hAnsi="Arial"/>
          <w:sz w:val="14"/>
          <w:szCs w:val="14"/>
          <w:i w:val="1"/>
          <w:iCs w:val="1"/>
          <w:color w:val="auto"/>
        </w:rPr>
        <w:t xml:space="preserve"> </w:t>
      </w:r>
      <w:r>
        <w:rPr>
          <w:rFonts w:ascii="Arial" w:cs="Arial" w:eastAsia="Arial" w:hAnsi="Arial"/>
          <w:sz w:val="14"/>
          <w:szCs w:val="14"/>
          <w:color w:val="auto"/>
        </w:rPr>
        <w:t>Care Options plans. This selection is expected to allow us to operate the One Care 21-64 program, and to retain our position in the Senior Care Options program. The programs provide physical, behavioral, long-term services and supports, and other community services to dual-eligibles. The new contract is expected to commence on January 1, 2026.</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i w:val="1"/>
          <w:iCs w:val="1"/>
          <w:color w:val="auto"/>
        </w:rPr>
        <w:t xml:space="preserve">Florida Procurement—Medicaid. </w:t>
      </w:r>
      <w:r>
        <w:rPr>
          <w:rFonts w:ascii="Arial" w:cs="Arial" w:eastAsia="Arial" w:hAnsi="Arial"/>
          <w:sz w:val="14"/>
          <w:szCs w:val="14"/>
          <w:color w:val="auto"/>
        </w:rPr>
        <w:t>In July 2024, we were notified that the Florida Agency for Healthcare Administration awarded a Medicaid managed care contract to Molina</w:t>
      </w:r>
      <w:r>
        <w:rPr>
          <w:rFonts w:ascii="Arial" w:cs="Arial" w:eastAsia="Arial" w:hAnsi="Arial"/>
          <w:sz w:val="14"/>
          <w:szCs w:val="14"/>
          <w:i w:val="1"/>
          <w:iCs w:val="1"/>
          <w:color w:val="auto"/>
        </w:rPr>
        <w:t xml:space="preserve"> </w:t>
      </w:r>
      <w:r>
        <w:rPr>
          <w:rFonts w:ascii="Arial" w:cs="Arial" w:eastAsia="Arial" w:hAnsi="Arial"/>
          <w:sz w:val="14"/>
          <w:szCs w:val="14"/>
          <w:color w:val="auto"/>
        </w:rPr>
        <w:t>Healthcare of Florida. The contract commenced on February 1, 2025 and will run through December 31, 2030. We expect to serve approximately 90,000 Medicaid beneficiaries in Miami-Dade County.</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ind w:right="260"/>
        <w:spacing w:after="0" w:line="290" w:lineRule="auto"/>
        <w:rPr>
          <w:sz w:val="20"/>
          <w:szCs w:val="20"/>
          <w:color w:val="auto"/>
        </w:rPr>
      </w:pPr>
      <w:r>
        <w:rPr>
          <w:rFonts w:ascii="Arial" w:cs="Arial" w:eastAsia="Arial" w:hAnsi="Arial"/>
          <w:sz w:val="14"/>
          <w:szCs w:val="14"/>
          <w:i w:val="1"/>
          <w:iCs w:val="1"/>
          <w:color w:val="auto"/>
        </w:rPr>
        <w:t xml:space="preserve">New Mexico Procurement—Medicaid. </w:t>
      </w:r>
      <w:r>
        <w:rPr>
          <w:rFonts w:ascii="Arial" w:cs="Arial" w:eastAsia="Arial" w:hAnsi="Arial"/>
          <w:sz w:val="14"/>
          <w:szCs w:val="14"/>
          <w:color w:val="auto"/>
        </w:rPr>
        <w:t>Our new contract with the New Mexico Health Care Authority commenced on July 1, 2024 and will run through December 31, 2026, with a</w:t>
      </w:r>
      <w:r>
        <w:rPr>
          <w:rFonts w:ascii="Arial" w:cs="Arial" w:eastAsia="Arial" w:hAnsi="Arial"/>
          <w:sz w:val="14"/>
          <w:szCs w:val="14"/>
          <w:i w:val="1"/>
          <w:iCs w:val="1"/>
          <w:color w:val="auto"/>
        </w:rPr>
        <w:t xml:space="preserve"> </w:t>
      </w:r>
      <w:r>
        <w:rPr>
          <w:rFonts w:ascii="Arial" w:cs="Arial" w:eastAsia="Arial" w:hAnsi="Arial"/>
          <w:sz w:val="14"/>
          <w:szCs w:val="14"/>
          <w:color w:val="auto"/>
        </w:rPr>
        <w:t>further expected extension. The new contract added approximately 33,000 members.</w:t>
      </w:r>
    </w:p>
    <w:p>
      <w:pPr>
        <w:spacing w:after="0" w:line="35"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i w:val="1"/>
          <w:iCs w:val="1"/>
          <w:color w:val="auto"/>
        </w:rPr>
        <w:t xml:space="preserve">Wisconsin Procurement—Medicaid. </w:t>
      </w:r>
      <w:r>
        <w:rPr>
          <w:rFonts w:ascii="Arial" w:cs="Arial" w:eastAsia="Arial" w:hAnsi="Arial"/>
          <w:sz w:val="14"/>
          <w:szCs w:val="14"/>
          <w:color w:val="auto"/>
        </w:rPr>
        <w:t>In May 2024, the Wisconsin Department of Health Services awarded a contract to provide services under the Family Care and Family Care</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Partnership program in its Geographic Service Region 5 to our Wisconsin health plan. The contract commenced on January 1, 2025, and is expected to have a duration of two years, with an option for three two-year extensions. Additionally, we were re-awarded our sole contract position in the self-directed long-term services and supports personal care program.</w:t>
      </w:r>
    </w:p>
    <w:p>
      <w:pPr>
        <w:spacing w:after="0" w:line="53"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i w:val="1"/>
          <w:iCs w:val="1"/>
          <w:color w:val="auto"/>
        </w:rPr>
        <w:t xml:space="preserve">Michigan Procurement—Medicaid. </w:t>
      </w:r>
      <w:r>
        <w:rPr>
          <w:rFonts w:ascii="Arial" w:cs="Arial" w:eastAsia="Arial" w:hAnsi="Arial"/>
          <w:sz w:val="14"/>
          <w:szCs w:val="14"/>
          <w:color w:val="auto"/>
        </w:rPr>
        <w:t>In April 2024, we announced that the Michigan Department of Health and Human Services awarded a Comprehensive Health Care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 to our Michigan health plan. We were awarded the contract in six service regions. The new Medicaid contract commenced on October 1, 2024. The new contract is expected to have a duration of five years, with an option for three one-year extensions.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i w:val="1"/>
          <w:iCs w:val="1"/>
          <w:color w:val="auto"/>
        </w:rPr>
        <w:t xml:space="preserve">Mississippi Procurement—Medicaid. </w:t>
      </w:r>
      <w:r>
        <w:rPr>
          <w:rFonts w:ascii="Arial" w:cs="Arial" w:eastAsia="Arial" w:hAnsi="Arial"/>
          <w:sz w:val="14"/>
          <w:szCs w:val="14"/>
          <w:color w:val="auto"/>
        </w:rPr>
        <w:t>In the second quarter of 2024, the Mississippi Division of Medicaid extended the existing contracts for the state fiscal year that began on July 1,</w:t>
      </w:r>
      <w:r>
        <w:rPr>
          <w:rFonts w:ascii="Arial" w:cs="Arial" w:eastAsia="Arial" w:hAnsi="Arial"/>
          <w:sz w:val="14"/>
          <w:szCs w:val="14"/>
          <w:i w:val="1"/>
          <w:iCs w:val="1"/>
          <w:color w:val="auto"/>
        </w:rPr>
        <w:t xml:space="preserve"> </w:t>
      </w:r>
      <w:r>
        <w:rPr>
          <w:rFonts w:ascii="Arial" w:cs="Arial" w:eastAsia="Arial" w:hAnsi="Arial"/>
          <w:sz w:val="14"/>
          <w:szCs w:val="14"/>
          <w:color w:val="auto"/>
        </w:rPr>
        <w:t>2024. We now expect the new four-year contract, which will cover both TANF &amp; ABD and CHIP, to commence on July 1, 2025.</w:t>
      </w:r>
    </w:p>
    <w:p>
      <w:pPr>
        <w:spacing w:after="0" w:line="35"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i w:val="1"/>
          <w:iCs w:val="1"/>
          <w:color w:val="auto"/>
        </w:rPr>
        <w:t xml:space="preserve">Texas Procurement—Medicaid - STAR CHIP. </w:t>
      </w:r>
      <w:r>
        <w:rPr>
          <w:rFonts w:ascii="Arial" w:cs="Arial" w:eastAsia="Arial" w:hAnsi="Arial"/>
          <w:sz w:val="14"/>
          <w:szCs w:val="14"/>
          <w:color w:val="auto"/>
        </w:rPr>
        <w:t>In the first quarter of 2024, we were notified of the Texas Health and Human Services Commission’s intent to award us a contract for</w:t>
      </w:r>
      <w:r>
        <w:rPr>
          <w:rFonts w:ascii="Arial" w:cs="Arial" w:eastAsia="Arial" w:hAnsi="Arial"/>
          <w:sz w:val="14"/>
          <w:szCs w:val="14"/>
          <w:i w:val="1"/>
          <w:iCs w:val="1"/>
          <w:color w:val="auto"/>
        </w:rPr>
        <w:t xml:space="preserve"> </w:t>
      </w:r>
      <w:r>
        <w:rPr>
          <w:rFonts w:ascii="Arial" w:cs="Arial" w:eastAsia="Arial" w:hAnsi="Arial"/>
          <w:sz w:val="14"/>
          <w:szCs w:val="14"/>
          <w:color w:val="auto"/>
        </w:rPr>
        <w:t>Temporary Assistance for Needy Families (“TANF”) and Children’s Health Insurance Program (“CHIP”) (known in Texas as the STAR &amp; CHIP programs, and both existing contracts for Molina), expanding our footprint and expecting to grow our market share. The expected start of operations and other final contract terms are still pending.</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i w:val="1"/>
          <w:iCs w:val="1"/>
          <w:color w:val="auto"/>
        </w:rPr>
        <w:t xml:space="preserve">Virginia Procurement—Medicaid. </w:t>
      </w:r>
      <w:r>
        <w:rPr>
          <w:rFonts w:ascii="Arial" w:cs="Arial" w:eastAsia="Arial" w:hAnsi="Arial"/>
          <w:sz w:val="14"/>
          <w:szCs w:val="14"/>
          <w:color w:val="auto"/>
        </w:rPr>
        <w:t>In April of 2024, the Virginia Department of Medical Assistance Services (“DMAS”) issued a notice of intent to award which did not include our</w:t>
      </w:r>
      <w:r>
        <w:rPr>
          <w:rFonts w:ascii="Arial" w:cs="Arial" w:eastAsia="Arial" w:hAnsi="Arial"/>
          <w:sz w:val="14"/>
          <w:szCs w:val="14"/>
          <w:i w:val="1"/>
          <w:iCs w:val="1"/>
          <w:color w:val="auto"/>
        </w:rPr>
        <w:t xml:space="preserve"> </w:t>
      </w:r>
      <w:r>
        <w:rPr>
          <w:rFonts w:ascii="Arial" w:cs="Arial" w:eastAsia="Arial" w:hAnsi="Arial"/>
          <w:sz w:val="14"/>
          <w:szCs w:val="14"/>
          <w:color w:val="auto"/>
        </w:rPr>
        <w:t>Virginia health plan as an awardee for its Cardinal Care Managed Care (“CCMC”) procurement. We exercised our right to protest that decision. On April 19, 2024, DMAS upheld its notice of intent to award in response to our protest. On April 26, 2024, Molina filed a legal action in Virginia Circuit Court over DMAS’s decision not to award Molina a CCMC contract. The state court action continues. A trial date has not been set. In addition, DMAS separately notified us that they were exercising the contractual extension option for current contract for the period from July 1, 2024 through June 30, 2025.</w:t>
      </w:r>
    </w:p>
    <w:p>
      <w:pPr>
        <w:spacing w:after="0" w:line="55"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i w:val="1"/>
          <w:iCs w:val="1"/>
          <w:color w:val="auto"/>
        </w:rPr>
        <w:t xml:space="preserve">California Acquisition—Medicare. </w:t>
      </w:r>
      <w:r>
        <w:rPr>
          <w:rFonts w:ascii="Arial" w:cs="Arial" w:eastAsia="Arial" w:hAnsi="Arial"/>
          <w:sz w:val="14"/>
          <w:szCs w:val="14"/>
          <w:color w:val="auto"/>
        </w:rPr>
        <w:t>Effective January 1, 2024, we closed on our acquisition of 100% of the issued and outstanding capital stock of Bright Health Medicare, which</w:t>
      </w:r>
      <w:r>
        <w:rPr>
          <w:rFonts w:ascii="Arial" w:cs="Arial" w:eastAsia="Arial" w:hAnsi="Arial"/>
          <w:sz w:val="14"/>
          <w:szCs w:val="14"/>
          <w:i w:val="1"/>
          <w:iCs w:val="1"/>
          <w:color w:val="auto"/>
        </w:rPr>
        <w:t xml:space="preserve"> </w:t>
      </w:r>
      <w:r>
        <w:rPr>
          <w:rFonts w:ascii="Arial" w:cs="Arial" w:eastAsia="Arial" w:hAnsi="Arial"/>
          <w:sz w:val="14"/>
          <w:szCs w:val="14"/>
          <w:color w:val="auto"/>
        </w:rPr>
        <w:t>added approximately 109,000 members.</w:t>
      </w:r>
    </w:p>
    <w:p>
      <w:pPr>
        <w:spacing w:after="0" w:line="35"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i w:val="1"/>
          <w:iCs w:val="1"/>
          <w:color w:val="auto"/>
        </w:rPr>
        <w:t xml:space="preserve">California Procurement—Medicaid. </w:t>
      </w:r>
      <w:r>
        <w:rPr>
          <w:rFonts w:ascii="Arial" w:cs="Arial" w:eastAsia="Arial" w:hAnsi="Arial"/>
          <w:sz w:val="14"/>
          <w:szCs w:val="14"/>
          <w:color w:val="auto"/>
        </w:rPr>
        <w:t>Our new contract with the California Department of Health Care Services (“DHCS”) commenced on January 1, 2024, which enabled us to</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servicing Medi-Cal members in most of our existing counties and significantly expanded our footprint in Los Angeles County.</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i w:val="1"/>
          <w:iCs w:val="1"/>
          <w:color w:val="auto"/>
        </w:rPr>
        <w:t xml:space="preserve">Nebraska Procurement—Medicaid. </w:t>
      </w:r>
      <w:r>
        <w:rPr>
          <w:rFonts w:ascii="Arial" w:cs="Arial" w:eastAsia="Arial" w:hAnsi="Arial"/>
          <w:sz w:val="14"/>
          <w:szCs w:val="14"/>
          <w:color w:val="auto"/>
        </w:rPr>
        <w:t>Our new contract with the Nebraska Department of Health and Human Services commenced on January 1, 2024, which added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114,000 members.</w:t>
      </w:r>
    </w:p>
    <w:p>
      <w:pPr>
        <w:spacing w:after="0" w:line="35"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i w:val="1"/>
          <w:iCs w:val="1"/>
          <w:color w:val="auto"/>
        </w:rPr>
        <w:t xml:space="preserve">Texas Procurement—Medicaid - STAR+PLUS. </w:t>
      </w:r>
      <w:r>
        <w:rPr>
          <w:rFonts w:ascii="Arial" w:cs="Arial" w:eastAsia="Arial" w:hAnsi="Arial"/>
          <w:sz w:val="14"/>
          <w:szCs w:val="14"/>
          <w:color w:val="auto"/>
        </w:rPr>
        <w:t>In the first quarter of 2023, we were notified of the Texas Health and Human Services Commission’s intent to award us a contract for</w:t>
      </w:r>
      <w:r>
        <w:rPr>
          <w:rFonts w:ascii="Arial" w:cs="Arial" w:eastAsia="Arial" w:hAnsi="Arial"/>
          <w:sz w:val="14"/>
          <w:szCs w:val="14"/>
          <w:i w:val="1"/>
          <w:iCs w:val="1"/>
          <w:color w:val="auto"/>
        </w:rPr>
        <w:t xml:space="preserve"> </w:t>
      </w:r>
      <w:r>
        <w:rPr>
          <w:rFonts w:ascii="Arial" w:cs="Arial" w:eastAsia="Arial" w:hAnsi="Arial"/>
          <w:sz w:val="14"/>
          <w:szCs w:val="14"/>
          <w:color w:val="auto"/>
        </w:rPr>
        <w:t>Texas’ Medicaid-managed care program for adults with disabilities or who are age 65 or older (known in Texas as the STAR+PLUS program). The new STAR+PLUS contract began on September 1, 2024 and grew our market share.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CAPITAL MANAGEMENT</w:t>
      </w:r>
    </w:p>
    <w:p>
      <w:pPr>
        <w:spacing w:after="0" w:line="94"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Continued management of our cash, investments, and capital structure is enabling us to meet the short- and long-term objectives and obligations of our business while maintaining liquidity and financial flexibility. We have continued to execute a capital plan that has produced a strong and stable balance sheet, with a simplified capital structure, which resulted in the following accomplishments in 2024:</w:t>
      </w:r>
    </w:p>
    <w:p>
      <w:pPr>
        <w:spacing w:after="0" w:line="49"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regulated health plans paid $997 million in total dividends to the parent company, representing cash in excess of their capital needs.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income increased $58 million in 2024, or 15%, due mainly to growth in invested assets.</w:t>
      </w:r>
    </w:p>
    <w:p>
      <w:pPr>
        <w:spacing w:after="0" w:line="51" w:lineRule="exact"/>
        <w:rPr>
          <w:rFonts w:ascii="Arial" w:cs="Arial" w:eastAsia="Arial" w:hAnsi="Arial"/>
          <w:sz w:val="14"/>
          <w:szCs w:val="14"/>
          <w:color w:val="auto"/>
        </w:rPr>
      </w:pPr>
    </w:p>
    <w:p>
      <w:pPr>
        <w:ind w:left="520" w:right="4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November 2024, we completed the private offering of $750 million aggregate principal amount of 6.250% senior notes due 2033. We used the approximately $740 million in net proceeds from this offering for general corporate purposes, which may include repayment of indebtedness, share repurchases, funding for acquisitions, capital expenditures, additions to working capital and capital contributions to our health plan subsidiaries to meet statutory requirements in new or existing states.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 w:name="page10"/>
    <w:bookmarkEnd w:id="9"/>
    <w:p>
      <w:pPr>
        <w:ind w:left="520" w:right="560" w:hanging="260"/>
        <w:spacing w:after="0" w:line="28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third and fourth quarters of 2024, we completed purchases of our common stock pursuant to stock purchase programs authorized by our board of directors in September 2023 and October 2024, respectively. Under these programs, pursuant to Rule 10b5-1 trading plans, we:</w:t>
      </w:r>
    </w:p>
    <w:p>
      <w:pPr>
        <w:ind w:left="1020" w:hanging="251"/>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Purchased approximately 1,465,000 shares for $500 million in the third quarter of 2024 (average cost of $341.25 per share).</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Purchased approximately 1,666,000 shares for $500 million in the fourth quarter of 2024 (average cost of $300.04 per share).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MEDICAID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Medicaid was established in 1965 under the U.S. Social Security Act to provide healthcare and long-term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62%, and currently ranges from a federally established FMAP floor of 50% to as high as 83%. Most states have contracted with managed care plans to provide Medicaid services to beneficiaries, seeking to increase budget predictability, constrain spending, improve access to care and value, and meet other objectives.</w:t>
      </w:r>
    </w:p>
    <w:p>
      <w:pPr>
        <w:spacing w:after="0" w:line="53"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expect our Medicaid enrollment to increase by over 100,000 in 2025, to a total of five million members by the end of the year. In 2025, we anticipate a benefit from our recent RFP successes in Florida, New Mexico, Wisconsin, Michigan, Mississippi and Texas, as well as from organic growth.</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participate in the following Medicaid programs:</w:t>
      </w:r>
    </w:p>
    <w:p>
      <w:pPr>
        <w:spacing w:after="0" w:line="94"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Temporary Assistance for Needy Families (“TANF”) – This is the most common Medicaid program. It primarily covers low-income families with children.</w:t>
      </w:r>
    </w:p>
    <w:p>
      <w:pPr>
        <w:spacing w:after="0" w:line="22" w:lineRule="exact"/>
        <w:rPr>
          <w:rFonts w:ascii="Arial" w:cs="Arial" w:eastAsia="Arial" w:hAnsi="Arial"/>
          <w:sz w:val="14"/>
          <w:szCs w:val="14"/>
          <w:color w:val="auto"/>
        </w:rPr>
      </w:pPr>
    </w:p>
    <w:p>
      <w:pPr>
        <w:ind w:left="520" w:right="8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ind w:left="520" w:right="18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Children’s Health Insurance Program (“CHIP”) – CHIP is a joint federal and state matching program that provides healthcare coverage to children whose families earn too much to qualify for Medicaid coverage. States have the option of administering CHIP through their Medicaid programs.</w:t>
      </w:r>
    </w:p>
    <w:p>
      <w:pPr>
        <w:ind w:left="520" w:right="8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Medicaid Expansion – In states that have elected to participate, Medicaid Expansion provides eligibility to nearly all low-income individuals under age 65 with incomes at or below 138% of the federal poverty line.</w:t>
      </w:r>
    </w:p>
    <w:p>
      <w:pPr>
        <w:ind w:left="520" w:right="60" w:hanging="260"/>
        <w:spacing w:after="0" w:line="258"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Long Term Services and Supports (“LTSS”) – LTSS programs cover a range of medical and personal care assistance that people may need – for several weeks, months, or years – when they experience difficulty completing self-care tasks as a result of aging, chronic illness, or disability. Such services include, but are not limited to, nursing facility care, adult daycare programs, home health aide services, personal care services, transportation, and supported employment as well as assistance provided by a family caregiver.</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2"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RFPs open to competitive bidding by other health plans. If one of our health plans is not a successful responsive bidder to a state RFP, its contract may not be renewed.</w:t>
      </w:r>
    </w:p>
    <w:p>
      <w:pPr>
        <w:spacing w:after="0" w:line="4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In addition to contract renewal, our state Medicaid contracts may be amended periodically to include or exclude certain health benefits, such as pharmacy services, behavioral health services, or long-term care services, the addition or withdrawal of populations such as the ABD; and expansion into or retraction from certain new regions or service areas.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Status of Significant Contracts</w:t>
      </w:r>
    </w:p>
    <w:p>
      <w:pPr>
        <w:spacing w:after="0" w:line="9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Medicaid premium revenue constituted 79% of our consolidated premium revenue in the year ended December 31, 2024. Our Medicaid contracts with the states of California, New York, Texas, and Washington each accounted for approximately 10% or more of our consolidated Medicaid premium revenues in the year ended December 31, 2024. The current status of each of these contracts is described below.</w:t>
      </w:r>
    </w:p>
    <w:p>
      <w:pPr>
        <w:spacing w:after="0" w:line="4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color w:val="auto"/>
        </w:rPr>
        <w:t>California</w:t>
      </w:r>
      <w:r>
        <w:rPr>
          <w:rFonts w:ascii="Arial" w:cs="Arial" w:eastAsia="Arial" w:hAnsi="Arial"/>
          <w:sz w:val="14"/>
          <w:szCs w:val="14"/>
          <w:color w:val="auto"/>
        </w:rPr>
        <w:t>. The three DHCS Medi-Cal contracts and plan-to-plan subcontract for Los Angeles County commenced on January 1, 2024, which enabled us to continue serving Medi-Cal members in Los Angeles, Riverside/San Bernardino, Sacramento, and San Diego counties and significantly expanded our footprint in Los Angeles County. The expansion in Los Angeles County added 500,000 new members. Our California Medicaid contracts represented premium revenue of approximately $4,121 million, or 13%, of our consolidated Medicaid premium revenue in 2024.</w:t>
      </w:r>
    </w:p>
    <w:p>
      <w:pPr>
        <w:spacing w:after="0" w:line="5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i w:val="1"/>
          <w:iCs w:val="1"/>
          <w:color w:val="auto"/>
        </w:rPr>
        <w:t xml:space="preserve">New York. </w:t>
      </w:r>
      <w:r>
        <w:rPr>
          <w:rFonts w:ascii="Arial" w:cs="Arial" w:eastAsia="Arial" w:hAnsi="Arial"/>
          <w:sz w:val="14"/>
          <w:szCs w:val="14"/>
          <w:color w:val="auto"/>
        </w:rPr>
        <w:t>Our presence in New York increased substantially after completion of the Magellan Complete Care acquisition in December 2020, the Affinity Health Plan acquisition in</w:t>
      </w:r>
      <w:r>
        <w:rPr>
          <w:rFonts w:ascii="Arial" w:cs="Arial" w:eastAsia="Arial" w:hAnsi="Arial"/>
          <w:sz w:val="14"/>
          <w:szCs w:val="14"/>
          <w:i w:val="1"/>
          <w:iCs w:val="1"/>
          <w:color w:val="auto"/>
        </w:rPr>
        <w:t xml:space="preserve"> </w:t>
      </w:r>
      <w:r>
        <w:rPr>
          <w:rFonts w:ascii="Arial" w:cs="Arial" w:eastAsia="Arial" w:hAnsi="Arial"/>
          <w:sz w:val="14"/>
          <w:szCs w:val="14"/>
          <w:color w:val="auto"/>
        </w:rPr>
        <w:t>October 2021 and the AgeWell New York acquisition in 2022. Affinity Health Plan is a Medicaid managed care organization serving members in New York City, Westchester, Orange, Nassau, Suffolk, and Rockland counties in New York. AgeWell is a specialty managed care organization that provides long-term care services at home or in the community for those who are chronically ill or disabled in The Bronx, New York City, Queens, Brooklyn, Nassau, Westchester, and Suffolk counties. Our New York Medicaid contracts represented premium revenue of approximately $3,373 million, or 11%, of our consolidated Medicaid premium revenue in 2024.</w:t>
      </w:r>
    </w:p>
    <w:p>
      <w:pPr>
        <w:spacing w:after="0" w:line="55"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i w:val="1"/>
          <w:iCs w:val="1"/>
          <w:color w:val="auto"/>
        </w:rPr>
        <w:t xml:space="preserve">Texas. </w:t>
      </w:r>
      <w:r>
        <w:rPr>
          <w:rFonts w:ascii="Arial" w:cs="Arial" w:eastAsia="Arial" w:hAnsi="Arial"/>
          <w:sz w:val="14"/>
          <w:szCs w:val="14"/>
          <w:color w:val="auto"/>
        </w:rPr>
        <w:t>Our new contract for the Texas STAR+PLUS program commenced on September 1, 2024, retaining our entire existing footprint in each of Bexar, Dallas, El Paso, Harris,</w:t>
      </w:r>
      <w:r>
        <w:rPr>
          <w:rFonts w:ascii="Arial" w:cs="Arial" w:eastAsia="Arial" w:hAnsi="Arial"/>
          <w:sz w:val="14"/>
          <w:szCs w:val="14"/>
          <w:i w:val="1"/>
          <w:iCs w:val="1"/>
          <w:color w:val="auto"/>
        </w:rPr>
        <w:t xml:space="preserve"> </w:t>
      </w:r>
      <w:r>
        <w:rPr>
          <w:rFonts w:ascii="Arial" w:cs="Arial" w:eastAsia="Arial" w:hAnsi="Arial"/>
          <w:sz w:val="14"/>
          <w:szCs w:val="14"/>
          <w:color w:val="auto"/>
        </w:rPr>
        <w:t>Hidalgo, Jefferson, Northeast Texas, and Tarrant service areas and grew our market share. In the first quarter of 2024, we were notified of the Texas Health and Human Services Commission’s intent to award us a contract for TANF and CHIP (known in Texas as the STAR &amp; CHIP programs, and both existing contracts for Molina), expanding our footprint, and expecting to grow our market share. The expected start of operations and other final contract terms are still pending. Our Texas Medicaid contracts represented approximately $4,126 million, or 14%, of consolidated Medicaid premium revenue in 2024.</w:t>
      </w:r>
    </w:p>
    <w:p>
      <w:pPr>
        <w:spacing w:after="0" w:line="5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i w:val="1"/>
          <w:iCs w:val="1"/>
          <w:color w:val="auto"/>
        </w:rPr>
        <w:t xml:space="preserve">Washington. </w:t>
      </w:r>
      <w:r>
        <w:rPr>
          <w:rFonts w:ascii="Arial" w:cs="Arial" w:eastAsia="Arial" w:hAnsi="Arial"/>
          <w:sz w:val="14"/>
          <w:szCs w:val="14"/>
          <w:color w:val="auto"/>
        </w:rPr>
        <w:t>Our managed care contract with the Washington State Health Care Authority (“HCA”) covers all ten regions of the state’s Apple Health Integrated Managed Care</w:t>
      </w:r>
      <w:r>
        <w:rPr>
          <w:rFonts w:ascii="Arial" w:cs="Arial" w:eastAsia="Arial" w:hAnsi="Arial"/>
          <w:sz w:val="14"/>
          <w:szCs w:val="14"/>
          <w:i w:val="1"/>
          <w:iCs w:val="1"/>
          <w:color w:val="auto"/>
        </w:rPr>
        <w:t xml:space="preserve"> </w:t>
      </w:r>
      <w:r>
        <w:rPr>
          <w:rFonts w:ascii="Arial" w:cs="Arial" w:eastAsia="Arial" w:hAnsi="Arial"/>
          <w:sz w:val="14"/>
          <w:szCs w:val="14"/>
          <w:color w:val="auto"/>
        </w:rPr>
        <w:t>program, and was effective through December 31, 2024. HCA has renewed the contract through December 31, 2025, with a further renewal expected for 2026. HCA is expected to re-procure for Medicaid with an anticipated release of an RFP no earlier than sometime in 2026, with an expected contract effective date of January 1, 2027. Our Washington Medicaid contract represented approximately $3,998 million, or 13%, of consolidated Medicaid premium revenue in 2024.</w:t>
      </w:r>
    </w:p>
    <w:p>
      <w:pPr>
        <w:spacing w:after="0" w:line="53" w:lineRule="exact"/>
        <w:rPr>
          <w:sz w:val="20"/>
          <w:szCs w:val="20"/>
          <w:color w:val="auto"/>
        </w:rPr>
      </w:pPr>
    </w:p>
    <w:p>
      <w:pPr>
        <w:ind w:right="1340"/>
        <w:spacing w:after="0" w:line="379" w:lineRule="auto"/>
        <w:rPr>
          <w:sz w:val="20"/>
          <w:szCs w:val="20"/>
          <w:color w:val="auto"/>
        </w:rPr>
      </w:pPr>
      <w:r>
        <w:rPr>
          <w:rFonts w:ascii="Arial" w:cs="Arial" w:eastAsia="Arial" w:hAnsi="Arial"/>
          <w:sz w:val="14"/>
          <w:szCs w:val="14"/>
          <w:color w:val="auto"/>
        </w:rPr>
        <w:t xml:space="preserve">A loss of any of our significant Medicaid contracts could have a material adverse effect on our business, financial condition, cash flows, or results of operations. </w:t>
      </w:r>
      <w:r>
        <w:rPr>
          <w:rFonts w:ascii="Arial" w:cs="Arial" w:eastAsia="Arial" w:hAnsi="Arial"/>
          <w:sz w:val="14"/>
          <w:szCs w:val="14"/>
          <w:b w:val="1"/>
          <w:bCs w:val="1"/>
          <w:i w:val="1"/>
          <w:iCs w:val="1"/>
          <w:color w:val="auto"/>
        </w:rPr>
        <w:t>Basis for Premium Rates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Under our Medicaid contracts, state government agencies pay our health plans per-member per-month (“PMPM”) rates that vary by state, line of business, demographics and, in most instances, health risk factors. CMS requires these rates to be actuarially sound. In exchange for the payment received, Molina arranges, pays for, and manages healthcare services provided to Medicaid beneficiaries. Therefore, our health plans are at risk for the medical costs associated with their members’ healthcare. Premium rates under our Medicaid contracts are subject to each state’s annual appropriation process. The premium rates paid to our health plans may vary substantially between states and among various government programs and may not be commensurate with the current medical cost trends in the states and the health acuity levels of our members. For the year ended December 31, 2024, Medicaid program PMPM premium rates ranged from $290 to $1,380.</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2"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4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Our Medicaid health plans may benefit from auto-assignment of individuals who do not choose a plan, but for whom participation in managed care programs is mandatory. Each state differs in its approach to auto-assignment, but one or more of the following criteria is typical in auto-assignment algorithms: a Medicaid beneficiary's previous enrollment with a health plan or experience with a particular provider contracted with a health plan, enrolling family</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11" w:name="page12"/>
    <w:bookmarkEnd w:id="11"/>
    <w:p>
      <w:pPr>
        <w:ind w:right="160"/>
        <w:spacing w:after="0" w:line="290" w:lineRule="auto"/>
        <w:rPr>
          <w:sz w:val="20"/>
          <w:szCs w:val="20"/>
          <w:color w:val="auto"/>
        </w:rPr>
      </w:pPr>
      <w:r>
        <w:rPr>
          <w:rFonts w:ascii="Arial" w:cs="Arial" w:eastAsia="Arial" w:hAnsi="Arial"/>
          <w:sz w:val="14"/>
          <w:szCs w:val="14"/>
          <w:color w:val="auto"/>
        </w:rPr>
        <w:t>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Medicaid marketing efforts are regulated by the states in which we operate, each of which imposes different requirements for, or restrictions on, Medicaid sales and marketing.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These requirements and restrictions are revised from time to time. None of the jurisdictions in which we operate permit direct sales by Medicaid health plans.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MEDICARE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2"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Medicare is a federal program that provides eligible persons age 65 and over, and some disabled persons, with a variety of hospital, medical insurance, and prescription drug benefits. Medicare is funded by Congress, and administered by CMS. Medicare beneficiaries may enroll in a Medicare Advantage plan, under which managed care plans contract with CMS to provide benefits that are comparable to original Medicare. Since 2006, Medicare beneficiaries have had the option of selecting a prescription drug benefit from an existing Medicare Advantage plan. The drug benefit, available to beneficiaries for a monthly premium, is subject to cost-sharing depending upon the specific benefit design of the selected plan.</w:t>
      </w:r>
    </w:p>
    <w:p>
      <w:pPr>
        <w:spacing w:after="0" w:line="5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Over 12 million low-income elderly and disabled people qualify for both the Medicare and Medicaid 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 helping to cover Medicare’s premiums and cost-sharing requirements. Together, these two programs help to shield very low-income Medicare beneficiaries from potentially unaffordable out-of-pocket medical and long-term care costs.</w:t>
      </w:r>
    </w:p>
    <w:p>
      <w:pPr>
        <w:spacing w:after="0" w:line="5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We expect our Medicare enrollment to increase by approximately 3% in 2025, to a total of 250,000 members by the end of the year, including the 39,000 members we added as a result of the ConnectiCare acquisition, effective February 1, 2025. In 2025, we are participating in Medicare in all our markets except Florida and Iowa.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participate in the following Medicare programs:</w:t>
      </w:r>
    </w:p>
    <w:p>
      <w:pPr>
        <w:spacing w:after="0" w:line="94" w:lineRule="exact"/>
        <w:rPr>
          <w:sz w:val="20"/>
          <w:szCs w:val="20"/>
          <w:color w:val="auto"/>
        </w:rPr>
      </w:pPr>
    </w:p>
    <w:p>
      <w:pPr>
        <w:ind w:left="520" w:right="220" w:hanging="260"/>
        <w:spacing w:after="0" w:line="26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Medicare Advantage-Part D (“MAPD”) – We contract with CMS under the Medicare Advantage program to provide benefits in excess of original Medicare, including cost-sharing and enhanced prescription drug benefits under Part D, that are targeted towards low-income beneficiaries;</w:t>
      </w:r>
    </w:p>
    <w:p>
      <w:pPr>
        <w:ind w:left="520" w:right="720" w:hanging="260"/>
        <w:spacing w:after="0" w:line="25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Dual Eligible Special Needs Plan (“D-SNP”) – We contract with CMS to provide benefits in excess of original Medicare, including care coordination complex case management and care management;</w:t>
      </w:r>
    </w:p>
    <w:p>
      <w:pPr>
        <w:ind w:left="520" w:hanging="260"/>
        <w:spacing w:after="0" w:line="25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Highly-Integrated Dual Special Needs Plans (“HIDE”) – We contract with CMS and state Medicaid agencies to integrate care at a higher level than a typical D-SNP for dually eligible beneficiaries;</w:t>
      </w:r>
    </w:p>
    <w:p>
      <w:pPr>
        <w:ind w:left="520" w:right="380" w:hanging="260"/>
        <w:spacing w:after="0" w:line="25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Fully-Integrated Dual Special Needs Plans (“FIDE”) – We contract with CMS and state Medicaid agencies to fully integrate care for dually eligible beneficiaries under a single managed care plan;</w:t>
      </w:r>
    </w:p>
    <w:p>
      <w:pPr>
        <w:ind w:left="520" w:right="20" w:hanging="260"/>
        <w:spacing w:after="0" w:line="269"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Medicare-Medicaid Plans (“MMP”) – To coordinate care and deliver services in a more financially efficient manner, some states have undertaken demonstration programs to integrate Medicare and Medicaid services for dual-eligible individuals. Our MMPs are transitioning to other products, as described further below.</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2"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enter into MAPD contracts with CMS annually, and for D-SNP, HIDE, FIDE and MMP (collectively, “dual-eligible programs”), we enter into contracts with CMS, in partnership with each state’s department of health and human services. Such contracts typically have terms of one to three years.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Status of MMP Contracts</w:t>
      </w:r>
    </w:p>
    <w:p>
      <w:pPr>
        <w:spacing w:after="0" w:line="9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In May 2022, CMS published a Final Rule that addressed the termination of the Financial Alignment Initiative Demonstration. Under a provision within the Final Rule, states can maintain their existing MMP through a two-year extension until December 31, 2025, so long as the applicable state provided CMS with a transition plan by October 1, 2022. In the proposed rule for contract year 2025, CMS has further provided states with a process for identifying a pathway to a FIDE or HIDE D-SNP plan.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Our California MMP members were transitioned to Molina’s California EAE-SNP products early in 2023.</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November 2024, our Ohio health plan was awarded a contract to provide benefits to the state’s Next Generation MyCare program. The new contract is expected to commence on January 1, 2026 in the 29 counties where MyCare</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Ohio is currently available, with statewide expansion of the program following as quickly as possible.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December 2024, our Michigan health plan was awarded a contract to provide benefits for the state’s HIDE D-SNP in eleven service regions. The new contract, which is expected to commence on January 1, 2026 in select regions, will be implemented statewide in 2027.</w:t>
      </w:r>
    </w:p>
    <w:p>
      <w:pPr>
        <w:spacing w:after="0" w:line="35"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In South Carolina, we expect MMP members to be cross-walked to a HIDE product without an RFP process. In Texas, we expect MMP members to be cross-walked to a FIDE product without an RFP process. Illinois has issued an RFP to transition MMP members to a FIDE D-SNP effective January 1, 2026.</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Premium Rates</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Under Medicare Advantage, managed care plans contract with CMS, and for the dual-eligible programs with CMS and state governments, to provide benefits in exchange for a PMPM premium payment that varies based on health plan Star rating and member demographics, including county of residence and health risk factors. The premium payment considers inflation, non-benefit expense requirements, other Medicare Advantage bids submitted to CMS, changes in utilization patterns and average per capita fee-for-service Medicare costs in the calculation of the PMPM premium payment. Amounts payable to us under the dual-eligible programs and Medicare Advantage contracts are subject to annual revision by CMS, including any federal budget cuts or tax changes applicable to Medicare. We elect to participate in each Medicare service area or region on an annual basis.</w:t>
      </w:r>
    </w:p>
    <w:p>
      <w:pPr>
        <w:spacing w:after="0" w:line="5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CMS developed the Medicare Advantage Star ratings system to help beneficiaries choose among competing plans, awarding between 1.0 and 5.0 stars to Medicare Advantage plans based on performance in certain measures of quality. The Star ratings are used by CMS to award quality bonus payments to Medicare Advantage plans. Beginning with the 2014 Star ratings, Medicare Advantage plans were required to achieve a minimum of 4.0 Stars to qualify for a quality bonus payment. In addition, a Medicare Advantage plan will be determined to be low-performing if it receives fewer than three stars for three consecutive years. Beginning in 2016, those Medicare plans that achieve less than a three-star rating for three consecutive years will be issued a notice of non-renewal of their contract for the following year. See further discussion of Star ratings under </w:t>
      </w:r>
      <w:r>
        <w:rPr>
          <w:rFonts w:ascii="Arial" w:cs="Arial" w:eastAsia="Arial" w:hAnsi="Arial"/>
          <w:sz w:val="14"/>
          <w:szCs w:val="14"/>
          <w:i w:val="1"/>
          <w:iCs w:val="1"/>
          <w:color w:val="auto"/>
        </w:rPr>
        <w:t>Operations/Quality</w:t>
      </w:r>
      <w:r>
        <w:rPr>
          <w:rFonts w:ascii="Arial" w:cs="Arial" w:eastAsia="Arial" w:hAnsi="Arial"/>
          <w:sz w:val="14"/>
          <w:szCs w:val="14"/>
          <w:color w:val="auto"/>
        </w:rPr>
        <w:t>.</w:t>
      </w:r>
    </w:p>
    <w:p>
      <w:pPr>
        <w:spacing w:after="0" w:line="55"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Medicare Advantage premiums are subject to retroactive increase or decrease based on the health status of our Medicare members, as measured by member risk scores determined pursuant to the CMS risk adjustment model. The data we provide to CMS to determine risk scores is subject to audit by CMS at the contract level, by plan year on an on-going basis. Such risk adjustment data validation (“RADV”) audits can result in retroactive and prospective premium adjustments. We record the estimated impact of audit settlements as a reduction to premium revenues, based upon available information, in the year that CMS determines repayment is required. On January 30, 2023, CMS finalized its approach to RADV audits, including its decision to extrapolate the results of audit samples when calculating payment errors, which will also not include the Fee-For-Service Adjuster. CMS will apply extrapolation to audits for the 2018 payment year. On November 14, 2024, CMS initiated the payment year 2018 MA RADV audits, and CMS expects to begin issuing payment year 2018 audit findings in mid-calendar year 2026. CMS also announced the removal of the Fee-For-Service Adjuster from the risk adjustment data validation audit methodology beginning for payment year 2018. On March 31, 2023, CMS issued its final 2024 Medicare Advantage Rate Announcement, which implements a three-year phase-in of certain changes to the methodology CMS will use to perform risk adjustment for plan years 2024 through 2026. Under the new risk adjustment model that was implemented in 2024, CMS has changed the manner by which over 2,000 diagnosis codes, across a range of disease and condition categories, are considered for purposes of patient risk scoring, with certain of these codes no longer impacting risk scoring. On April 1, 2024, CMS released the 2025 Medicare Advantage Rate Announcement, which continues the three-year phase in by blending 67% of the risk score calculated using the updated 2024 MA risk adjustment model with 33% of the risk score calculated using the 2020 MA risk adjustment model. In addition, CMS also finalized improvements to the Part D drug benefit for 2025, limiting out-of-pocket costs for prescription drugs for seniors to no more than $2,000.</w:t>
      </w:r>
    </w:p>
    <w:p>
      <w:pPr>
        <w:spacing w:after="0" w:line="229"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Compared with our Medicaid programs, Medicare programs generate higher average PMPM revenues and healthcare costs. For the year ended December 31, 2024, Medicare program PMPM premium rates ranged from $1,140 to $4,310.</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2"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Our Medicare members may be enrolled through auto-assignment, as described above in “Medicaid—Member Enrollment and Marketing,” or by enrolling in our plans with the assistance of insurance agents employed by Molina, outside brokers, or via the Internet. Generally, the enrollment period occurs between mid-October and early December for coverage that begins on the following January 1.</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3" w:name="page14"/>
    <w:bookmarkEnd w:id="13"/>
    <w:p>
      <w:pPr>
        <w:ind w:right="620"/>
        <w:spacing w:after="0" w:line="271" w:lineRule="auto"/>
        <w:rPr>
          <w:sz w:val="20"/>
          <w:szCs w:val="20"/>
          <w:color w:val="auto"/>
        </w:rPr>
      </w:pPr>
      <w:r>
        <w:rPr>
          <w:rFonts w:ascii="Arial" w:cs="Arial" w:eastAsia="Arial" w:hAnsi="Arial"/>
          <w:sz w:val="14"/>
          <w:szCs w:val="14"/>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 benefits, describing the operations of our managed care plans, and providing information about eligibility requirements.</w:t>
      </w:r>
    </w:p>
    <w:p>
      <w:pPr>
        <w:spacing w:after="0" w:line="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MARKETPLACE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ACA authorized the creation of Marketplace insurance exchanges, allowing individuals and small groups to purchase federally subsidized health insurance effective January 1, 2014. Marketplace plans must be ACA-compliant, meeting standards established by the federal government, including a requirement to cover certain essential health benefits. Certain beneficiaries qualify for premium tax credits and cost-sharing reductions based on annual household income. Plans are categorized by metal tiers (Platinum, Gold, Silver or Bronze), which determine how beneficiaries and the plan share costs (e.g., premiums, out-of-pocket costs and deductibles).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2025, we are participating in the Marketplace in all our markets except Arizona, Iowa, Massachusetts, Nebraska, New York, and Virginia.</w:t>
      </w:r>
    </w:p>
    <w:p>
      <w:pPr>
        <w:spacing w:after="0" w:line="57"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expect our Marketplace enrollment to increase by almost 50% in 2025, to a total of 580,000 members by the end of the year, including the 66,000 members we added as a result of the ConnectiCare acquisition, effective February 1, 2025. This would represent an estimated Marketplace premium revenue increase of approximately 60% in 2025, while continuing to maintain our target margins.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enter into contracts with CMS annually for the state Marketplace programs. These contracts have a one-year term ending on December 31, and must be renewed annually.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Premium Rates</w:t>
      </w:r>
    </w:p>
    <w:p>
      <w:pPr>
        <w:spacing w:after="0" w:line="92"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 federal authorities in accordance with the rules and regulations applicable to the ACA individual market, including, but not limited to, minimum loss ratio thresholds and adjustments for permissible rate variations by age, geographic area, and variations in plan design. In the year ended December 31, 2024, Marketplace program PMPM premium rates ranged from $400 to $1,980.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Member Enrollment and Marketing</w:t>
      </w:r>
    </w:p>
    <w:p>
      <w:pPr>
        <w:spacing w:after="0" w:line="92"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Our Marketplace members enroll in our plans with the assistance of insurance agents employed by Molina, outside brokers, vendors, direct to consumer marketing, and via the Internet.</w:t>
      </w:r>
    </w:p>
    <w:p>
      <w:pPr>
        <w:spacing w:after="0" w:line="35"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4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Marketplace sales and marketing strategy is to provide high quality, affordable, compliant and consumer-centric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ind w:right="380"/>
        <w:spacing w:after="0" w:line="289" w:lineRule="auto"/>
        <w:rPr>
          <w:sz w:val="20"/>
          <w:szCs w:val="20"/>
          <w:color w:val="auto"/>
        </w:rPr>
      </w:pPr>
      <w:r>
        <w:rPr>
          <w:rFonts w:ascii="Arial" w:cs="Arial" w:eastAsia="Arial" w:hAnsi="Arial"/>
          <w:sz w:val="14"/>
          <w:szCs w:val="14"/>
          <w:color w:val="auto"/>
        </w:rPr>
        <w:t>CMS and the departments of insurance in the states in which we participate. Our sales cycle typically peaks during the annual Open Enrollment Period (“OEP”) as defined and regulated by CMS and the applicable FFM and SBM</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TRENDS AND UNCERTAINTIES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REGULATORY DEVELOPMENTS AND RELATED TRENDS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Economic Stabilization and Other Programs</w:t>
      </w:r>
    </w:p>
    <w:p>
      <w:pPr>
        <w:spacing w:after="0" w:line="9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COVID-19 pandemic was the worst public health crisis of the last 100 years, and a national public health emergency (“PHE”) was declared. The surge of COVID-19 cases, hospitalizations, and testing requirements put increased pressure on medical costs in 2020 and 2021. The increases were more than offset by a reduction in non-COVID related costs, including the postponement and cancellation of elective procedures; however, many of our state Medicaid partners implemented medical cost risk corridors, which resulted in increased rebate payments back to the states. The impact of the pandemic began to decrease in 2022, as the high levels of vaccination, widespread population immunity, and available treatments significantly reduced the risk of severe COVID-19 disease, hospitalization, and death.</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The Consolidated Appropriations Act of 2023 authorized states to resume redeterminations and terminate coverage for ineligible enrollees starting on April 1, 2023, irrespective of the status of the PHE. Consequently, all states in which we operate had begun disenrolling members, resulting in a loss of members that were gained due to the suspension of redetermination for Medicaid eligibility during the PHE.</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PHE officially ended on May 11, 2023. There are several healthcare programs tied to the PHE which were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continued through 2024, and some are expected to remain in place permanently.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Enrollment and Premium Revenue</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Excluding acquisitions and our exit from Puerto Rico, we estimate we added approximately one million new Medicaid members since March 31, 2020, when we first began to report on the impacts of the pandemic. We believe this membership increase was mainly due to the suspension of redeterminations for Medicaid eligibility. Due to the resumption of redeterminations discussed above, we estimate we lost approximately 675,000 members, based on our experience to date. The medical cost profile of members who have been disenrolled is more favorable than the Medicaid segment average, and when combined with higher utilization in our continuing population, our Medicaid MCR for the year ended December 31, 2024 was higher than our expectations and above our long-term target. Based on the experience to date, we expect that we will ultimately retain approximately 30% of the membership gained since March 31, 2020.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LEGISLATIVE AND POLITICAL ENVIRONMENT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PRESSURES ON FUNDING</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Due to states’ budget challenges and political agendas at both the state and federal levels, there are a number of different legislative proposals being considered, some of which would involve significantly reduced federal or state spending on the Medicaid and Medicare programs, constitute a fundamental change to the federal role in healthcare and, if enacted, could have a material adverse effect on our business, financial condition, cash flows, or results of operations. These proposals include elements such as the following, as well as numerous other potential changes and reforms:</w:t>
      </w:r>
    </w:p>
    <w:p>
      <w:pPr>
        <w:spacing w:after="0" w:line="53" w:lineRule="exact"/>
        <w:rPr>
          <w:sz w:val="20"/>
          <w:szCs w:val="20"/>
          <w:color w:val="auto"/>
        </w:rPr>
      </w:pPr>
    </w:p>
    <w:p>
      <w:pPr>
        <w:ind w:left="520" w:right="60" w:hanging="260"/>
        <w:spacing w:after="0" w:line="26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entitlement nature of Medicaid (and perhaps Medicare as well) by capping future increases in federal health spending for these programs, reducing the FMAP, paid to states by the federal government, overall or solely for the ACA Medicaid expansion population in states, and shifting much more of the risk for health costs in the future to states and consumers;</w:t>
      </w: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Reversing the ACA’s expansion of Medicaid that enables states to cover low-income childless adults;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Changing Medicaid to a state block grant program, including potentially capping spending on a per-enrollee basis;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Requiring Medicaid beneficiaries to work;</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Limiting the amount of lifetime benefits for Medicaid beneficiaries;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Raising Medicare eligibility to age 67;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some states, shifting to an alignment of Medicaid and Medicare for dual eligible members.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5" w:name="page16"/>
    <w:bookmarkEnd w:id="15"/>
    <w:p>
      <w:pPr>
        <w:ind w:right="140"/>
        <w:spacing w:after="0" w:line="265" w:lineRule="auto"/>
        <w:rPr>
          <w:sz w:val="20"/>
          <w:szCs w:val="20"/>
          <w:color w:val="auto"/>
        </w:rPr>
      </w:pPr>
      <w:r>
        <w:rPr>
          <w:rFonts w:ascii="Arial" w:cs="Arial" w:eastAsia="Arial" w:hAnsi="Arial"/>
          <w:sz w:val="14"/>
          <w:szCs w:val="14"/>
          <w:color w:val="auto"/>
        </w:rPr>
        <w:t>Recently, members of the U.S. House of Representatives have started to weigh a series of legislative proposals targeting Medicaid, Medicare, and other entitlement programs as part of a broader campaign to reduce federal spending, and they may pursue these spending cuts in exchange for their support of raising the debt ceiling, the legal cap that allows the U.S. government to borrow money to pay its bills. In addition, President Trump has issued a number of executive orders intended to reduce government spending, and we expect there will be continued proposals targeting reimbursement methodologies and the number of individuals eligible for government healthcare programs.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AFFORDABLE CARE ACT</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In addition to past proposals calling for the full repeal of the Affordable Care Act - proposals which could be renewed again in the future - proposed changes and reforms to the ACA have included, or may include, the following:</w:t>
      </w:r>
    </w:p>
    <w:p>
      <w:pPr>
        <w:spacing w:after="0" w:line="35" w:lineRule="exact"/>
        <w:rPr>
          <w:sz w:val="20"/>
          <w:szCs w:val="20"/>
          <w:color w:val="auto"/>
        </w:rPr>
      </w:pPr>
    </w:p>
    <w:p>
      <w:pPr>
        <w:ind w:left="520" w:right="680" w:hanging="260"/>
        <w:spacing w:after="0" w:line="26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Eliminating or reducing the advanced premium tax credits and cost sharing reductions for low-income individuals who purchase their health insurance through the Marketplaces;</w:t>
      </w: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Expanding and encouraging the use of private health savings accounts;</w:t>
      </w:r>
    </w:p>
    <w:p>
      <w:pPr>
        <w:spacing w:after="0" w:line="8" w:lineRule="exact"/>
        <w:rPr>
          <w:rFonts w:ascii="Arial" w:cs="Arial" w:eastAsia="Arial" w:hAnsi="Arial"/>
          <w:sz w:val="14"/>
          <w:szCs w:val="14"/>
          <w:color w:val="auto"/>
        </w:rPr>
      </w:pPr>
    </w:p>
    <w:p>
      <w:pPr>
        <w:ind w:left="520" w:right="60" w:hanging="260"/>
        <w:spacing w:after="0" w:line="25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Providing for insurance plans that offer fewer and less extensive health insurance benefits than under the ACA’s essential health benefits package, including broader use of catastrophic coverage plans, or short-term health insurance;</w:t>
      </w: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Establishing and funding high risk pools or reinsurance programs for individuals with chronic or high-cost conditions;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Allowing insurers to sell insurance across state lines.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passage of any of these changes or other reforms could have a material adverse effect on our business, financial condition, cash flows, or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OPERATIONS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QUALITY</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long-term success depends, to a significant degree, on the quality of the services we provide. We are focused on providing our members effective and appropriate access to care at the right time and in the right setting, including preventive health and wellness and care management. We offer our government customers, members and providers reliable service and a seamless experience.</w:t>
      </w:r>
    </w:p>
    <w:p>
      <w:pPr>
        <w:spacing w:after="0" w:line="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As of December 31, 2024, 19 of our health plans were accredited by the National Committee for Quality Assurance (“NCQA”), and 17 of our health plans have earned NCQA’s Health Equity Accreditation, which is awarded to organizations that lead the market in providing culturally and linguistically sensitive services and work to reduce disparities in health care. Additionally, eight health plans earned NCQA’s Long Term Services and Supports Distinction. We believe that these objective measures of quality are important to state Medicaid agencies, as a growing number of states link reimbursement and patient assignment to quality scores.</w:t>
      </w:r>
    </w:p>
    <w:p>
      <w:pPr>
        <w:spacing w:after="0" w:line="53"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 October 2022, CMS published its updated Medicare 2023 Star Ratings based on plan year 2021 data. For the 2023 Star Ratings, five of our plans had a decrease of 0.5 Stars, two of our plans had a decrease of 1 Star, one plan had a decrease of 1.5 Stars, and two plans either maintained or increased Star Ratings by 0.5. The decreases to the 2023 Star Ratings impacted the 2024 bonus year payments.</w:t>
      </w:r>
    </w:p>
    <w:p>
      <w:pPr>
        <w:spacing w:after="0" w:line="49"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In October 2023, CMS published its updated Medicare 2024 Star Ratings based on plan year 2022 data. For the 2024 Star Ratings, three of our plans had a decrease of 0.5 Stars, one of our plans had a decrease of 1 Star, four plans maintained their ratings, and one plan had an increase of 0.5 Stars. The decreases to the 2024 Star Ratings impact the 2025 bonus year payments.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October 2024, CMS published its updated Medicare 2025 Star Ratings based on plan year 2023 data. For the 2025 Star Ratings, six plans maintained their ratings, two plans had an increase of 0.5 Stars, and one plan had an increase of 1 Star, and three of our plans had a decrease of 0.5 Stars. The 2025 Star Rating included an additional plan reaching 3.5 Stars, strengthening our 2026 rebates.</w:t>
      </w:r>
    </w:p>
    <w:p>
      <w:pPr>
        <w:spacing w:after="0" w:line="6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Approximately 45% of our 2025 Medicare premium revenue is not impacted by Star Ratings. We are actively working on improvement plans and remain committed to invest in these programs to improve our quality Star scores with a focus on member experience and access measures.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ind w:right="240"/>
        <w:spacing w:after="0" w:line="290" w:lineRule="auto"/>
        <w:rPr>
          <w:sz w:val="20"/>
          <w:szCs w:val="20"/>
          <w:color w:val="auto"/>
        </w:rPr>
      </w:pPr>
      <w:r>
        <w:rPr>
          <w:rFonts w:ascii="Arial" w:cs="Arial" w:eastAsia="Arial" w:hAnsi="Arial"/>
          <w:sz w:val="14"/>
          <w:szCs w:val="14"/>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31750</wp:posOffset>
            </wp:positionV>
            <wp:extent cx="2910205" cy="3732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10205" cy="373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PROVIDERS</w:t>
      </w:r>
    </w:p>
    <w:p>
      <w:pPr>
        <w:spacing w:after="0" w:line="94"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arrange healthcare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 insight into the needs of both our members and our providers.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Physicians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healthcare providers receive fixed, pre-arranged monthly payments per enrolled member, whereas under fee-for-service payment arrangements, healthcare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Hospitals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generally contract with hospitals that have significant experience dealing with the medical needs of the Medicaid population. We reimburse hospitals under a variety of payment methods, including fee-for-service, per diems, diagnostic-related groups, capitation, and case rates.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Ancillary Providers</w:t>
      </w:r>
    </w:p>
    <w:p>
      <w:pPr>
        <w:spacing w:after="0" w:line="9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Pharmacy</w:t>
      </w:r>
    </w:p>
    <w:p>
      <w:pPr>
        <w:spacing w:after="0" w:line="9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outsource pharmacy benefit management services, including claims processing, pharmacy network contracting, rebate processing and mail and specialty pharmacy fulfillment services. Via a “Market Check” provision in the agreement with our long-standing pharmacy benefit management (“PBM”) company, CVS Caremark (“Caremark”), we re-negotiated network and administrative costs (for calendar years 2024 through 2026) to Molina’s benefit. The benefit was largely driven by improvements in network rates, partially offset by higher administrative costs.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MANAGEMENT</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mission is to improve the health outcomes and lives of our members by delivering high-quality healthcare. We believe our singular focus on government-sponsored healthcare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Utilization Management</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Our goal is to optimize access to low-cost, high-quality care. This is achieved by sound clinical policy based on current evidence-based practices. Additionally, we continuously monitor utilization patterns and strive to identify new opportunities to reduce costs and improve quality of care. Our utilization management process serves as a bridge to identify at-risk members for referral into internally developed case management programs such as “</w:t>
      </w:r>
      <w:r>
        <w:rPr>
          <w:rFonts w:ascii="Arial" w:cs="Arial" w:eastAsia="Arial" w:hAnsi="Arial"/>
          <w:sz w:val="14"/>
          <w:szCs w:val="14"/>
          <w:i w:val="1"/>
          <w:iCs w:val="1"/>
          <w:color w:val="auto"/>
        </w:rPr>
        <w:t>Transitions of Care</w:t>
      </w:r>
      <w:r>
        <w:rPr>
          <w:rFonts w:ascii="Arial" w:cs="Arial" w:eastAsia="Arial" w:hAnsi="Arial"/>
          <w:sz w:val="14"/>
          <w:szCs w:val="14"/>
          <w:color w:val="auto"/>
        </w:rPr>
        <w:t>,” which facilitates post-discharge safety and appropriate outcomes.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Population Management</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 comprehensive and customized approach is designed to help members achieve their goals and improve their overall quality of life.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Pharmacy Management</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Medical Cost Management</w:t>
      </w:r>
    </w:p>
    <w:p>
      <w:pPr>
        <w:spacing w:after="0" w:line="9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use various strategies to mitigate the negative effects of healthcare cost inflation. Specifically, our health plans use coordination of care programs for our members, product and benefit designs, hospital inpatient management systems, sophisticated analytics, and care management programs related to complex chronic conditions, prenatal and premature infant care and certain other conditions. Our health plans emphasize preventive healthcare and appropriate use of specialty and hospital services with their contracted independent providers.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828282"/>
        </w:rPr>
        <w:t>INFORMATION TECHNOLOGY</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We have partnered with third parties to support our information technology systems. This makes our operations vulnerable to adverse effects if such third parties fail to perform adequately. In 2019, we entered into an agreement with a third-party vendor who manages certain of our information technology services including, among other things, our infrastructure operations, end-user services, data centers, public cloud and application management. In 2022, we extended our agreement for an additional seven years. As a result of the agreement, we were able to reduce our administrative expenses, while improving the reliability of our information technology functions, and maintain targeted levels of service and operating performance. A portion of these services are provided on our premises, while other portions of the services are performed at the vendor’s facilities.</w:t>
      </w:r>
    </w:p>
    <w:p>
      <w:pPr>
        <w:spacing w:after="0" w:line="49"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acquisitions and increased security risks.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CENTRALIZED SERVICES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COMPETITIVE CONDITIONS AND ENVIRONMENT</w:t>
      </w:r>
    </w:p>
    <w:p>
      <w:pPr>
        <w:spacing w:after="0" w:line="87"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3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Medicaid managed care industry is subject to ongoing changes as a result of healthcare reform, business consolidations and new strategic alliances. We compete with national, regional, and local Medicaid managed care companies, and health maintenance organizations, principally on the basis of size, location, quality of the provider network, quality of service, and reputation. There is increasing competition driven by renewed interest from large national health plans. Our primary competitors in the Medicaid managed care industry include Centene Corporation, CVS Health Corporation, Elevance Health, Inc., UnitedHealth Group Inc., and large not-for-profit healthcare organizations. Competition can vary considerably from state to state, and some of our competitors have larger membership bases and/or greater financial resources than our health plans in the markets in which we compete.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Medicare market is highly competitive across the country, with large competitors, such as CVS Health Corporation, Humana Inc., and UnitedHealth Group Inc.</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Margins and the risk pool are stabilizing with the market returning to rational pricing; however, a potential sunset of enhanced subsidiaries creates risk to near-term growth and risk pool stability. Low-income members who receive</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9" w:name="page20"/>
    <w:bookmarkEnd w:id="19"/>
    <w:p>
      <w:pPr>
        <w:ind w:right="680"/>
        <w:spacing w:after="0" w:line="290" w:lineRule="auto"/>
        <w:rPr>
          <w:sz w:val="20"/>
          <w:szCs w:val="20"/>
          <w:color w:val="auto"/>
        </w:rPr>
      </w:pPr>
      <w:r>
        <w:rPr>
          <w:rFonts w:ascii="Arial" w:cs="Arial" w:eastAsia="Arial" w:hAnsi="Arial"/>
          <w:sz w:val="14"/>
          <w:szCs w:val="14"/>
          <w:color w:val="auto"/>
        </w:rPr>
        <w:t>government subsidies comprise the vast majority of Marketplace membership, which is served by a limited number of health plans. Our primary competitor for low-income Marketplace membership is Centene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REGULATION</w:t>
      </w:r>
    </w:p>
    <w:p>
      <w:pPr>
        <w:spacing w:after="0" w:line="8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Compliance with such laws and rules may lead to additional costs related to the implementation of additional systems, procedures and programs that we have not yet identified. Such agencies have become increasingly active in recent years in their review and scrutiny of health insurers and managed care organizations, including those operating in the Medicaid and Medicare programs.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HIPAA AND THE HITECH ACT</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1996, Congress enacted the Health Insurance Portability and Accountability Act (“HIPAA”). All health plans are subject to HIPAA, including ours. HIPAA generally requires health plans to:</w:t>
      </w:r>
    </w:p>
    <w:p>
      <w:pPr>
        <w:spacing w:after="0" w:line="35"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 the capability to receive and transmit electronically certain administrative healthcare transactions, such as claims payments, in a standardized format;</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Afford privacy to patient health information;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Protect the privacy of patient health information through physical and electronic security measures.</w:t>
      </w:r>
    </w:p>
    <w:p>
      <w:pPr>
        <w:spacing w:after="0" w:line="80"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and/or a business associate. HIPAA privacy regulations do not preempt more stringent state privacy laws and regulations that may apply to us.</w:t>
      </w:r>
    </w:p>
    <w:p>
      <w:pPr>
        <w:spacing w:after="0" w:line="5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We maintain a HIPAA compliance program, which we believe complies with HIPAA privacy and security regulations, and monitor our compliance with applicable state and federal privacy and security laws and regulations.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Healthcare reform created additional tools for fraud prevention, including increased oversight of providers and suppliers participating or enrolling in Medicaid, CHIP, and Medicare.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Those enhancements included mandatory licensure for all providers, and site visits, fingerprinting, and criminal background checks for higher risk providers.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FRAUD AND ABUSE LAWS AND THE FALSE CLAIMS ACT</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w:t>
      </w:r>
    </w:p>
    <w:p>
      <w:pPr>
        <w:spacing w:after="0" w:line="57"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government healthcare programs such as Medicaid and Medicare are required to maintain compliance programs to detect and deter fraud, waste and abuse, and are often the subject of fraud, waste and abuse investigations and audits.</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federal and state law are brought by a private individual, known as a relator, on behalf of the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0" w:name="page21"/>
    <w:bookmarkEnd w:id="20"/>
    <w:p>
      <w:pPr>
        <w:ind w:right="320"/>
        <w:spacing w:after="0" w:line="265" w:lineRule="auto"/>
        <w:rPr>
          <w:sz w:val="20"/>
          <w:szCs w:val="20"/>
          <w:color w:val="auto"/>
        </w:rPr>
      </w:pPr>
      <w:r>
        <w:rPr>
          <w:rFonts w:ascii="Arial" w:cs="Arial" w:eastAsia="Arial" w:hAnsi="Arial"/>
          <w:sz w:val="14"/>
          <w:szCs w:val="14"/>
          <w:color w:val="auto"/>
        </w:rPr>
        <w:t xml:space="preserve">government. A relator who brings a successful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LICENSING AND SOLVENCY</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Our health plans are generally licensed by the insurance departments in the states in which they operate, except the following: our California health plans are licensed by the California Department of Managed Health Care; one of our New York health plans is licensed as a prepaid health services plan by the New York State Department of Health; and our Massachusetts health plan is regulated as a risk-bearing entity by the Massachusetts Executive Office of Health and Human Services.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15, “Commitments and Contingencies—Regulatory Capital Requirements and Dividend Restrictions.”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HUMAN CAPITAL</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we had just over 18,000 employees. Our diverse employee population reflects the diversity of the members and communities we serve.</w:t>
      </w:r>
    </w:p>
    <w:p>
      <w:pPr>
        <w:spacing w:after="0" w:line="94"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We continue to focus on providing opportunities for our employees that are intellectually stimulating and emotionally fulfilling, and programs and benefits that are financially rewarding. We are also focused on attracting and retaining top talent in a competitive market.</w:t>
      </w:r>
    </w:p>
    <w:p>
      <w:pPr>
        <w:spacing w:after="0" w:line="35"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We continue to introduce improvements focused on employee development, leader effectiveness, hiring strategies, and human capital policies and practices. We believe these improvements help us to achieve our goal to become a destination employer in the government-sponsored healthcare industry.</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Annually, we invite all employees to participate in our engagement survey. The purpose of our survey is to obtain honest, comprehensive feedback on what is going well, and which strategic, operational or cultural concerns are top of mind for our employees. Our results demonstrate improvement and exceed industry benchmarks.</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Succession planning and managing our talent pipelines continue to be key to our human capital strategy. We regularly monitor high performer retention and development. Our performance management practices and pay and recognition programs are aligned with meeting and exceeding our corporate objectives. The board of directors has purview to our employee engagement survey results, key executive performance, and succession planning.</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offer formal leadership development programs including new leader orientation, executive onboarding, front-line leadership essentials, and experienced leader development. We have targeted development plans for critical roles with an emphasis on leadership and business acumen.</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invest in our workforce through market competitive total rewards including pay, benefits and time-off. Our pay and recognition programs are designed to engage, motivate and reward top performers and attract new talent. To foster ownership and align the interests of employees with shareholders, we offer an Employee Stock Purchase Plan and grant equity-based compensation under our long-term incentive plan to eligible employees.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We also offer a comprehensive suite of benefits to all eligible employees, including, among others:</w:t>
      </w:r>
    </w:p>
    <w:p>
      <w:pPr>
        <w:spacing w:after="0" w:line="94"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Comprehensive health insurance coverage for employees working 30 hours or more per week;</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401(k) employer matching contributions of up to 100% on the first 4% contributed by the employee;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Personal time off that provides employees with paid time away from work, combining vacation and sick leave;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Paid parental leave to support bonding time for new parents;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Volunteer time off that provides employees with paid time away from work to build strong community partnerships and connect with the people we serve;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 wellness programs that provide tools and incentives to live a healthy life focusing on physical, emotional, financial, and work well-being;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Supplemental life insurance and disability plans to provide financial security for our employees and their families;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 discount and other programs, including tuition reimbursement; and</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ind w:left="520" w:right="8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Employee assistance program benefits that provide up to six confidential counseling sessions per rolling 12-month period and includes assistance with physical, emotional, and financial related matters.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AVAILABLE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Our principal executive offices are located at 200 Oceangate, Suite 100, Long Beach, California 90802, and our telephone number is (562) 435-3666.</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You can access our website at </w:t>
      </w:r>
      <w:r>
        <w:rPr>
          <w:rFonts w:ascii="Arial" w:cs="Arial" w:eastAsia="Arial" w:hAnsi="Arial"/>
          <w:sz w:val="14"/>
          <w:szCs w:val="14"/>
          <w:i w:val="1"/>
          <w:iCs w:val="1"/>
          <w:color w:val="auto"/>
        </w:rPr>
        <w:t>www.molinahealthcare.com</w:t>
      </w:r>
      <w:r>
        <w:rPr>
          <w:rFonts w:ascii="Arial" w:cs="Arial" w:eastAsia="Arial" w:hAnsi="Arial"/>
          <w:sz w:val="14"/>
          <w:szCs w:val="14"/>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Code of Business Conduct and Ethics and Environmental, Social and Governance Report. We make periodic reports and amendments available, free of charge, as soon as reasonably practicable after we file or furnish these reports to the U.S. Securities and Exchange Commission (“SEC”). Additionally, the SEC maintains their website, http://www.sec.gov, that contains reports, proxy and information statements, and other information regarding issuers that file electronically with the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(including the charters, reports, policies and documents noted above) is neither part of nor incorporated by reference into this Form 10-K or any other SEC filings.</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0F7C7F"/>
        </w:rPr>
        <w:t>Item 1A. RISK FACTORS</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Our business involves significant risks. 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w:t>
      </w:r>
    </w:p>
    <w:p>
      <w:pPr>
        <w:spacing w:after="0" w:line="4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RISKS RELATED TO OUR BUSINESS</w:t>
      </w:r>
    </w:p>
    <w:p>
      <w:pPr>
        <w:spacing w:after="0" w:line="96"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If the responsive bids of our health plans for new or renewed Medicaid contracts are not successful, or if our government contracts are terminated or are not renewed on favorable terms, our premium revenues could be materially reduced and our operating results could be negatively impacted.</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currently derive our premium revenues from health plans that operate in 21 states. Our Medicaid premium revenue constituted 79% of our consolidated premium revenue in the year ended December 31, 2024. Measured by Medicaid premium revenue by health plan, our top four health plans were in California, New York, Texas, and Washington, with aggregate Medicaid premium revenue of $15.6 billion, or approximately 51% of total Medicaid premium revenue, in the year ended December 31, 2024.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Many of our government contracts are effective only for a fixed period of time and will only be extended for an additional period of time if the contracting entity elects to do so. When our government contracts expire, they may be opened for bidding by competing health plans, and there is no guarantee that the contracts will be renewed or extended. Even if our contracts are renewed or extended, there can be no assurance that they will be renewed or extended on the same terms or without a reduction in the applicable service areas.</w:t>
      </w:r>
    </w:p>
    <w:p>
      <w:pPr>
        <w:spacing w:after="0" w:line="49"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inadequate or significantly delayed premiums could negatively affect our business, financial condition, cash flows, or results of operations.</w:t>
      </w:r>
    </w:p>
    <w:p>
      <w:pPr>
        <w:spacing w:after="0" w:line="9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in which our health plans operate. We use a large portion of our revenues to pay the costs of healthcare services delivered to our members. If premiums do not increase when expenses related to healthcare services rise, our medical margins will be compressed, and our earnings will be negatively affected. If the actuarial assumptions made by a state in implementing a rate or benefit change or update are incorrect or are at variance with the prevailing medical cost trend or particular utilization patterns of the members of one or more of our health plans, our medical margins could be reduced. In addition, a state could increase hospital or other provider rates without making a commensurate increase in the rates paid to us, could lower our rates without making a commensurate reduction in the rates paid to hospitals or other providers, or could delay the processing of rate changes. Any of these rate adjustments in one or more of the states in which we operate could have a material adverse effect on our business, financial condition, cash flows,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Marketplace business has been volatile and unpredictable in the past.</w:t>
      </w:r>
    </w:p>
    <w:p>
      <w:pPr>
        <w:spacing w:after="0" w:line="92"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We offer Marketplace plans in many of the states where we offer Medicaid health plans. In 2025, we are participating in the Marketplace in all our markets except Arizona, Iowa, Massachusetts, Nebraska, New York, and Virginia. Our Marketplace plans allow our Medicaid members to stay with their providers as they transition between Medicaid and the Marketplace. Additionally, our plans remove financial barriers to quality care and seek to minimize</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23" w:name="page24"/>
    <w:bookmarkEnd w:id="23"/>
    <w:p>
      <w:pPr>
        <w:ind w:right="80"/>
        <w:spacing w:after="0" w:line="258" w:lineRule="auto"/>
        <w:rPr>
          <w:sz w:val="20"/>
          <w:szCs w:val="20"/>
          <w:color w:val="auto"/>
        </w:rPr>
      </w:pPr>
      <w:r>
        <w:rPr>
          <w:rFonts w:ascii="Arial" w:cs="Arial" w:eastAsia="Arial" w:hAnsi="Arial"/>
          <w:sz w:val="14"/>
          <w:szCs w:val="14"/>
          <w:color w:val="auto"/>
        </w:rPr>
        <w:t>members' out-of-pocket expenses. We develop each state’s Marketplace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In the year ended December 31, 2024, Marketplace program PMPM premium rates ranged from $ 400 to $1,980. Marketplace plan selection by members is highly price sensitive, and the Marketplace markets in general are highly volatile and unpredictable from year to year. Most of our Marketplace members are eligible to receive government-subsidized premium subsidies. These subsidies are currently scheduled to expire at the end of 2025. Any variation from our cost expectations regarding acuity, enrollment levels, adverse selection, or other assumptions utilized in setting premium rates, could have a material adverse effect on our results of operations, financial position, and cash flows. In addition, the non-renewal of Marketplace premium subsidies starting in 2026 could negatively impact our Marketplace enrollment.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outsourcing services and functions to third parties.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contract with third party vendors and service providers who provide services to us and our subsidiaries or to whom we delegate selected functions. Some of these third 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We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w:t>
      </w:r>
    </w:p>
    <w:p>
      <w:pPr>
        <w:spacing w:after="0" w:line="61"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If we or one of our vendors sustain a cyber-attack or suffer a data privacy or security breach, we could suffer operational impact, increased costs, exposure to significant liability, reputational harm, loss of business, and other serious negative consequences.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As part of our normal operations, we routinely collect, process, store (both onsite and in the cloud), and transmit large amounts of data, including sensitive personal information as well as proprietary or confidential information relating to our business or third parties. Our information technology systems and safety control systems that we rely upon are subject to a growing number of threats, such as state-sponsored organizations, opportunistic hackers and hacktivists, as well as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Such threats may result in the penetration of our network or that of our vendors or suppliers, and the misappropriation of our confidential information, system disruptions, damage to our information systems, or shutdowns of our information technology environment. They also may be able to develop and deploy viruses, worms, and other malicious software programs that attack our systems or otherwise exploit security vulnerabilities. We may also face increased cybersecurity risks due to our reliance on internet technology and our remote working environment, which may create additional opportunities for cybercriminals to exploit vulnerabilities. These same risks are also faced by our significant vendors who are also in possession of sensitive confidential information. Because the techniques used to circumvent, gain access to, or sabotage security systems can be highly sophisticated, may use advanced technologies (such as artificial intelligence) and change frequently, they often are not recognized until launched against a target, and may originate from less regulated and remote areas around the world. We may be unable to anticipate these techniques or implement adequate preventive measures, resulting in potential inappropriate access, breach, or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4" w:name="page25"/>
    <w:bookmarkEnd w:id="24"/>
    <w:p>
      <w:pPr>
        <w:ind w:right="60"/>
        <w:spacing w:after="0" w:line="261" w:lineRule="auto"/>
        <w:rPr>
          <w:sz w:val="20"/>
          <w:szCs w:val="20"/>
          <w:color w:val="auto"/>
        </w:rPr>
      </w:pPr>
      <w:r>
        <w:rPr>
          <w:rFonts w:ascii="Arial" w:cs="Arial" w:eastAsia="Arial" w:hAnsi="Arial"/>
          <w:sz w:val="14"/>
          <w:szCs w:val="14"/>
          <w:color w:val="auto"/>
        </w:rPr>
        <w:t>procedures, and technical safeguards may not prevent all improper access to our network or proprietary or confidential information by employees, vendors, counterparties, or other third parties. Our facilities and IT systems, or those of our service providers, may also be vulnerable to security incidents or security attacks, acts of vandalism or theft, misplaced or lost data, human errors, or other similar events that could negatively affect our systems and our and our members’ data. For example, in July 2024, a software update by CrowdStrike Holdings, Inc. (“CrowdStrike”), a cybersecurity technology company, cause widespread crashes of Windows systems into which it was integrated. Although we did not experience any material impacts as a result of the CrowdStrike software update, we could in the future experience similar third-party software-induced interruptions to our operations.</w:t>
      </w: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Moreover, we face the ongoing challenge of managing access controls in a complex environment. The process of enhancing our protective measures can itself create a risk of systems disruptions and security issues. Given the 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 parties before they can be deployed, all could further increase our risks.</w:t>
      </w:r>
    </w:p>
    <w:p>
      <w:pPr>
        <w:spacing w:after="0" w:line="6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Where doing so is necessary in order to conduct our business, we also provide sensitive personal member information, as well as proprietary or confidential information relating to our business, to our third-party service providers. Those third-party service providers may also be subject to data intrusions or data breaches. For example, in February 2024, Change Healthcare (“CHC”), a major claims processing vendor to Molina, experienced a significant cybersecurity incident and has since notified Molina that certain members’ data has been breached. Though the CHC incident was not material to us, any compromise of the confidential data of our members, employees, or business, or the failure to prevent or mitigate the loss of or damage to this data through breach, could result in operational, reputational, competitive, or other business harm, as well as financial costs and regulatory action. The Company maintains cybersecurity insurance in the event of an information security or cyber incident. However, the coverage may not be sufficient to cover all financial losses.</w:t>
      </w:r>
    </w:p>
    <w:p>
      <w:pPr>
        <w:spacing w:after="0" w:line="5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the future, we may be subject to litigation and governmental investigations related to cyber-attacks and security breaches. Any such future litigation or governmental investigation could divert the attention of management from the operation of our business, result in reputational damage, and have a material adverse impact on our business, cash flows, financial condition, and results of operations. Moreover, our programs to detect, contain, and respond to data security incidents as well as contingency plans and insurance coverage for potential liabilities of this nature may not be sufficient to cover all claims and liabilities.</w:t>
      </w:r>
    </w:p>
    <w:p>
      <w:pPr>
        <w:spacing w:after="0" w:line="53"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Noncompliance with any privacy, security or data protection laws and regulations, or any security breach, cyber-attack, or cyber-security breach, and any incident involving the misappropriation, theft, loss, or other unauthorized disclosure or use of, or access to, sensitive or confidential information, whether by us or by one of our third-party service providers, could require us to expend significant resources to continue to modify or enhance our protective measures and to remediate any damage. In addition, this could negatively affect our operations, cause system disruptions, damage our reputation, cause membership losses and contract breaches, and could also result in regulatory enforcement actions, material fines and penalties, litigation, or other actions that could have a material adverse effect on our business, cash flows, financial condition, or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successfully integrate our acquisitions or realize the anticipated benefits of such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growth strategy includes the pursuit of targeted inorganic growth opportunities that we believe will provide a strategic fit, leverage operational synergies, and lead to incremental</w:t>
      </w:r>
    </w:p>
    <w:p>
      <w:pPr>
        <w:spacing w:after="0" w:line="41"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earnings accretion. For example, in January 2024 we closed on the acquisition of Bright Health Medicare and in February 2025 we closed on the acquisition of ConnectiCare. The integration of acquired businesses with our existing business is a complex, costly, and time-consuming process. The success of acquisitions we make will depend, in part, on our ability to successfully combine our existing business with such acquired businesses and realize the anticipated benefits, including</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ind w:right="360"/>
        <w:spacing w:after="0" w:line="290" w:lineRule="auto"/>
        <w:rPr>
          <w:sz w:val="20"/>
          <w:szCs w:val="20"/>
          <w:color w:val="auto"/>
        </w:rPr>
      </w:pPr>
      <w:r>
        <w:rPr>
          <w:rFonts w:ascii="Arial" w:cs="Arial" w:eastAsia="Arial" w:hAnsi="Arial"/>
          <w:sz w:val="14"/>
          <w:szCs w:val="14"/>
          <w:color w:val="auto"/>
        </w:rPr>
        <w:t>synergies, cost savings, growth in earnings, innovation, and operational efficiencies. If we are unable to achieve these objectives within the anticipated time frame, or at all, the anticipated benefits may not be fully realized, or may take longer to realize than expected.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acquisitions and the related integration activities involve a number of risks, including the following:</w:t>
      </w:r>
    </w:p>
    <w:p>
      <w:pPr>
        <w:spacing w:after="0" w:line="94" w:lineRule="exact"/>
        <w:rPr>
          <w:sz w:val="20"/>
          <w:szCs w:val="20"/>
          <w:color w:val="auto"/>
        </w:rPr>
      </w:pPr>
    </w:p>
    <w:p>
      <w:pPr>
        <w:jc w:val="both"/>
        <w:ind w:left="520" w:right="300" w:hanging="260"/>
        <w:spacing w:after="0" w:line="263"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transition services that a seller may have agreed to provide following the closing may not be provided in a timely or efficient manner, or certain necessary transition services may not be provided at all; similarly, any agreement by us to provide “reverse transition services” to a seller may be unduly burdensome, inefficient, and costly;</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Unforeseen expenses or delays associated with the acquisition and/or integration;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assumptions underlying our expectations regarding the integration process or the expected benefits to be achieved from an acquisition may prove to be incorrect;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Maintaining employee morale and retaining key management and other employees, and satisfactorily addressing any differences in corporate culture;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retaining the business and operational relationships of the acquired business, and attracting new business and operational relationships;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Unanticipated attrition in the membership of the acquired business pending the completion of the proposed transaction or after the closing of the transaction;</w:t>
      </w:r>
    </w:p>
    <w:p>
      <w:pPr>
        <w:spacing w:after="0" w:line="8" w:lineRule="exact"/>
        <w:rPr>
          <w:rFonts w:ascii="Arial" w:cs="Arial" w:eastAsia="Arial" w:hAnsi="Arial"/>
          <w:sz w:val="14"/>
          <w:szCs w:val="14"/>
          <w:color w:val="auto"/>
        </w:rPr>
      </w:pPr>
    </w:p>
    <w:p>
      <w:pPr>
        <w:ind w:left="520" w:right="100" w:hanging="260"/>
        <w:spacing w:after="0" w:line="253"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Unanticipated difficulties or costs in integrating information technology, communications, and other systems, consolidating corporate and administrative infrastructures, and eliminating duplicative operations;</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Attention to integration activities may divert management’s attention from ongoing business concerns, which could result in performance shortfalls;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Successfully addressing the challenges inherent in managing a larger company and coordinating geographically separate organizations;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obtaining, or inability to obtain, necessary state or federal regulatory approvals, or such approvals may impose conditions that were not anticipated.</w:t>
      </w:r>
    </w:p>
    <w:p>
      <w:pPr>
        <w:spacing w:after="0" w:line="80"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Many of these factors are outside of our control, and any one of them could result in delays, increased costs, decreases in the amount of expected revenues, and diversion of management's time and energy, which could have a material adverse effect on our business, financial condition, cash flows, or results of operations. There can be no assurances that we will be successful in managing our expanded operations as a result of acquisitions or that we will realize the expected growth in earnings, operating efficiencies, cost savings, or other benefits.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sustain our projected rate of growth due to a lack of merger and acquisition opportunities.</w:t>
      </w:r>
    </w:p>
    <w:p>
      <w:pPr>
        <w:spacing w:after="0" w:line="9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Many of the targets of our strategic transactions have been non-profit entities. If the number of health care entities willing and able to enter into consolidation transactions with us declines in the future, we may be unable to fully achieve our growth strategy, which could have an adverse effect on our business, financial condition, or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attain profitability in any newly acquired health plans or new start-up operations could negatively affect our results of operations.</w:t>
      </w:r>
    </w:p>
    <w:p>
      <w:pPr>
        <w:spacing w:after="0" w:line="9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Start-up costs associated with a new business can be substantial. For example, to obtain a certificate of authority to operate as a health maintenance organization in most jurisdictions, we must first establish a provider network, develop and establish infrastructure and required systems, and demonstrate our ability to process claims. In 2023, we incurred substantial one-time contract implementation costs related to our expansions in Los Angeles County, Iowa, and Nebraska. Often, we are also required to contribute significant capital to fund mandated net worth requirements, performance bonds or escrows, or contingency guaranties. If we are unsuccessful in obtaining a certificate of authority, winning the bid to provide services, building out our provider network, or attracting and retaining members in sufficient numbers to cover our start-up costs, the new business could fail, or the losses we incur could impact our results of operations.</w:t>
      </w:r>
    </w:p>
    <w:p>
      <w:pPr>
        <w:spacing w:after="0" w:line="59" w:lineRule="exact"/>
        <w:rPr>
          <w:sz w:val="20"/>
          <w:szCs w:val="20"/>
          <w:color w:val="auto"/>
        </w:rPr>
      </w:pPr>
    </w:p>
    <w:p>
      <w:pPr>
        <w:ind w:right="180"/>
        <w:spacing w:after="0" w:line="299" w:lineRule="auto"/>
        <w:rPr>
          <w:sz w:val="20"/>
          <w:szCs w:val="20"/>
          <w:color w:val="auto"/>
        </w:rPr>
      </w:pPr>
      <w:r>
        <w:rPr>
          <w:rFonts w:ascii="Arial" w:cs="Arial" w:eastAsia="Arial" w:hAnsi="Arial"/>
          <w:sz w:val="14"/>
          <w:szCs w:val="14"/>
          <w:b w:val="1"/>
          <w:bCs w:val="1"/>
          <w:i w:val="1"/>
          <w:iCs w:val="1"/>
          <w:color w:val="auto"/>
        </w:rPr>
        <w:t>If we lose contracts that constitute a significant amount of our premium revenue, we will lose the administrative cost efficiencies or cost leverage that is inherent in a larger revenue base.</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6" w:name="page27"/>
    <w:bookmarkEnd w:id="26"/>
    <w:p>
      <w:pPr>
        <w:ind w:right="280"/>
        <w:spacing w:after="0" w:line="290" w:lineRule="auto"/>
        <w:rPr>
          <w:sz w:val="20"/>
          <w:szCs w:val="20"/>
          <w:color w:val="auto"/>
        </w:rPr>
      </w:pPr>
      <w:r>
        <w:rPr>
          <w:rFonts w:ascii="Arial" w:cs="Arial" w:eastAsia="Arial" w:hAnsi="Arial"/>
          <w:sz w:val="14"/>
          <w:szCs w:val="14"/>
          <w:color w:val="auto"/>
        </w:rPr>
        <w:t>This loss of cost efficiency or cost leverage, and the resulting stranded administrative costs, could have a material and adverse impact on our business, financial condition, cash flows, or results of operations.</w:t>
      </w:r>
    </w:p>
    <w:p>
      <w:pPr>
        <w:spacing w:after="0" w:line="37"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Our health plans are subject to risk associated with various contractual provisions and regulations establishing medical cost expenditure floors, profit ceilings, risk corridors, or quality withholds.</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 substantial portion of our premium revenue is subject to contract provisions pertaining to medical cost expenditure floors and corridors, administrative cost and profit ceilings, premium stabilization programs, or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55" w:lineRule="exact"/>
        <w:rPr>
          <w:sz w:val="20"/>
          <w:szCs w:val="20"/>
          <w:color w:val="auto"/>
        </w:rPr>
      </w:pPr>
    </w:p>
    <w:p>
      <w:pPr>
        <w:ind w:right="440"/>
        <w:spacing w:after="0" w:line="271" w:lineRule="auto"/>
        <w:rPr>
          <w:sz w:val="20"/>
          <w:szCs w:val="20"/>
          <w:color w:val="auto"/>
        </w:rPr>
      </w:pPr>
      <w:r>
        <w:rPr>
          <w:rFonts w:ascii="Arial" w:cs="Arial" w:eastAsia="Arial" w:hAnsi="Arial"/>
          <w:sz w:val="14"/>
          <w:szCs w:val="14"/>
          <w:color w:val="auto"/>
        </w:rPr>
        <w:t>In addition, many of our contracts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which could have a material adverse effect on our business, financial condition, cash flows, or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Medicaid premium revenues could be adversely impacted by retroactive adjustments or states’ delays in implementing rate changes.</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51"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If, in the interest of long-term profitability, we decide to exit certain state contractual arrangements, make changes to our provider networks, or make changes to our administrative infrastructure, we may suffer disruptions to our business that could in the short term materially reduce our premium revenues and our net income.</w:t>
      </w:r>
    </w:p>
    <w:p>
      <w:pPr>
        <w:spacing w:after="0" w:line="21"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Decisions that we make with regard to retaining or exiting our portfolio of state or federal contracts, and changes to the manner in which we serve the members of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failure to accurately estimate incurred but not paid medical care costs may negatively impact our results of operations.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Because of the lag in time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or IBNP, medical care costs are based on numerous assumptions and inputs. We estimate our medical claims liabilities using actuarial methods based on historical data adjusted for claims receipt and payment experience (and variations in that experience), changes in membership, provider billing practices, healthcare service utilization trends, cost trends, product mix, seasonality, prior authorization of medical services, benefit changes, known incidence of disease, or increased incidence of illness such as the flu or COVID,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57"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7" w:name="page28"/>
    <w:bookmarkEnd w:id="27"/>
    <w:p>
      <w:pPr>
        <w:ind w:right="200"/>
        <w:spacing w:after="0" w:line="271" w:lineRule="auto"/>
        <w:rPr>
          <w:sz w:val="20"/>
          <w:szCs w:val="20"/>
          <w:color w:val="auto"/>
        </w:rPr>
      </w:pPr>
      <w:r>
        <w:rPr>
          <w:rFonts w:ascii="Arial" w:cs="Arial" w:eastAsia="Arial" w:hAnsi="Arial"/>
          <w:sz w:val="14"/>
          <w:szCs w:val="14"/>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accurately predict and effectively manage our medical care costs, our operating results could be materially and adversely affected.</w:t>
      </w:r>
    </w:p>
    <w:p>
      <w:pPr>
        <w:spacing w:after="0" w:line="9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89.1% for the year ended December 31, 2024, had been one percentage point higher, or 90.1%, our net income per diluted share for the year ended December 31, 2024 would have been approximately $15.18 rather than our actual net income per diluted share of $20.42, a difference of $5.24.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Many factors may affect our medical care costs, including:</w:t>
      </w:r>
    </w:p>
    <w:p>
      <w:pPr>
        <w:spacing w:after="0" w:line="94" w:lineRule="exact"/>
        <w:rPr>
          <w:sz w:val="20"/>
          <w:szCs w:val="20"/>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level of utilization of healthcare services;</w:t>
      </w:r>
    </w:p>
    <w:p>
      <w:pPr>
        <w:spacing w:after="0" w:line="22"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the underlying risk acuity of our membership;</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unexpected patterns in the annual flu season;</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hospital costs;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incidences or acuity of high dollar claims related to catastrophic illnesses or medical conditions for which we do not have adequate reinsurance coverage;</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maternity costs;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state eligibility certification methodologies;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relatively low levels of hospital and specialty provider competition in certain geographic areas;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increases in the cost of pharmaceutical products and services;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healthcare regulations and practices;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epidemics or pandemics;</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new medical technologies; and</w:t>
      </w:r>
    </w:p>
    <w:p>
      <w:pPr>
        <w:spacing w:after="0" w:line="8" w:lineRule="exact"/>
        <w:rPr>
          <w:rFonts w:ascii="Arial" w:cs="Arial" w:eastAsia="Arial" w:hAnsi="Arial"/>
          <w:sz w:val="14"/>
          <w:szCs w:val="14"/>
          <w:color w:val="auto"/>
        </w:rPr>
      </w:pPr>
    </w:p>
    <w:p>
      <w:pPr>
        <w:ind w:left="540" w:hanging="24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various external factors.</w:t>
      </w:r>
    </w:p>
    <w:p>
      <w:pPr>
        <w:spacing w:after="0" w:line="80"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Many of these factors are beyond our control. The inability to accurately forecast and effectively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51"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21" w:lineRule="exact"/>
        <w:rPr>
          <w:sz w:val="20"/>
          <w:szCs w:val="20"/>
          <w:color w:val="auto"/>
        </w:rPr>
      </w:pPr>
    </w:p>
    <w:p>
      <w:pPr>
        <w:jc w:val="both"/>
        <w:ind w:right="40"/>
        <w:spacing w:after="0" w:line="260" w:lineRule="auto"/>
        <w:rPr>
          <w:sz w:val="20"/>
          <w:szCs w:val="20"/>
          <w:color w:val="auto"/>
        </w:rPr>
      </w:pPr>
      <w:r>
        <w:rPr>
          <w:rFonts w:ascii="Arial" w:cs="Arial" w:eastAsia="Arial" w:hAnsi="Arial"/>
          <w:sz w:val="14"/>
          <w:szCs w:val="14"/>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57"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 some markets, certain providers, particularly hospitals and some specialists, may have significant market positions or even monopolies. If these providers refuse to contract with us or utilize their market position to</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negotiate favorable contracts which are disadvantageous to us, our profitability in those areas could be adversely affected.</w:t>
      </w:r>
    </w:p>
    <w:p>
      <w:pPr>
        <w:spacing w:after="0" w:line="9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Some providers that render services to our members are not contracted with our health plans. In those cases, there is no pre-established understanding between the provider and our health plan about the amount of compensation that is due to the provider. If providers claim they are underpaid for their services, they may litigate or arbitrate their dispute with our health plan. State and federal laws intended to prevent or limit “surprise billing,” such as the No Surprises Act, define the compensation that must be paid to out-of-network providers in certain scenarios, and require rate disputes between payors and out-of-network providers to be resolved through independent dispute resolution (“IDR”). There have been lawsuits challenging portions of the No Surprises Act in federal courts, particularly related to the use of the qualifying payment amount in the IDR process, which may result in an increase in rates we must pay to out-of-network providers. Federal agencies have continued to issue guidance regarding the implementation of the No Surprises Act, and we expect the agencies’ interpretations of the law’s requirements will continue to evolve. The impact that federal and state surprise billing laws will have on our business is uncertain and could adversely affect our business, financial condition, cash flows,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the accuracy of eligibility lists provided by state governments. Inaccuracies in those lists could negatively affect our results of operations.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 reduction in Medicaid membership, which could have an adverse effect on our premium revenues and results of operations.</w:t>
      </w:r>
    </w:p>
    <w:p>
      <w:pPr>
        <w:spacing w:after="0" w:line="59" w:lineRule="exact"/>
        <w:rPr>
          <w:sz w:val="20"/>
          <w:szCs w:val="20"/>
          <w:color w:val="auto"/>
        </w:rPr>
      </w:pPr>
    </w:p>
    <w:p>
      <w:pPr>
        <w:ind w:right="340"/>
        <w:spacing w:after="0" w:line="299" w:lineRule="auto"/>
        <w:rPr>
          <w:sz w:val="20"/>
          <w:szCs w:val="20"/>
          <w:color w:val="auto"/>
        </w:rPr>
      </w:pPr>
      <w:r>
        <w:rPr>
          <w:rFonts w:ascii="Arial" w:cs="Arial" w:eastAsia="Arial" w:hAnsi="Arial"/>
          <w:sz w:val="14"/>
          <w:szCs w:val="14"/>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2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60"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2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55" w:lineRule="exact"/>
        <w:rPr>
          <w:sz w:val="20"/>
          <w:szCs w:val="20"/>
          <w:color w:val="auto"/>
        </w:rPr>
      </w:pPr>
    </w:p>
    <w:p>
      <w:pPr>
        <w:ind w:right="760"/>
        <w:spacing w:after="0" w:line="299" w:lineRule="auto"/>
        <w:rPr>
          <w:sz w:val="20"/>
          <w:szCs w:val="20"/>
          <w:color w:val="auto"/>
        </w:rPr>
      </w:pPr>
      <w:r>
        <w:rPr>
          <w:rFonts w:ascii="Arial" w:cs="Arial" w:eastAsia="Arial" w:hAnsi="Arial"/>
          <w:sz w:val="14"/>
          <w:szCs w:val="14"/>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21"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Our business is dependent on effective and secure information systems that assist us in processing provider claims, monitoring utilization and other cost factors, supporting our medical management techniques, providing data to our</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9" w:name="page30"/>
    <w:bookmarkEnd w:id="29"/>
    <w:p>
      <w:pPr>
        <w:ind w:right="40"/>
        <w:spacing w:after="0" w:line="265" w:lineRule="auto"/>
        <w:rPr>
          <w:sz w:val="20"/>
          <w:szCs w:val="20"/>
          <w:color w:val="auto"/>
        </w:rPr>
      </w:pPr>
      <w:r>
        <w:rPr>
          <w:rFonts w:ascii="Arial" w:cs="Arial" w:eastAsia="Arial" w:hAnsi="Arial"/>
          <w:sz w:val="14"/>
          <w:szCs w:val="14"/>
          <w:color w:val="auto"/>
        </w:rPr>
        <w:t>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 If we experience a reduction in the performance, reliability, or availability of our information and medical management systems, our operations, ability to pay claims, ability to produce timely and accurate reports, and ability to maintain proper security measures could be adversely affected.</w:t>
      </w:r>
    </w:p>
    <w:p>
      <w:pPr>
        <w:spacing w:after="0" w:line="5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have partnered with third parties to support our information technology systems. This makes our operations vulnerable to adverse effects if such third parties fail to perform adequately. For example, in February 2019, we 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 Additionally, our operations are vulnerable to adverse effects if such third parties are unable to perform due to forces outside of their control, such as a natural disaster or serious weather event.</w:t>
      </w:r>
    </w:p>
    <w:p>
      <w:pPr>
        <w:spacing w:after="0" w:line="57" w:lineRule="exact"/>
        <w:rPr>
          <w:sz w:val="20"/>
          <w:szCs w:val="20"/>
          <w:color w:val="auto"/>
        </w:rPr>
      </w:pPr>
    </w:p>
    <w:p>
      <w:pPr>
        <w:ind w:right="680"/>
        <w:spacing w:after="0" w:line="299" w:lineRule="auto"/>
        <w:rPr>
          <w:sz w:val="20"/>
          <w:szCs w:val="20"/>
          <w:color w:val="auto"/>
        </w:rPr>
      </w:pPr>
      <w:r>
        <w:rPr>
          <w:rFonts w:ascii="Arial" w:cs="Arial" w:eastAsia="Arial" w:hAnsi="Arial"/>
          <w:sz w:val="14"/>
          <w:szCs w:val="14"/>
          <w:b w:val="1"/>
          <w:bCs w:val="1"/>
          <w:i w:val="1"/>
          <w:iCs w:val="1"/>
          <w:color w:val="auto"/>
        </w:rPr>
        <w:t>Our encounter data, or the encounter data of the health plans we acquire, may be inaccurate or incomplete, which could have a material adverse effect on our business, financial condition, cash flows, or results of operations, and on our ability to bid for, and continue to participate in, certain programs.</w:t>
      </w:r>
    </w:p>
    <w:p>
      <w:pPr>
        <w:spacing w:after="0" w:line="21"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 Moreover, these same issues may also apply to the health plans we acquire, and we may be required to expend significant costs or pay fines to correct these deficiencies.</w:t>
      </w:r>
    </w:p>
    <w:p>
      <w:pPr>
        <w:spacing w:after="0" w:line="57"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the past, 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artificial intelligence (“AI”) administrative and operational initiatives, which could adversely affect our business or reputation.</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As part of our operating efficiencies, we are making appreciable investments in certain AI administrative tools and initiatives to enhance our operations and to save costs. The development and use of AI technologies is still in its early stages. There are risks associated with the development and deployment of AI, and there can be no assurance that the usage of AI will enhance our operations or reduce our operational costs. Our AI-related efforts may give rise to risks related to accuracy, bias, discrimination, intellectual property rights and infringement, data privacy, and cybersecurity, among others. In addition, these risks include the possibility of new, changing, or enhanced governmental or regulatory scrutiny, litigation, other legal liability, ethical concerns, negative consumer perceptions as to automation and AI, or other complications that could adversely affect our business, reputation, or financial results. In the United States, there has been uncertainty regarding the applicable regulations that will apply to the development and use of AI technologies. For instance, in January 2025, the Trump administration rescinded an executive order relating to the safe and secure development of AI that was previously implemented by the Biden administration. The Trump administration then issued a new interim executive order that, among other things, requires certain agencies to specifically renew and, if possible, rescind rulemaking taken pursuant to the rescinded Biden executive order. Any such changes at the federal level could require us to expend significant resources to modify our products, services, or operations to ensure compliance or remain competitive.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Therefore, it is not possible to predict all of the risks and potentially unintended consequences related to the use of AI by vendors, third-party developers, or the Company.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An impairment charge with respect to our recorded goodwill, or our finite-lived intangible assets, could have a material impact on our financial results.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the carrying amount of goodwill was $1,671 million, and intangible assets, net, were $267 million.</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a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55"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An event could occur that would cause us to revise our estimates and assumptions used in analyzing the value of our goodwill, and intangible assets, net. For example, if the responsive bid of one or more of our health plans is not successful, we will lose a contract in the applicable state or states and such loss may be an indicator of impairment. If an event or events occur that would cause us to revise our estimates and assumptions used in analyzing the value of our goodwill and other intangible assets, such revision could result in a non-cash impairment charge that could have a material impact on our results of operations in the period in which the impairment occurs.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value of our investments is influenced by varying economic and market conditions, and a decrease in value may result in a loss charged to income.</w:t>
      </w:r>
    </w:p>
    <w:p>
      <w:pPr>
        <w:spacing w:after="0" w:line="9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maintain a significant investment portfolio of cash equivalents and short-term and long-term investments in a variety of securities, which are subject to general credit, liquidity, market, and interest rate risks. As a result, we may experience a reduction in value or loss of our investments, which may have a negative adverse effect on our results of operations, liquidity, and financial condition. Changes in the economic environment, including periods of increased volatility in the securities markets and recent increases in inflation and interest rates, can increase the difficulty of assessing investment impairment and increase the risk of potential impairment of these assets. There is continuing risk that declines in the fair value of our investments may occur, and material impairments may be charged to income in future periods, resulting in recognized losses.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RISKS RELATED TO OUR INDUSTRY</w:t>
      </w:r>
    </w:p>
    <w:p>
      <w:pPr>
        <w:spacing w:after="0" w:line="96"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Medicaid enrollees continue to be subject to eligibility redeterminations and potential disenrollments on a state by state basis, and the number and health acuity level of Medicaid enrollees we retain may be lower than our current estimates.</w:t>
      </w:r>
    </w:p>
    <w:p>
      <w:pPr>
        <w:spacing w:after="0" w:line="3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During the COVID-19 pandemic, Medicaid enrollment across the country, as well as our enrollment, grew substantially compared to before the pandemic. Beginning April 1, 2023, broad-based Medicaid eligibility redeterminations commenced, and are now almost entirely completed. We lost approximately 675,000 members due to redeterminations. Periodic redeterminations on a state by state basis will now resume as before the pandemic. Actuarial assumptions related to the health acuity of remaining members may continue to be difficult to predict or may be inaccurate, resulting in inaccurate rates to be paid to health plans. Errors in our estimates related to redeterminations, and actuarial errors related to the acuity of Medicaid members, may impact our business, financial condition, cash flows, or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CMS will end the current MMP program no later than December 2025, which could impact our premium revenues and other factors may affect Medicare revenue.</w:t>
      </w:r>
    </w:p>
    <w:p>
      <w:pPr>
        <w:spacing w:after="0" w:line="9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To coordinate care for those who qualify to receive both Medicare and Medicaid services (the “dual eligibles”), under the direction of CMS some states implemented demonstration pilot programs to integrate Medicare and Medicaid services for the dual eligibles. The health plans participating in such demonstrations are referred to as MMPs. Pursuant to the 2023 CMS Medicare Final Rule, which requires MMP plans to end no later than December 2025, the five states in which we operate MMPs – Illinois, Michigan, Ohio, South Carolina, and Texas – have filed transition plans with CMS to move to D-SNPs by January 1, 2026. Illinois and Ohio have included plans to transition to Fully Integrated D-SNPs. Michigan and South Carolina are electing to transition to Highly Integrated D-SNPs. Texas is allowing optionality between a Fully Integrated D-SNP and a Highly Integrated D-SNP. The RFP award for Illinois is still pending. The economic impact of such transitions to D-SNP on our premium revenue is uncertain.</w:t>
      </w:r>
    </w:p>
    <w:p>
      <w:pPr>
        <w:spacing w:after="0" w:line="57"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Moreover, many states are now requiring Medicare to be offered by a health plan if that health plan is awarded a Medicaid contract. These new requirements could impact our readiness status or eligibility under certain state Medicaid programs or contracts.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31" w:name="page32"/>
    <w:bookmarkEnd w:id="31"/>
    <w:p>
      <w:pPr>
        <w:ind w:right="40"/>
        <w:spacing w:after="0" w:line="258" w:lineRule="auto"/>
        <w:rPr>
          <w:sz w:val="20"/>
          <w:szCs w:val="20"/>
          <w:color w:val="auto"/>
        </w:rPr>
      </w:pPr>
      <w:r>
        <w:rPr>
          <w:rFonts w:ascii="Arial" w:cs="Arial" w:eastAsia="Arial" w:hAnsi="Arial"/>
          <w:sz w:val="14"/>
          <w:szCs w:val="14"/>
          <w:color w:val="auto"/>
        </w:rPr>
        <w:t>Further, the Star Rating System utilized by CMS to evaluate Medicare plans may have a significant effect on our revenue, as higher-rated plans tend to experience increased enrollment and plans with a Star rating of 4.0 or higher are eligible for quality-based bonus payments. Those Medicare plans that achieve less than a 3.0 Star rating for either part C or D for three consecutive years are issued a notice of non-renewal of their contract for the following year. If we do not maintain our Star ratings above 3.0 or continue to improve our Star ratings, fail to meet or exceed our competitors’ Star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 Similarly, if we fail to meet or exceed any performance standards imposed by state Medicaid programs in which we participate, we may not receive performance-based bonus payments, we may incur penalties, or we may lose our Medicaid contract which may also result in a loss to our Medicare contract if it is a HIDE or FIDE D-SNP.</w:t>
      </w:r>
    </w:p>
    <w:p>
      <w:pPr>
        <w:spacing w:after="0" w:line="58"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We are periodically subject to government audits, including CMS RADV audits of our Medicare D-SNP plans to validate diagnostic data, patient claims, and financial reporting. These audits could result in significant adjustments in payments made to our health plans, particularly if it is an audit which involves extrapolation, which could adversely affect our financial condition and results of operations. If errors are identified during a RADV audit, or it is otherwise determined that we fail to comply with applicable laws and regulations, we could be subject to fines, civil penalties or other sanctions, which could have a material adverse effect on our ability to participate in these programs, and on our financial condition, cash flows and results of operations. In addition, if a D-SNP or MMP plan pays minimum medical loss ratio (“MLR”) rebates for three consecutive years, such plan will become ineligible to enroll new members.</w:t>
      </w:r>
    </w:p>
    <w:p>
      <w:pPr>
        <w:spacing w:after="0" w:line="59" w:lineRule="exact"/>
        <w:rPr>
          <w:sz w:val="20"/>
          <w:szCs w:val="20"/>
          <w:color w:val="auto"/>
        </w:rPr>
      </w:pPr>
    </w:p>
    <w:p>
      <w:pPr>
        <w:ind w:right="580"/>
        <w:spacing w:after="0" w:line="299" w:lineRule="auto"/>
        <w:rPr>
          <w:sz w:val="20"/>
          <w:szCs w:val="20"/>
          <w:color w:val="auto"/>
        </w:rPr>
      </w:pPr>
      <w:r>
        <w:rPr>
          <w:rFonts w:ascii="Arial" w:cs="Arial" w:eastAsia="Arial" w:hAnsi="Arial"/>
          <w:sz w:val="14"/>
          <w:szCs w:val="14"/>
          <w:b w:val="1"/>
          <w:bCs w:val="1"/>
          <w:i w:val="1"/>
          <w:iCs w:val="1"/>
          <w:color w:val="auto"/>
        </w:rPr>
        <w:t>Our health plans operate with very low profit margins, and small changes in operating performance or slight changes to our accounting estimates could have a disproportionate impact on our reported net income.</w:t>
      </w:r>
    </w:p>
    <w:p>
      <w:pPr>
        <w:spacing w:after="0" w:line="21"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Although most of our health plans over the last several years have generally operated with profit margins higher than those of our direct competitors, nevertheless the profit margins in our industry are low (in the single digits) compared to the profit margins in most other industries. Given these low profit margins, small changes in operating performance or slight changes to our accounting estimates could have a disproportionate impact on our reported net income and adversely affect our business.</w:t>
      </w:r>
    </w:p>
    <w:p>
      <w:pPr>
        <w:spacing w:after="0" w:line="51"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depends on their operating results and is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general, our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$997 million and $705 million in dividends from our regulated health plan subsidiaries during 2024 and 2023,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w:t>
      </w:r>
    </w:p>
    <w:p>
      <w:pPr>
        <w:spacing w:after="0" w:line="65" w:lineRule="exact"/>
        <w:rPr>
          <w:sz w:val="20"/>
          <w:szCs w:val="20"/>
          <w:color w:val="auto"/>
        </w:rPr>
      </w:pPr>
    </w:p>
    <w:p>
      <w:pPr>
        <w:jc w:val="both"/>
        <w:ind w:right="180"/>
        <w:spacing w:after="0" w:line="276" w:lineRule="auto"/>
        <w:rPr>
          <w:sz w:val="20"/>
          <w:szCs w:val="20"/>
          <w:color w:val="auto"/>
        </w:rPr>
      </w:pPr>
      <w:r>
        <w:rPr>
          <w:rFonts w:ascii="Arial" w:cs="Arial" w:eastAsia="Arial" w:hAnsi="Arial"/>
          <w:sz w:val="14"/>
          <w:szCs w:val="14"/>
          <w:b w:val="1"/>
          <w:bCs w:val="1"/>
          <w:i w:val="1"/>
          <w:iCs w:val="1"/>
          <w:color w:val="auto"/>
        </w:rPr>
        <w:t>Our use and disclosure of personally identifiable information and other non-public information, including protected health information, is subject to federal and state privacy and security regulations, and our failure or the failure of our vendors to comply with those regulations or to adequately secure the information we hold could adversely affect our business, results of operations, or financial condition.</w:t>
      </w:r>
    </w:p>
    <w:p>
      <w:pPr>
        <w:spacing w:after="0" w:line="37"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State and federal laws and regulations including, but not limited to, the Health Insurance Portability and Accountability Act, as amended by the Health Information Technology for Economic and Clinical Health Act, and all regulations promulgated thereunder (collectively, “HIPAA”), the California Consumer Privacy Act (the “CCPA”), the California Privacy Rights Act (the “CPRA”), and the Gramm-Leach-Bliley Act (“GLBA”), govern the collection,</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2" w:name="page33"/>
    <w:bookmarkEnd w:id="32"/>
    <w:p>
      <w:pPr>
        <w:ind w:right="280"/>
        <w:spacing w:after="0" w:line="271" w:lineRule="auto"/>
        <w:rPr>
          <w:sz w:val="20"/>
          <w:szCs w:val="20"/>
          <w:color w:val="auto"/>
        </w:rPr>
      </w:pPr>
      <w:r>
        <w:rPr>
          <w:rFonts w:ascii="Arial" w:cs="Arial" w:eastAsia="Arial" w:hAnsi="Arial"/>
          <w:sz w:val="14"/>
          <w:szCs w:val="14"/>
          <w:color w:val="auto"/>
        </w:rPr>
        <w:t>dissemination, use, privacy, confidentiality, security, availability, and integrity of personally identifiable information (“PII”), including protected health information (“PHI”). HIPAA establishes basic privacy and security standards for protection of PHI by covered entities and business associates, including health plans such as ours. HIPAA requires covered entities like us to develop and maintain policies and procedures regarding PHI, and to adopt administrative, physical, and technical safeguards to protect PHI.</w:t>
      </w:r>
    </w:p>
    <w:p>
      <w:pPr>
        <w:spacing w:after="0" w:line="4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HIPAA violations may result in significant civil or criminal penalties. HIPAA authorizes state attorneys general to file suit under HIPAA on behalf of state residents. Courts can award damages, costs, and attorneys’ fees related to violations of HIPAA in such cases. We have experienced HIPAA breaches in the past, including breaches affecting over 500 individuals.</w:t>
      </w:r>
    </w:p>
    <w:p>
      <w:pPr>
        <w:spacing w:after="0" w:line="49"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w:t>
      </w:r>
    </w:p>
    <w:p>
      <w:pPr>
        <w:spacing w:after="0" w:line="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Even when HIPAA and the GLBA do not apply, we are still subject to requirements imposed by U.S. states and the federal government. For example,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49"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In addition, certain state laws govern the privacy and security of health information in certain circumstances, many of which differ from each other in significant ways, thus complicating compliance efforts. For example, California enacted the CCPA, which became effective on January 1, 2020. The CCPA, among other things, created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Similar laws have gone into effect or have been proposed in many other states and at the federal level as well.</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If we or one or more of our vendors does not comply with existing or new laws and regulations related to PHI, PII, or non-public personal information, we could be subject to criminal or civil sanctions. Any security breach involving the misappropriation, loss, or other unauthorized disclosure or use of confidential member information, whether by us or by our vendors, could subject us to civil and criminal penalties, divert management’s time and energy, and have a material adverse effect on our business, financial condition, cash flows, or results of operations.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 laws, regulations and other requirements relating to the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If any of these events were to occur, our business, results of operations, and financial condition could be materially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Unforeseen changes in pharmaceutical regulations or market conditions may impact our revenues and adversely affect our results of operations.</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Pharmaceutical products and services are a significant component of our healthcare costs.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the price of pharmaceuticals, geographic variation in utilization of new and existing pharmaceuticals, and changes in discounts. The unpredictable nature of these factors may have a material adverse effect on our business, financial condition, cash flows, or results of operations.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Increases in our pharmaceutical costs could have a material adverse effect on the level of our medical costs and our results of operations.</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Introduction of new high cost specialty drugs and sudden cost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would have an adverse impact on our financial condition and results of operations. In addition,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geographic variation in utilization of new and existing pharmaceuticals, changes in discounts, civil investigations, and litigation. Some of our competitors have been subject to substantial sanctions related to allegations of improper transfer pricing practices. Further, our principal pharmacy benefit manager, or PBM, CVS Caremark (“CVS”), is party to certain lawsuits and putative class actions regarding its drug pricing practices and its rebate arrangements with drug manufacturers. The ultimate outcome of these complaints may have an adverse impact on our pharmaceutical costs, or potentially could result in our becoming involved or impleaded into similar or related costly litigation. Although we will continue to work with state Medicaid agencies in an effort to ensure that we receive appropriate and actuarially sound reimbursement for all new drug therapies and pharmaceuticals trends, there can be no assurance that we will be successful in that regard.</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Large-scale medical emergencies in one or more states in which we operate our health plans could significantly increase utilization rates and medical costs.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Large-scale medical emergencies can take many forms and be associated with widespread illness or medical conditions. For example, natural disasters, such as a major earthquake or wildfire in California, or a major hurricane affecting Florida, South Carolina or Texas, could have a significant impact on the health of a large number of our covered members. Other conditions that could impact our members include a virulent flu season or epidemic, such as a resurgence of COVID-19, or new viruses for which vaccines may not exist, are not effective, or have not been widely administered.</w:t>
      </w:r>
    </w:p>
    <w:p>
      <w:pPr>
        <w:spacing w:after="0" w:line="53"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If one of the states in which we operate were to experience a large-scale natural disaster, a significant terrorist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55"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executive orders or contract provisions governing our operations, or changes in interpretations of those laws, regulations or executive orders,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233"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i w:val="1"/>
          <w:iCs w:val="1"/>
          <w:color w:val="auto"/>
        </w:rPr>
        <w:t>Any changes to the laws and regulations governing our business, or the interpretation and enforcement of those laws or regulations implemented by the new Trump Administration, could require us to modify our operations and could negatively impact our operating results.</w:t>
      </w:r>
    </w:p>
    <w:p>
      <w:pPr>
        <w:spacing w:after="0" w:line="21"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Changes in the interpretation or application of our</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34" w:name="page35"/>
    <w:bookmarkEnd w:id="34"/>
    <w:p>
      <w:pPr>
        <w:ind w:right="140"/>
        <w:spacing w:after="0" w:line="258" w:lineRule="auto"/>
        <w:rPr>
          <w:sz w:val="20"/>
          <w:szCs w:val="20"/>
          <w:color w:val="auto"/>
        </w:rPr>
      </w:pPr>
      <w:r>
        <w:rPr>
          <w:rFonts w:ascii="Arial" w:cs="Arial" w:eastAsia="Arial" w:hAnsi="Arial"/>
          <w:sz w:val="14"/>
          <w:szCs w:val="14"/>
          <w:color w:val="auto"/>
        </w:rPr>
        <w:t>contracts could reduce our profitability if we have detrimentally relied on a prior interpretation or application. These laws and regulations, along with the terms of our government contracts, regulate how we do business, what services we offer, and how we interact with our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at the federal and state level may also change. Changes in existing laws or regulations, or their interpretations, or the enactment of new laws or regulations or executive orders, could reduce our profitability by imposing additional capital requirements, increasing our liability, increasing our administrative and other costs, increasing mandated benefits, forcing us to restructure our relationships with providers, requiring us to implement additional or different programs and systems, or making it more difficult to predict future results. Thus, any significant changes in existing health care laws or regulations could materially impact our business, financial condition, cash flows, or results of operations.</w:t>
      </w:r>
    </w:p>
    <w:p>
      <w:pPr>
        <w:spacing w:after="0" w:line="60"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w:t>
      </w:r>
    </w:p>
    <w:p>
      <w:pPr>
        <w:spacing w:after="0" w:line="57"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government healthcare programs such as Medicaid and Medicare are required to maintain compliance programs to detect and deter fraud, waste and abuse, and are often the subject of fraud, waste and abuse investigations and audits.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federal and state law are brought by a private individual, known as a relator, on behalf of the government. A relator who brings a successful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 If we are subject to liability under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or other actions, our business, financial condition, cash flows, or results of operations could be adversely affected. Even if we are successful in defending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against us, the fact that these actions were filed against us, even if ultimately determined to be without merit, could result in expensive defense costs, and also could have an adverse impact on our reputation and our ability to obtain regulatory approval for acquisitions that we may pursue.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credit market conditions may have a material adverse effect on our liquidity or our ability to obtain credit on acceptable terms.</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the past, the securities and credit markets have experienced extreme volatility and disruption. The availability of credit, from virtually all types of lenders, has at times been restricted. In the event we need access to additional capital to pay our operating expenses, fund subsidiary surplus requirements, make payments on or refinance our indebtedness, pay capital expenditures, or fund acquisitions, our ability to obtain such capital may be limited and the cost of any such capital may be significant, particularly if we are unable to access our existing revolving credit facility.</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5" w:name="page36"/>
    <w:bookmarkEnd w:id="35"/>
    <w:p>
      <w:pPr>
        <w:ind w:right="60"/>
        <w:spacing w:after="0" w:line="265" w:lineRule="auto"/>
        <w:rPr>
          <w:sz w:val="20"/>
          <w:szCs w:val="20"/>
          <w:color w:val="auto"/>
        </w:rPr>
      </w:pPr>
      <w:r>
        <w:rPr>
          <w:rFonts w:ascii="Arial" w:cs="Arial" w:eastAsia="Arial" w:hAnsi="Arial"/>
          <w:sz w:val="14"/>
          <w:szCs w:val="14"/>
          <w:color w:val="auto"/>
        </w:rPr>
        <w:t>Our access to additional financing will depend on a variety of factors such as prevailing economic and credit market conditions, the general availability of credit, the overall availability of credit to our industry, our credit ratings and credit capacity, and perceptions of our financial prospects. Similarly, our access to funds may be impaired if regulatory authorities or rating agencies take negative actions against us. If one or any combination of these factors were to occur, our internal sources of liquidity may prove to be insufficient, and in such case, we may not be able to successfully obtain sufficient additional financing on favorable terms, within an acceptable time, or at all.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Restrictive covenants in our debt instruments may restrict our ability to pursue our business strategies.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party to a credit agreement (as amended, the “Credit Agreement”) which includes a revolving credit facility (“Credit Facility”) of $1.25 billion, among other provisions. Our Credit Agreement, and the indentures governing our notes, require us to comply with various covenants that impose restrictions on our operations, including our ability to incur additional indebtedness, create liens, pay dividends, make certain investments or other restricted payments, sell or otherwise dispose of substantially all of our assets and engage in other activities. Our Credit Agreement also requires us to comply with a maximum consolidated net leverage ratio and a minimum consolidated interest coverage ratio. These restrictive covenants could limit our ability to pursue our business strategies. In addition, any failure by us to comply with these restrictive covenants could result in an event of default under the Credit Agreement and, in some circumstances, under the indentures governing our notes, which, in any case, could have a material adverse effect on our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GENERAL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leadership of our chief executive officer and other executive officers and key employees.</w:t>
      </w:r>
    </w:p>
    <w:p>
      <w:pPr>
        <w:spacing w:after="0" w:line="9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success of our business and the ability to execute our strategy are highly dependent on the leadership of Mr. Zubretsky, our chief executive officer, and that of our other key executive officers and employees. The loss of their leadership, expertise, and experience could negatively impact our operations. In addition, recently the threat environment for senior health care executives has worsened considerably, and the need for appropriate security to combat such threats could distract or disrupt senior management from performing their job responsibilities. Our ability to replace our leaders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Adverse changes to our corporate culture or industry perception could harm our business operations and our ability to retain key executive officers and employees. If we are unsuccessful in recruiting, retaining, managing, protecting, and motivating such personnel, our business, financial condition, cash flows, or results of operations could be adversely affected.</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related to litigation.</w:t>
      </w:r>
    </w:p>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 xml:space="preserve">We are subject to a variety of legal actions that may affect our business, including but not limited to provider claims, employment related disputes and employee benefit claims, breach of contract actions,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or False Claims Act actions, administrative matters before government agencies, tort claims, intellectual property-related litigation, and class actions of various kind. These actions or proceedings could result in substantial costs to us, require management to spend substantial time focused on litigation, result in negative media attention, and may adversely affect our business, reputation, financial condition, results of operations, or cash flows. If we incur liability materially in excess of the amount for which we have insurance coverage, our profitability would suffer.</w:t>
      </w:r>
    </w:p>
    <w:p>
      <w:pPr>
        <w:spacing w:after="0" w:line="57" w:lineRule="exact"/>
        <w:rPr>
          <w:sz w:val="20"/>
          <w:szCs w:val="20"/>
          <w:color w:val="auto"/>
        </w:rPr>
      </w:pPr>
    </w:p>
    <w:p>
      <w:pPr>
        <w:ind w:right="380"/>
        <w:spacing w:after="0" w:line="299" w:lineRule="auto"/>
        <w:rPr>
          <w:sz w:val="20"/>
          <w:szCs w:val="20"/>
          <w:color w:val="auto"/>
        </w:rPr>
      </w:pPr>
      <w:r>
        <w:rPr>
          <w:rFonts w:ascii="Arial" w:cs="Arial" w:eastAsia="Arial" w:hAnsi="Arial"/>
          <w:sz w:val="14"/>
          <w:szCs w:val="14"/>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2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the risk of material misstatements in our consolidated financial statements may increase and we could be required to restate our financial results.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our corporate headquarters are located in Southern California, our business operations may be disrupted as a result of a major earthquake or wildfire.</w:t>
      </w:r>
    </w:p>
    <w:p>
      <w:pPr>
        <w:spacing w:after="0" w:line="92"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Our corporate headquarters are located in Long Beach, California. In addition, some of our health plans’ claims are processed in Long Beach, California. Southern California is exposed to a statistically greater risk of a major</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6" w:name="page37"/>
    <w:bookmarkEnd w:id="36"/>
    <w:p>
      <w:pPr>
        <w:ind w:right="120"/>
        <w:spacing w:after="0" w:line="271" w:lineRule="auto"/>
        <w:rPr>
          <w:sz w:val="20"/>
          <w:szCs w:val="20"/>
          <w:color w:val="auto"/>
        </w:rPr>
      </w:pPr>
      <w:r>
        <w:rPr>
          <w:rFonts w:ascii="Arial" w:cs="Arial" w:eastAsia="Arial" w:hAnsi="Arial"/>
          <w:sz w:val="14"/>
          <w:szCs w:val="14"/>
          <w:color w:val="auto"/>
        </w:rPr>
        <w:t>earthquake and wildfires than most other parts of the United States. If a major earthquake or wildfire were to strike near our location in Southern California, our corporate functions and claims processing could be impaired for an unforeseen period of time. If there is a major Southern California earthquake or wildfire, there can be no assurances that our disaster recovery plan will be successful or that the business operations of our health plans, including those that are remote from any such event, would not be impacted.</w:t>
      </w:r>
    </w:p>
    <w:p>
      <w:pPr>
        <w:spacing w:after="0" w:line="51"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Changes in tax laws or regulations that are applied adversely to us or our customers may materially adversely affect our business, prospects, financial condition and operating results.</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New income, sales, use or other tax laws, statutes, rules, regulation or ordinances could be enacted at any time, or interpreted, changed, modified or applied adversely to us or our customers, any of which could adversely affect our business, prospects, financial performance and operating results. In particular, presidential, congressional, state and local elections in the United States could result in significant changes in, and uncertainty with respect to, tax legislation, regulation and government policy directly affecting our business or indirectly affecting us because of impacts on our customers, members, providers and third-party vendors and service suppliers. For example, the United States government has recently imposed a corporate alternative minimum tax and has, from time to time, proposed and may enact significant changes to the taxation of business entities including, among others, an increase in the corporate income tax rate and surtaxes on certain types of income. The likelihood of these changes being enacted or implemented is unclear. We are currently unable to predict whether such changes will occur and, if so, the ultimate impact on our business. To the extent that such changes have a negative impact on us, our customers, members, providers and third-party vendors and service suppliers, including as a result of related uncertainty, these changes may materially and adversely affect our business, prospects,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0F7C7F"/>
        </w:rPr>
        <w:t>Item 1C. CYBERSECURITY</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CYBERSECURITY RISK MANAGEMENT, GOVERNANCE AND RISK ASSESSMENT</w:t>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Company is committed to protecting the confidentiality, integrity, and availability of its information systems and the data they contain from cybersecurity threats. The Company recognizes that cybersecurity is a dynamic and evolving area of risk that requires ongoing assessment, management, and oversight. The Company has established a cybersecurity program (the "Program") that is designed to assess, identify, manage, and mitigate material cybersecurity threats, as well as to respond to and recover from cybersecurity incidents.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CYBERSECURITY RISK MANAGEMENT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Program is based on the National Institute of Standards and Technology (“NIST”) Cybersecurity Framework (“CSF”), NIST Special Publication 800-53, and the Payment Card Industry standards, as applicable, and designed to comply with applicable laws and regulations, including HIPAA and the New York Department of Financial Services Cybersecurity Regulation, as applicable. This does not imply that we meet any particular technical standards, specifications, or requirements, only that we use the NIST CSF and Payment Card Industry standards as guides to help us identify, assess, and manage cybersecurity risks relevant to our business. The Program is aligned with the Company's overall enterprise risk management system and processes and shares common methodologies, reporting channels and governance processes that apply across the enterprise risk management program to other legal, compliance, strategic, operational, and financial risk areas. Control procedures are assessed regularly to confirm their effectiveness. The Company undergoes an annual Service Organization Controls (“SOC”) Type 2 attestation report covering the performance of safeguards deployed to protect certain Company systems and applications. The Company maintains cybersecurity insurance providing coverage for certain costs related to security failures and specified cybersecurity-related incidents that interrupt our network or networks of our vendors, in all cases up to specified limits and subject to certain exclusions.</w:t>
      </w:r>
    </w:p>
    <w:p>
      <w:pPr>
        <w:spacing w:after="0" w:line="61"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The Company has a designated Chief Information Security Officer (the “CISO”). The Program is implemented and managed by the Company’s executive management under the leadership of the CISO. The Company contracts with third-party service providers to support aspects of the Program implementation, operations, and review of information technology operations and cybersecurity technologies. Additionally, the Company has retained a number of well-established and reputable cybersecurity consultants, including forensics experts, auditors, as well as outside cybersecurity legal counsel to assist with cybersecurity matters as needed from time to time.</w:t>
      </w:r>
    </w:p>
    <w:p>
      <w:pPr>
        <w:spacing w:after="0" w:line="5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Company has a Computer Incident Response Team (“CIRT”) which is responsible for monitoring, preventing, detecting, assisting with the investigation, and responding to cybersecurity threats. The Company has in place an Information Security Incident Response Plan (“IRP”) Protocol which provides an operational framework to coordinate the response to any type of cybersecurity incident affecting the Company. The CIRT team informs the CISO of cybersecurity threats consistent with the IRP. The IRP also provides the process and oversight to manage cybersecurity incidents that may arise from a third-party service provider. In addition, the IRP addresses management responsibility with respect to disclosure determinations related to a cybersecurity incident and provides for Audit Committee and Board briefings as appropriate.</w:t>
      </w:r>
    </w:p>
    <w:p>
      <w:pPr>
        <w:spacing w:after="0" w:line="5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Company’s cybersecurity policies and procedures are reviewed by the CISO and updated at least annually. In addition, under the IRP, following the resolution of a cybersecurity incident, the Company will generally consider the effectiveness of the Program and the IRP, make adjustments as appropriate, and report to senior management and the Audit Committee as appropriate on these matters. The cybersecurity policies and procedures are communicated and enforced throughout the Company, as well as with the third-party service providers that have access to the Company's information systems or nonpublic information. Cybersecurity policies and procedures are also subject to periodic review and audits by internal and external parties, such as the internal audit function, external auditors, regulators, or independent assessors. The Company requires employees to undergo cybersecurity-related training, including phishing prevention training, and employees are tested regularly through phishing exercises.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GOVERNANCE</w:t>
      </w:r>
    </w:p>
    <w:p>
      <w:pPr>
        <w:spacing w:after="0" w:line="9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The CISO is responsible for developing, maintaining, and enforcing the Program's policies and procedures, as well as reporting on the Program's performance and material cybersecurity risks to the Audit Committee. The CISO has the relevant expertise and authority to carry out the Program's objectives and to coordinate with other key stakeholders within and outside the Company. The CISO’s expertise includes decades of information technology and cybersecurity as a subject matter expert, including more than a decade of executive management experience as a CISO for Fortune 500 companies.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38" w:name="page39"/>
    <w:bookmarkEnd w:id="38"/>
    <w:p>
      <w:pPr>
        <w:ind w:right="20"/>
        <w:spacing w:after="0" w:line="258" w:lineRule="auto"/>
        <w:rPr>
          <w:sz w:val="20"/>
          <w:szCs w:val="20"/>
          <w:color w:val="auto"/>
        </w:rPr>
      </w:pPr>
      <w:r>
        <w:rPr>
          <w:rFonts w:ascii="Arial" w:cs="Arial" w:eastAsia="Arial" w:hAnsi="Arial"/>
          <w:sz w:val="14"/>
          <w:szCs w:val="14"/>
          <w:color w:val="auto"/>
        </w:rPr>
        <w:t>The Program is overseen by the Company’s Board of Directors through its Audit Committee which, pursuant to its charter, assists the Board with oversight of Company privacy, data security, and cybersecurity matters and risks. The Audit Committee meets regularly with the Company’s executive management, including the CISO and the Chief Information Officer, and receives updates on the status and overall effectiveness of the Program, changes to the Program, relevant information technology operations, any changes in material cybersecurity risks and any significant cybersecurity incidents consistent with the IRP. The Audit Committee also discusses with executive management the steps management has taken to monitor and mitigate privacy, data security, and cybersecurity risk exposures, the Company’s information governance policies and programs, and major legislative and regulatory developments that could materially impact the Company’s exposure regarding privacy, data security risk, and cybersecurity. The Audit Committee reports to the full Board regarding its activities, including those related to cybersecurity. The Audit Committee and the Board consider cybersecurity as part of the Company’s business strategy, financial planning, and capital allocation.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CYBERSECURITY RISK ASSESSMENT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CISO is responsible for assessing and managing the Company’s material risks from cybersecurity threats. The Company conducts regular risk assessments to identify, evaluate, and prioritize material cybersecurity risks to the Company, including its health plans and state contracts, shared services and IT operations, or business strategy. The risk assessments are informed by various sources of information, such as internal and external audits, vulnerability scans, penetration tests, threat intelligence, incident reports, industry benchmarks, and accepted industry practices. The risk assessments consider the potential impact and likelihood of various cybersecurity threats, such as ransomware, malware, social engineering, third-party incidents, supply chain attacks and insider threats, and contemplates the adequacy of controls to detect, prevent, respond, and recover to reduce the possibility of an adverse material cybersecurity event. The Company has in place processes to identify material risks from cybersecurity threats associated with its use of third-party service providers and as such, conducts assessments of such third-party service providers with respect to their cybersecurity programs and risks and requires third-party service providers to notify the Company if they experienced a cybersecurity incident. The Company hires experienced security professionals to conduct advanced and realistic cybersecurity attack simulations to verify its Program, and conducts regular cybersecurity tabletop exercises with executive management, which are coordinated by a third-party.</w:t>
      </w:r>
    </w:p>
    <w:p>
      <w:pPr>
        <w:spacing w:after="0" w:line="61"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For a discussion of the Company’s cybersecurity-related risks, see Item 1A of this Form 10-K under the heading “Risk Factors—If we or one of our significant vendors sustain a cyber-attack or suffer data privacy or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2. PROPERTIES</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own and lease certain real properties to support the business operations of our reportable segments. In 2022, we completed a plan to reduce the real estate footprint used in our business operations to accommodate our move to a permanent remote work environment, a model we have been working under successfully for over four years. Our remaining office space is being reconfigured and optimized for utilization and efficiency. While we believe our current and anticipated facilities are adequate to meet our operational needs in the near term, we continually evaluate the adequacy of our properties for our anticipated future needs.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3. LEGAL PROCEEDINGS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legal proceedings, see the Notes to Consolidated Financial Statements, Note 15, “Commitments and Contingencies—Legal Proceedings.”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PART II</w:t>
      </w:r>
    </w:p>
    <w:p>
      <w:pPr>
        <w:spacing w:after="0" w:line="98"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b w:val="1"/>
          <w:bCs w:val="1"/>
          <w:color w:val="0F7C7F"/>
        </w:rPr>
        <w:t>Item 5. MARKET FOR REGISTRANT’S COMMON EQUITY, RELATED STOCKHOLDER MATTERS AND ISSUER PURCHASES OF EQUITY SECURITIES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ISSUER PURCHASES OF EQUITY SECURITIES</w:t>
      </w:r>
    </w:p>
    <w:p>
      <w:pPr>
        <w:spacing w:after="0" w:line="94"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Purchases of common stock made by us, or on our behalf, during the fourth quarter of 2024, including shares withheld by us to satisfy our employees’ income tax obligations, are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8"/>
              </w:rPr>
              <w:t>Total Number of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8"/>
              </w:rPr>
              <w:t>Purchased as Part of</w:t>
            </w:r>
          </w:p>
        </w:tc>
        <w:tc>
          <w:tcPr>
            <w:tcW w:w="8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8"/>
              </w:rPr>
              <w:t>Approximate Dollar Value</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6"/>
              </w:rPr>
              <w:t>Publicly</w:t>
            </w: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Average Price Paid per</w:t>
            </w: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Announced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36"/>
              <w:spacing w:after="0" w:line="128" w:lineRule="exact"/>
              <w:rPr>
                <w:sz w:val="20"/>
                <w:szCs w:val="20"/>
                <w:color w:val="auto"/>
              </w:rPr>
            </w:pPr>
            <w:r>
              <w:rPr>
                <w:rFonts w:ascii="Arial" w:cs="Arial" w:eastAsia="Arial" w:hAnsi="Arial"/>
                <w:sz w:val="13"/>
                <w:szCs w:val="13"/>
                <w:b w:val="1"/>
                <w:bCs w:val="1"/>
                <w:color w:val="auto"/>
                <w:w w:val="97"/>
              </w:rPr>
              <w:t>of Shares that May Yet</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of Shares</w:t>
            </w:r>
          </w:p>
        </w:tc>
        <w:tc>
          <w:tcPr>
            <w:tcW w:w="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Plans or</w:t>
            </w:r>
          </w:p>
        </w:tc>
        <w:tc>
          <w:tcPr>
            <w:tcW w:w="80" w:type="dxa"/>
            <w:vAlign w:val="bottom"/>
          </w:tcPr>
          <w:p>
            <w:pPr>
              <w:spacing w:after="0"/>
              <w:rPr>
                <w:sz w:val="11"/>
                <w:szCs w:val="11"/>
                <w:color w:val="auto"/>
              </w:rPr>
            </w:pPr>
          </w:p>
        </w:tc>
        <w:tc>
          <w:tcPr>
            <w:tcW w:w="160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7"/>
              </w:rPr>
              <w:t>Be Purchased Under the</w:t>
            </w:r>
          </w:p>
        </w:tc>
        <w:tc>
          <w:tcPr>
            <w:tcW w:w="0" w:type="dxa"/>
            <w:vAlign w:val="bottom"/>
          </w:tcPr>
          <w:p>
            <w:pPr>
              <w:spacing w:after="0"/>
              <w:rPr>
                <w:sz w:val="1"/>
                <w:szCs w:val="1"/>
                <w:color w:val="auto"/>
              </w:rPr>
            </w:pPr>
          </w:p>
        </w:tc>
      </w:tr>
      <w:tr>
        <w:trPr>
          <w:trHeight w:val="170"/>
        </w:trPr>
        <w:tc>
          <w:tcPr>
            <w:tcW w:w="49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3"/>
                <w:szCs w:val="13"/>
                <w:b w:val="1"/>
                <w:bCs w:val="1"/>
                <w:color w:val="auto"/>
                <w:w w:val="93"/>
              </w:rPr>
              <w:t xml:space="preserve">Purchased </w:t>
            </w:r>
            <w:r>
              <w:rPr>
                <w:rFonts w:ascii="Arial" w:cs="Arial" w:eastAsia="Arial" w:hAnsi="Arial"/>
                <w:sz w:val="16"/>
                <w:szCs w:val="16"/>
                <w:b w:val="1"/>
                <w:bCs w:val="1"/>
                <w:color w:val="auto"/>
                <w:w w:val="93"/>
                <w:vertAlign w:val="superscript"/>
              </w:rPr>
              <w:t>(1)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Share</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Programs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6"/>
              <w:spacing w:after="0" w:line="170" w:lineRule="exact"/>
              <w:rPr>
                <w:sz w:val="20"/>
                <w:szCs w:val="20"/>
                <w:color w:val="auto"/>
              </w:rPr>
            </w:pPr>
            <w:r>
              <w:rPr>
                <w:rFonts w:ascii="Arial" w:cs="Arial" w:eastAsia="Arial" w:hAnsi="Arial"/>
                <w:sz w:val="13"/>
                <w:szCs w:val="13"/>
                <w:b w:val="1"/>
                <w:bCs w:val="1"/>
                <w:color w:val="auto"/>
                <w:w w:val="96"/>
              </w:rPr>
              <w:t xml:space="preserve">Plans or Programs </w:t>
            </w:r>
            <w:r>
              <w:rPr>
                <w:rFonts w:ascii="Arial" w:cs="Arial" w:eastAsia="Arial" w:hAnsi="Arial"/>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6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1 - October 31</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42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1,000,000,000</w:t>
            </w: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November 1 - November 30</w:t>
            </w:r>
          </w:p>
        </w:tc>
        <w:tc>
          <w:tcPr>
            <w:tcW w:w="1460" w:type="dxa"/>
            <w:vAlign w:val="bottom"/>
          </w:tcPr>
          <w:p>
            <w:pPr>
              <w:jc w:val="right"/>
              <w:spacing w:after="0"/>
              <w:rPr>
                <w:sz w:val="20"/>
                <w:szCs w:val="20"/>
                <w:color w:val="auto"/>
              </w:rPr>
            </w:pPr>
            <w:r>
              <w:rPr>
                <w:rFonts w:ascii="Arial" w:cs="Arial" w:eastAsia="Arial" w:hAnsi="Arial"/>
                <w:sz w:val="13"/>
                <w:szCs w:val="13"/>
                <w:color w:val="auto"/>
              </w:rPr>
              <w:t>275,900</w:t>
            </w:r>
          </w:p>
        </w:tc>
        <w:tc>
          <w:tcPr>
            <w:tcW w:w="42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297.25</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275,900</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918,000,000</w:t>
            </w:r>
          </w:p>
        </w:tc>
        <w:tc>
          <w:tcPr>
            <w:tcW w:w="0" w:type="dxa"/>
            <w:vAlign w:val="bottom"/>
          </w:tcPr>
          <w:p>
            <w:pPr>
              <w:spacing w:after="0"/>
              <w:rPr>
                <w:sz w:val="1"/>
                <w:szCs w:val="1"/>
                <w:color w:val="auto"/>
              </w:rPr>
            </w:pPr>
          </w:p>
        </w:tc>
      </w:tr>
      <w:tr>
        <w:trPr>
          <w:trHeight w:val="170"/>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1 - December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1,390,500</w:t>
            </w:r>
          </w:p>
        </w:tc>
        <w:tc>
          <w:tcPr>
            <w:tcW w:w="42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300.59</w:t>
            </w:r>
          </w:p>
        </w:tc>
        <w:tc>
          <w:tcPr>
            <w:tcW w:w="8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1,390,500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1,668,000</w:t>
            </w:r>
          </w:p>
        </w:tc>
        <w:tc>
          <w:tcPr>
            <w:tcW w:w="42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300.08</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1,666,400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8" w:lineRule="exact"/>
        <w:rPr>
          <w:sz w:val="20"/>
          <w:szCs w:val="20"/>
          <w:color w:val="auto"/>
        </w:rPr>
      </w:pPr>
    </w:p>
    <w:p>
      <w:pPr>
        <w:ind w:left="260" w:right="80" w:hanging="255"/>
        <w:spacing w:after="0" w:line="256" w:lineRule="auto"/>
        <w:tabs>
          <w:tab w:leader="none" w:pos="256" w:val="left"/>
        </w:tabs>
        <w:numPr>
          <w:ilvl w:val="0"/>
          <w:numId w:val="18"/>
        </w:numPr>
        <w:rPr>
          <w:rFonts w:ascii="Arial" w:cs="Arial" w:eastAsia="Arial" w:hAnsi="Arial"/>
          <w:sz w:val="13"/>
          <w:szCs w:val="13"/>
          <w:color w:val="auto"/>
        </w:rPr>
      </w:pPr>
      <w:r>
        <w:rPr>
          <w:rFonts w:ascii="Arial" w:cs="Arial" w:eastAsia="Arial" w:hAnsi="Arial"/>
          <w:sz w:val="13"/>
          <w:szCs w:val="13"/>
          <w:color w:val="auto"/>
        </w:rPr>
        <w:t>During the fourth quarter of 2024, there were approximately 1,666,400 shares repurchased as part of our publicly announced share repurchase program and we withheld 1,600 shares of common stock to settle employee income tax obligations for releases of awards granted under the Molina Healthcare, Inc. 2019 Equity Incentive Plan.</w:t>
      </w:r>
    </w:p>
    <w:p>
      <w:pPr>
        <w:ind w:left="260" w:hanging="255"/>
        <w:spacing w:after="0" w:line="274" w:lineRule="auto"/>
        <w:tabs>
          <w:tab w:leader="none" w:pos="256"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October 2024, our board of directors authorized the purchase of up to $1 billion of our common stock. This new program extends through December 31, 2025 and supersedes the stock purchase program previously approved by our board of directors in September 2023. The exact timing and amount of any repurchase is determined by management based on market conditions and share price, in addition to other factors, and repurchases generally will be made in accordance with the volume, price, and timing parameters under Rule 10b-18 of the Securities Exchange Act of 1934, as amended. For further information on our stock repurchase programs, refer to the accompanying Notes to Financial Statements, Note 13, “Stockholders'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STOCK PERFORMANCE GRAPH</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i w:val="1"/>
          <w:iCs w:val="1"/>
          <w:color w:val="auto"/>
        </w:rPr>
        <w:t>The following graph and related discussion are being furnished solely to accompany this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85"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following line graph compares the percentage change in the cumulative total return on our common stock against the cumulative total return of the Standard &amp; Poor’s Corporation Composite 500 Index (the “S&amp;P 500”), a peer group index for the five-year period from December 31, 2019 to December 31, 2024 and a prior peer group index used in our Annual Report on Form 10-K for the fiscal year ended December 31, 2023. The comparison assumes $100 was invested on December 31, 2019, in our common stock and in each of the foregoing indices and assumes reinvestment of dividends. The stock performance shown on the graph below represents historical stock price performance and is not necessarily indicative of future stock price performance.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1998980</wp:posOffset>
            </wp:positionH>
            <wp:positionV relativeFrom="page">
              <wp:posOffset>547370</wp:posOffset>
            </wp:positionV>
            <wp:extent cx="3557270" cy="2472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557270" cy="247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The 2023 peer group index consists of Acadia Healthcare Company, Inc. (ACHC), Centene Corporation (CNC), Cigna Corporation (CI), Community Health Systems, Inc. (CYH), Elevance Health, Inc. (ELV), HCA Healthcare, Inc. (HCA), Humana, Inc. (HUM), Laboratory Corporation of America Holdings (LH), Quest Diagnostics Incorporated (DGX), Tenet Healthcare Corporation (THC) and Universal Health Services, Inc. (UHS).</w:t>
      </w:r>
    </w:p>
    <w:p>
      <w:pPr>
        <w:spacing w:after="0" w:line="81"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2024 peer group index consists of Aflac Incorporated (AFL), Becton, Dickinson and Company (BDX), Boston Scientific Corporation (BSX), Centene Corporation (CNC), The Cigna Group (CI), Community Health Systems, Inc. (CYH), DaVita Inc. (DVA), Elevance Health, Inc. (ELV), HCA Healthcare, Inc. (HCA), Humana, Inc. (HUM), Laboratory Corporation of America Holdings (LH), MetLife, Inc. (MET), Prudential Financial, Inc. (PRU), Quest Diagnostics Incorporated (DGX), Tenet Healthcare Corporation (THC) and Universal Health Services, Inc. (UHS). The Company’s peer group was updated to include relevant peers across business segment and certain financial metrics, including but not limited to criteria relevant to revenue, market capitalization, EBITDA, organization model, and employee recruitment.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STOCK TRADING SYMBOL AND DIVIDENDS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common stock is listed on the New York Stock Exchange under the trading symbol “MOH.” As of February 7, 2025, there were 14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15, “Commitments and Contingencies—Regulatory Capital Requirements and Dividend Restrictions.”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UNREGISTERED SALES OF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0F7C7F"/>
        </w:rPr>
        <w:t>Item 7. MANAGEMENT’S DISCUSSION AND ANALYSIS OF FINANCIAL CONDITION AND RESULTS OF OPERATIONS (“MD&amp;A”)</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as of and for the years ended December 31, 2024 and 2023, are presented in the sections that follow. Our MD&amp;A as of and for the year ended December 31, 2022, may be found in our 2023 Annual Report on Form 10-K, which prior disclosure is incorporated by reference herein. The following discussion and analysis does not include certain items related to the year ended December 31, 2022, including year-to-year comparisons between the year ended December 31, 2023 and the year ended December 31, 2022. For a comparison of our results of operations for the fiscal years ended December 31, 2023 and December 31, 2022, see “Management's Discussion and Analysis of Financial Condition and Results of Operations” in our Annual Report on Form 10-K for the year ended December 31, 2023, filed with the SEC on February 13, 2024.</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7"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color w:val="auto"/>
        </w:rPr>
        <w:t>Molina Healthcare, Inc., a FORTUNE 500 company, provides managed healthcare services under the Medicaid and Medicare programs, and through the state insurance marketplaces (the “Marketplace”). We served approximately 5.5 million members as of December 31, 2024, located across 21 states.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2024 HIGHLIGHTS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Highlights of our full-year 2024 results included the following:</w:t>
      </w:r>
    </w:p>
    <w:p>
      <w:pPr>
        <w:spacing w:after="0" w:line="94"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Net income of $1,179 million, or $20.42 per diluted share, compared to $1,091 million, or $18.77 per diluted share in 2023;</w:t>
      </w:r>
    </w:p>
    <w:p>
      <w:pPr>
        <w:spacing w:after="0" w:line="22" w:lineRule="exact"/>
        <w:rPr>
          <w:rFonts w:ascii="Arial" w:cs="Arial" w:eastAsia="Arial" w:hAnsi="Arial"/>
          <w:sz w:val="14"/>
          <w:szCs w:val="14"/>
          <w:i w:val="1"/>
          <w:iCs w:val="1"/>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Membership of 5.5 million at December 31, 2024, mainly reflecting the impact of our growth initiatives, which partially offset the impact of Medicaid redeterminations;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revenue of $40.7 billion, which increased 19% compared to 2023;</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Premium revenue of $38.6 billion, which increased 19% compared to 2023;</w:t>
      </w:r>
    </w:p>
    <w:p>
      <w:pPr>
        <w:spacing w:after="0" w:line="8" w:lineRule="exact"/>
        <w:rPr>
          <w:rFonts w:ascii="Arial" w:cs="Arial" w:eastAsia="Arial" w:hAnsi="Arial"/>
          <w:sz w:val="14"/>
          <w:szCs w:val="14"/>
          <w:i w:val="1"/>
          <w:iCs w:val="1"/>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Consolidated medical care ratio (“MCR”) of 89.1%, compared to 88.1% in 2023;</w:t>
      </w:r>
    </w:p>
    <w:p>
      <w:pPr>
        <w:spacing w:after="0" w:line="8" w:lineRule="exact"/>
        <w:rPr>
          <w:rFonts w:ascii="Arial" w:cs="Arial" w:eastAsia="Arial" w:hAnsi="Arial"/>
          <w:sz w:val="14"/>
          <w:szCs w:val="14"/>
          <w:i w:val="1"/>
          <w:iCs w:val="1"/>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General and administrative expense ratio (“G&amp;A ratio”) of 6.7%, which decreased from 7.2% in 2023;</w:t>
      </w:r>
    </w:p>
    <w:p>
      <w:pPr>
        <w:spacing w:after="0" w:line="8" w:lineRule="exact"/>
        <w:rPr>
          <w:rFonts w:ascii="Arial" w:cs="Arial" w:eastAsia="Arial" w:hAnsi="Arial"/>
          <w:sz w:val="14"/>
          <w:szCs w:val="14"/>
          <w:i w:val="1"/>
          <w:iCs w:val="1"/>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Investment income of $452 million, which increased 5% compared to 2023;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After-tax margin of 2.9%, compared to 3.2% in 2023.</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Growth Initiatives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delivering strong 2024 financial results, we continued to execute on our profitable growth strategy. To recap the growth milestones achieved in 2024 and early 2025:</w:t>
      </w:r>
    </w:p>
    <w:p>
      <w:pPr>
        <w:spacing w:after="0" w:line="94"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 January 1, 2024, we closed our acquisition of Bright Health’s California Medicare business (Brand New Day and Central Health Plan of California);</w:t>
      </w:r>
    </w:p>
    <w:p>
      <w:pPr>
        <w:spacing w:after="0" w:line="22" w:lineRule="exact"/>
        <w:rPr>
          <w:rFonts w:ascii="Arial" w:cs="Arial" w:eastAsia="Arial" w:hAnsi="Arial"/>
          <w:sz w:val="14"/>
          <w:szCs w:val="14"/>
          <w:color w:val="auto"/>
        </w:rPr>
      </w:pPr>
    </w:p>
    <w:p>
      <w:pPr>
        <w:ind w:left="520" w:right="300" w:hanging="260"/>
        <w:spacing w:after="0" w:line="253"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January 1, 2024, we successfully launched our Nebraska health plan and launched our expanded California Medicaid platform, including Los Angeles county, which approximately doubled the size of our business in the state;</w:t>
      </w: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new contracts with New Mexico started on July 1, 2024, Texas STAR+PLUS started on September 1, 2024 and Michigan started on October 1, 2024;</w:t>
      </w:r>
    </w:p>
    <w:p>
      <w:pPr>
        <w:spacing w:after="0" w:line="8" w:lineRule="exact"/>
        <w:rPr>
          <w:rFonts w:ascii="Arial" w:cs="Arial" w:eastAsia="Arial" w:hAnsi="Arial"/>
          <w:sz w:val="14"/>
          <w:szCs w:val="14"/>
          <w:color w:val="auto"/>
        </w:rPr>
      </w:pPr>
    </w:p>
    <w:p>
      <w:pPr>
        <w:ind w:left="520" w:right="360" w:hanging="260"/>
        <w:spacing w:after="0" w:line="253"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Successfully defended RFPs for Medicaid contracts in Florida, Michigan, Mississippi, Texas, and Wisconsin and procured Medicare contracts in Idaho, Massachusetts, Michigan, and Ohio;</w:t>
      </w: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 February 1, 2025, we closed on our acquisition of ConnectiCare and expect approximately $1.2 billion of revenue, mostly in our Marketplace segment.</w:t>
      </w:r>
    </w:p>
    <w:p>
      <w:pPr>
        <w:spacing w:after="0" w:line="186"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Collectively, newly reported RFP successes and acquisitions in 2024 represent nearly $7 billion of incremental annual premium revenue, which will be partially realized in 2025, is expected to be mostly realized in 2026 and is expected to be fully realized in 2027 and 2028.</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0F7C7F"/>
        </w:rPr>
        <w:t>FINANCIAL RESULTS SUMMARY</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1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r>
      <w:tr>
        <w:trPr>
          <w:trHeight w:val="150"/>
        </w:trPr>
        <w:tc>
          <w:tcPr>
            <w:tcW w:w="81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r>
      <w:tr>
        <w:trPr>
          <w:trHeight w:val="224"/>
        </w:trPr>
        <w:tc>
          <w:tcPr>
            <w:tcW w:w="8120" w:type="dxa"/>
            <w:vAlign w:val="bottom"/>
          </w:tcPr>
          <w:p>
            <w:pPr>
              <w:spacing w:after="0"/>
              <w:rPr>
                <w:sz w:val="19"/>
                <w:szCs w:val="19"/>
                <w:color w:val="auto"/>
              </w:rPr>
            </w:pPr>
          </w:p>
        </w:tc>
        <w:tc>
          <w:tcPr>
            <w:tcW w:w="3140" w:type="dxa"/>
            <w:vAlign w:val="bottom"/>
            <w:gridSpan w:val="5"/>
          </w:tcPr>
          <w:p>
            <w:pPr>
              <w:jc w:val="right"/>
              <w:ind w:right="456"/>
              <w:spacing w:after="0"/>
              <w:rPr>
                <w:sz w:val="20"/>
                <w:szCs w:val="20"/>
                <w:color w:val="auto"/>
              </w:rPr>
            </w:pPr>
            <w:r>
              <w:rPr>
                <w:rFonts w:ascii="Arial" w:cs="Arial" w:eastAsia="Arial" w:hAnsi="Arial"/>
                <w:sz w:val="11"/>
                <w:szCs w:val="11"/>
                <w:b w:val="1"/>
                <w:bCs w:val="1"/>
                <w:i w:val="1"/>
                <w:iCs w:val="1"/>
                <w:color w:val="auto"/>
              </w:rPr>
              <w:t>(In millions, except per-share amounts)</w:t>
            </w: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Premium revenue</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38,627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32,529</w:t>
            </w:r>
          </w:p>
        </w:tc>
      </w:tr>
      <w:tr>
        <w:trPr>
          <w:trHeight w:val="169"/>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medical care costs</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34,428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28,669</w:t>
            </w:r>
          </w:p>
        </w:tc>
      </w:tr>
      <w:tr>
        <w:trPr>
          <w:trHeight w:val="162"/>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Medical margin</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3,860</w:t>
            </w:r>
          </w:p>
        </w:tc>
      </w:tr>
      <w:tr>
        <w:trPr>
          <w:trHeight w:val="170"/>
        </w:trPr>
        <w:tc>
          <w:tcPr>
            <w:tcW w:w="812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 xml:space="preserve">MCR </w:t>
            </w:r>
            <w:r>
              <w:rPr>
                <w:rFonts w:ascii="Arial" w:cs="Arial" w:eastAsia="Arial" w:hAnsi="Arial"/>
                <w:sz w:val="16"/>
                <w:szCs w:val="16"/>
                <w:i w:val="1"/>
                <w:iCs w:val="1"/>
                <w:color w:val="auto"/>
                <w:vertAlign w:val="superscript"/>
              </w:rPr>
              <w:t>(1)</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i w:val="1"/>
                <w:iCs w:val="1"/>
                <w:color w:val="auto"/>
              </w:rPr>
              <w:t>89.1 %</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88.1 %</w:t>
            </w:r>
          </w:p>
        </w:tc>
      </w:tr>
      <w:tr>
        <w:trPr>
          <w:trHeight w:val="117"/>
        </w:trPr>
        <w:tc>
          <w:tcPr>
            <w:tcW w:w="8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Other revenues: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Premium tax revenue</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1,486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1,069</w:t>
            </w: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Investment income</w:t>
            </w:r>
          </w:p>
        </w:tc>
        <w:tc>
          <w:tcPr>
            <w:tcW w:w="92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394</w:t>
            </w:r>
          </w:p>
        </w:tc>
      </w:tr>
      <w:tr>
        <w:trPr>
          <w:trHeight w:val="171"/>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Other revenue</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80</w:t>
            </w:r>
          </w:p>
        </w:tc>
      </w:tr>
      <w:tr>
        <w:trPr>
          <w:trHeight w:val="202"/>
        </w:trPr>
        <w:tc>
          <w:tcPr>
            <w:tcW w:w="8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2,743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2,462</w:t>
            </w:r>
          </w:p>
        </w:tc>
      </w:tr>
      <w:tr>
        <w:trPr>
          <w:trHeight w:val="170"/>
        </w:trPr>
        <w:tc>
          <w:tcPr>
            <w:tcW w:w="812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 xml:space="preserve">G&amp;A ratio </w:t>
            </w:r>
            <w:r>
              <w:rPr>
                <w:rFonts w:ascii="Arial" w:cs="Arial" w:eastAsia="Arial" w:hAnsi="Arial"/>
                <w:sz w:val="16"/>
                <w:szCs w:val="16"/>
                <w:i w:val="1"/>
                <w:iCs w:val="1"/>
                <w:color w:val="auto"/>
                <w:vertAlign w:val="superscript"/>
              </w:rPr>
              <w:t>(2)</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i w:val="1"/>
                <w:iCs w:val="1"/>
                <w:color w:val="auto"/>
              </w:rPr>
              <w:t>6.7 %</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7.2 %</w:t>
            </w:r>
          </w:p>
        </w:tc>
      </w:tr>
      <w:tr>
        <w:trPr>
          <w:trHeight w:val="202"/>
        </w:trPr>
        <w:tc>
          <w:tcPr>
            <w:tcW w:w="8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Premium tax expenses</w:t>
            </w:r>
          </w:p>
        </w:tc>
        <w:tc>
          <w:tcPr>
            <w:tcW w:w="92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1,486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1,069</w:t>
            </w:r>
          </w:p>
        </w:tc>
      </w:tr>
      <w:tr>
        <w:trPr>
          <w:trHeight w:val="171"/>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171</w:t>
            </w:r>
          </w:p>
        </w:tc>
      </w:tr>
      <w:tr>
        <w:trPr>
          <w:trHeight w:val="169"/>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128</w:t>
            </w:r>
          </w:p>
        </w:tc>
      </w:tr>
      <w:tr>
        <w:trPr>
          <w:trHeight w:val="162"/>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9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1,573</w:t>
            </w:r>
          </w:p>
        </w:tc>
      </w:tr>
      <w:tr>
        <w:trPr>
          <w:trHeight w:val="159"/>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Interest expense</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109</w:t>
            </w:r>
          </w:p>
        </w:tc>
      </w:tr>
      <w:tr>
        <w:trPr>
          <w:trHeight w:val="162"/>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 expense</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1,589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1,464</w:t>
            </w:r>
          </w:p>
        </w:tc>
      </w:tr>
      <w:tr>
        <w:trPr>
          <w:trHeight w:val="169"/>
        </w:trPr>
        <w:tc>
          <w:tcPr>
            <w:tcW w:w="8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410</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373</w:t>
            </w:r>
          </w:p>
        </w:tc>
      </w:tr>
      <w:tr>
        <w:trPr>
          <w:trHeight w:val="18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1,091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95"/>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per diluted share</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20.42</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18.77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95"/>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weighted average shares outstanding</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57.7</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58.1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Key Statistics: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8120" w:type="dxa"/>
            <w:vAlign w:val="bottom"/>
          </w:tcPr>
          <w:p>
            <w:pPr>
              <w:spacing w:after="0"/>
              <w:rPr>
                <w:sz w:val="20"/>
                <w:szCs w:val="20"/>
                <w:color w:val="auto"/>
              </w:rPr>
            </w:pPr>
            <w:r>
              <w:rPr>
                <w:rFonts w:ascii="Arial" w:cs="Arial" w:eastAsia="Arial" w:hAnsi="Arial"/>
                <w:sz w:val="13"/>
                <w:szCs w:val="13"/>
                <w:color w:val="auto"/>
              </w:rPr>
              <w:t>Ending Membership</w:t>
            </w:r>
          </w:p>
        </w:tc>
        <w:tc>
          <w:tcPr>
            <w:tcW w:w="92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3"/>
                <w:szCs w:val="13"/>
                <w:color w:val="auto"/>
              </w:rPr>
              <w:t>5.0</w:t>
            </w:r>
          </w:p>
        </w:tc>
      </w:tr>
      <w:tr>
        <w:trPr>
          <w:trHeight w:val="171"/>
        </w:trPr>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r>
      <w:tr>
        <w:trPr>
          <w:trHeight w:val="223"/>
        </w:trPr>
        <w:tc>
          <w:tcPr>
            <w:tcW w:w="8120" w:type="dxa"/>
            <w:vAlign w:val="bottom"/>
          </w:tcPr>
          <w:p>
            <w:pPr>
              <w:spacing w:after="0"/>
              <w:rPr>
                <w:sz w:val="20"/>
                <w:szCs w:val="20"/>
                <w:color w:val="auto"/>
              </w:rPr>
            </w:pPr>
            <w:r>
              <w:rPr>
                <w:rFonts w:ascii="Arial" w:cs="Arial" w:eastAsia="Arial" w:hAnsi="Arial"/>
                <w:sz w:val="13"/>
                <w:szCs w:val="13"/>
                <w:color w:val="auto"/>
              </w:rPr>
              <w:t xml:space="preserve">After-tax margin </w:t>
            </w:r>
            <w:r>
              <w:rPr>
                <w:rFonts w:ascii="Arial" w:cs="Arial" w:eastAsia="Arial" w:hAnsi="Arial"/>
                <w:sz w:val="16"/>
                <w:szCs w:val="16"/>
                <w:color w:val="auto"/>
                <w:vertAlign w:val="superscript"/>
              </w:rPr>
              <w:t>(3)</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3.2 %</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5"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w:t>
      </w:r>
    </w:p>
    <w:p>
      <w:pPr>
        <w:spacing w:after="0" w:line="17" w:lineRule="exact"/>
        <w:rPr>
          <w:rFonts w:ascii="Arial" w:cs="Arial" w:eastAsia="Arial" w:hAnsi="Arial"/>
          <w:sz w:val="13"/>
          <w:szCs w:val="13"/>
          <w:color w:val="auto"/>
        </w:rPr>
      </w:pPr>
    </w:p>
    <w:p>
      <w:pPr>
        <w:ind w:left="260" w:hanging="255"/>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G&amp;A ratio represents general and administrative expenses as a percentage of total revenue.</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After-tax margin represents net income as a percentage of total revenue.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RESULTS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NET INCOME AND OPERATING INCOME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Net income amounted to $1,179 million, or $20.42 per diluted share in 2024, compared with net income of $1,091 million, or $18.77 per diluted share, in 2023.</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Operating income was $1,707 million in 2024, compared with $1,573 million in 2023. The increase in operating income was mainly due to the impact of increased premiums and medical margin stemming from our membership growth, improved G&amp;A expense ratio, and increased investment income, partially offset by an increase in the consolidated MCR. In addition, the 2023 results reflect a $41 million credit loss related to 2022 Marketplace risk adjustment receivables.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828282"/>
        </w:rPr>
        <w:t>PREMIUM REVENUE</w:t>
      </w:r>
    </w:p>
    <w:p>
      <w:pPr>
        <w:spacing w:after="0" w:line="94"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Premium revenue increased $6.1 billion, or 19%, in 2024, when compared with 2023. The higher premium revenue reflects the impact of a balanced combination of the new Medicaid contract wins, acquisitions, and growth in our current footprint, partially offset by the impact of Medicaid redeterminations.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CARE RATIO</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The consolidated MCR increased to 89.1% in 2024, compared with 88.1% in 2023, or 100 basis points, and was slightly above our long-term range. The increase is driven mainly by our Medicaid segment, mainly reflecting the continued impact of redetermination-related acuity shifts, higher utilization among our continuing population, particularly in the second half of 2024, and higher initial MCRs related to new contracts, expansion and the My Choice acquisition, partially offset by minimum MLRs and medical cost corridors, continued disciplined medical cost management and year-over-year improvement in our Medicaid and Marketplace segments. See further discussion in “Reportable Segments— Segment Financial Performance,” below.</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Prior year reserve development has been favorable in 2024, but its impact on earnings has been mostly absorbed by minimum MLRs and medical cost corridors.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PREMIUM TAX REVENUE AND EXPENSES</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premium tax ratio increased to 3.7% in 2024, compared with 3.2% in 2023, due mainly to the reinstatement of the California MCO tax by the state’s Department of Health Care Services effective April 1, 2023, and changes in business mix.</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INVESTMENT INCOME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increased to $452 million in 2024, compared with $394 million in 2023. The increase was primarily driven by an increase in invested assets.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REVENUE</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Other revenue increased slightly to $85 million in 2024, compared with $80 million in 2023. Other revenue mainly includes service revenue associated with long-term services and supports consultative services we provide in Wisconsin.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GENERAL AND ADMINISTRATIVE (“G&amp;A”) EXPENSES</w:t>
      </w:r>
    </w:p>
    <w:p>
      <w:pPr>
        <w:spacing w:after="0" w:line="94"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The G&amp;A ratio was 6.7% in 2024, compared to 7.2% in 2023. The G&amp;A ratio in 2024 reflects operating discipline, including labor cost management and vendor management, and the continued benefit of fixed cost leverage as we grow our business, partially offset by new business implementation costs associated with the Nebraska and California Medicaid contracts that started in January 2024 and the New Mexico Medicaid contract that started on July 1, 2024.</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DEPRECIATION AND AMORTIZATION</w:t>
      </w:r>
    </w:p>
    <w:p>
      <w:pPr>
        <w:spacing w:after="0" w:line="94"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Depreciation and amortization was $186 million in 2024, compared with $171 million in 2023. The increase is due to impacts of the My Choice Wisconsin and Bright Health Medicare acquisitions.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OPERATING EXPENSES</w:t>
      </w:r>
    </w:p>
    <w:p>
      <w:pPr>
        <w:spacing w:after="0" w:line="94"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Other operating expenses totaled $ 100 million in 2024, compared with $128 million in 2023. The change is primarily due to the $41 million credit loss on 2022 Marketplace risk adjustment receivables recorded in the third quarter of 2023. This was partially offset by increases in non-recurring costs associated with acquisitions. Other operating expenses also include service costs associated with long-term services and supports consultative services we provide in Wisconsin, as noted above.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INTEREST EXPENSE</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Interest expense was $118 million in 2024, compared with $109 million in 2023. The increase is due to borrowings under the Credit Facility occurring in the third quarter of 2024 and the new $750 million 6.250% Notes due 2033 that were issued in November 2024.</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INCOME TAXES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Income tax expense amounted to $410 million in 2024, or 25.8% of pretax income, compared with income tax expense of $ 373 million in 2023, or 25.5% of pretax income. The difference in the effective tax rate is primarily due to an increase in state and local income taxes and differences in discrete tax benefits recognized in the respective periods, net of a decrease in nondeductible expenses.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0F7C7F"/>
        </w:rPr>
        <w:t>REPORTABLE SEGMENTS</w:t>
      </w:r>
    </w:p>
    <w:p>
      <w:pPr>
        <w:spacing w:after="0" w:line="87"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As of December 31, 2024, we served approximately 5.5 million members eligible for Medicaid, Medicare, and other government-sponsored healthcare programs for low-income families and individuals, including Marketplace members, most of whom receive government premium subsidies.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reportable segments consisting of: 1) Medicaid; 2) Medicare; 3) Marketplace; and 4) Other.</w:t>
      </w:r>
    </w:p>
    <w:p>
      <w:pPr>
        <w:spacing w:after="0" w:line="94"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See "Item 1. Business,” for further description of our segments.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HOW WE ASSESS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revenues primarily from health insurance premiums. Our primary customers are state Medicaid agencies and the federal government.</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who is our chief operating decision maker, to review results, assess performance, and allocate resources. The key metric used to assess the performance of our Other segment is service margin. The service margin is equal to service revenue minus cost of service revenue.</w:t>
      </w:r>
    </w:p>
    <w:p>
      <w:pPr>
        <w:spacing w:after="0" w:line="55"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color w:val="auto"/>
        </w:rPr>
        <w:t>Management’s discussion and analysis of the change in medical margin is discussed below under “Segment Financial Performance.” For more information, see Notes to Consolidated Financial Statements, Note 16, “Segments.”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TRENDS AND UNCERTAINTIES</w:t>
      </w:r>
    </w:p>
    <w:p>
      <w:pPr>
        <w:spacing w:after="0" w:line="94" w:lineRule="exact"/>
        <w:rPr>
          <w:sz w:val="20"/>
          <w:szCs w:val="20"/>
          <w:color w:val="auto"/>
        </w:rPr>
      </w:pPr>
    </w:p>
    <w:p>
      <w:pPr>
        <w:ind w:right="920"/>
        <w:spacing w:after="0" w:line="290" w:lineRule="auto"/>
        <w:rPr>
          <w:sz w:val="20"/>
          <w:szCs w:val="20"/>
          <w:color w:val="auto"/>
        </w:rPr>
      </w:pPr>
      <w:r>
        <w:rPr>
          <w:rFonts w:ascii="Arial" w:cs="Arial" w:eastAsia="Arial" w:hAnsi="Arial"/>
          <w:sz w:val="14"/>
          <w:szCs w:val="14"/>
          <w:color w:val="auto"/>
        </w:rPr>
        <w:t>For a discussion of the trends, uncertainties and other developments that affected our reportable segments, refer to “Item 1. Business—Our Business,” “—Trends and Uncertainties,” “—Legislative and Political Environment,” “—Operations—Medical Management,” and “—Regulation.”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membership by segment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20" w:type="dxa"/>
            <w:vAlign w:val="bottom"/>
          </w:tcPr>
          <w:p>
            <w:pPr>
              <w:spacing w:after="0"/>
              <w:rPr>
                <w:sz w:val="13"/>
                <w:szCs w:val="13"/>
                <w:color w:val="auto"/>
              </w:rPr>
            </w:pPr>
          </w:p>
        </w:tc>
        <w:tc>
          <w:tcPr>
            <w:tcW w:w="206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rPr>
              <w:t>As of December 31,</w:t>
            </w:r>
          </w:p>
        </w:tc>
        <w:tc>
          <w:tcPr>
            <w:tcW w:w="900" w:type="dxa"/>
            <w:vAlign w:val="bottom"/>
            <w:tcBorders>
              <w:bottom w:val="single" w:sz="8" w:color="auto"/>
            </w:tcBorders>
          </w:tcPr>
          <w:p>
            <w:pPr>
              <w:spacing w:after="0"/>
              <w:rPr>
                <w:sz w:val="13"/>
                <w:szCs w:val="13"/>
                <w:color w:val="auto"/>
              </w:rPr>
            </w:pPr>
          </w:p>
        </w:tc>
      </w:tr>
      <w:tr>
        <w:trPr>
          <w:trHeight w:val="150"/>
        </w:trPr>
        <w:tc>
          <w:tcPr>
            <w:tcW w:w="83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4,890,000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4,542,000</w:t>
            </w:r>
          </w:p>
        </w:tc>
      </w:tr>
      <w:tr>
        <w:trPr>
          <w:trHeight w:val="169"/>
        </w:trPr>
        <w:tc>
          <w:tcPr>
            <w:tcW w:w="832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40" w:type="dxa"/>
            <w:vAlign w:val="bottom"/>
          </w:tcPr>
          <w:p>
            <w:pPr>
              <w:jc w:val="right"/>
              <w:spacing w:after="0"/>
              <w:rPr>
                <w:sz w:val="20"/>
                <w:szCs w:val="20"/>
                <w:color w:val="auto"/>
              </w:rPr>
            </w:pPr>
            <w:r>
              <w:rPr>
                <w:rFonts w:ascii="Arial" w:cs="Arial" w:eastAsia="Arial" w:hAnsi="Arial"/>
                <w:sz w:val="13"/>
                <w:szCs w:val="13"/>
                <w:color w:val="auto"/>
              </w:rPr>
              <w:t>242,000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172,000</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403,000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281,000</w:t>
            </w:r>
          </w:p>
        </w:tc>
      </w:tr>
      <w:tr>
        <w:trPr>
          <w:trHeight w:val="162"/>
        </w:trPr>
        <w:tc>
          <w:tcPr>
            <w:tcW w:w="8320" w:type="dxa"/>
            <w:vAlign w:val="bottom"/>
          </w:tcPr>
          <w:p>
            <w:pPr>
              <w:ind w:left="12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5,535,000</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4,995,000</w:t>
            </w:r>
          </w:p>
        </w:tc>
      </w:tr>
      <w:tr>
        <w:trPr>
          <w:trHeight w:val="20"/>
        </w:trPr>
        <w:tc>
          <w:tcPr>
            <w:tcW w:w="8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The tables below summarize premium revenue, medical margin, and MCR by segment for the periods indicated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50"/>
        </w:trPr>
        <w:tc>
          <w:tcPr>
            <w:tcW w:w="3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383"/>
        </w:trPr>
        <w:tc>
          <w:tcPr>
            <w:tcW w:w="39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1"/>
                <w:szCs w:val="11"/>
                <w:b w:val="1"/>
                <w:bCs w:val="1"/>
                <w:color w:val="auto"/>
              </w:rPr>
              <w:t>Premium Revenue</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Medical Margin</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MCR</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1"/>
                <w:szCs w:val="11"/>
                <w:b w:val="1"/>
                <w:bCs w:val="1"/>
                <w:color w:val="auto"/>
              </w:rPr>
              <w:t>Premium Revenue</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Medical Margin</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MCR</w:t>
            </w:r>
          </w:p>
        </w:tc>
      </w:tr>
      <w:tr>
        <w:trPr>
          <w:trHeight w:val="161"/>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3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w w:val="98"/>
              </w:rPr>
              <w:t>90.3 %</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26,327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2,973</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93"/>
              </w:rPr>
              <w:t>88.7 %</w:t>
            </w: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Medicare</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603</w:t>
            </w:r>
          </w:p>
        </w:tc>
        <w:tc>
          <w:tcPr>
            <w:tcW w:w="1320" w:type="dxa"/>
            <w:vAlign w:val="bottom"/>
            <w:gridSpan w:val="2"/>
          </w:tcPr>
          <w:p>
            <w:pPr>
              <w:ind w:left="900"/>
              <w:spacing w:after="0"/>
              <w:rPr>
                <w:sz w:val="20"/>
                <w:szCs w:val="20"/>
                <w:color w:val="auto"/>
              </w:rPr>
            </w:pPr>
            <w:r>
              <w:rPr>
                <w:rFonts w:ascii="Arial" w:cs="Arial" w:eastAsia="Arial" w:hAnsi="Arial"/>
                <w:sz w:val="13"/>
                <w:szCs w:val="13"/>
                <w:color w:val="auto"/>
              </w:rPr>
              <w:t>89.1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388</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rPr>
              <w:t>90.7</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3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75.4</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75.3</w:t>
            </w:r>
          </w:p>
        </w:tc>
      </w:tr>
      <w:tr>
        <w:trPr>
          <w:trHeight w:val="162"/>
        </w:trPr>
        <w:tc>
          <w:tcPr>
            <w:tcW w:w="3900" w:type="dxa"/>
            <w:vAlign w:val="bottom"/>
          </w:tcPr>
          <w:p>
            <w:pPr>
              <w:ind w:left="12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38,627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4,199</w:t>
            </w:r>
          </w:p>
        </w:tc>
        <w:tc>
          <w:tcPr>
            <w:tcW w:w="1320" w:type="dxa"/>
            <w:vAlign w:val="bottom"/>
            <w:gridSpan w:val="2"/>
          </w:tcPr>
          <w:p>
            <w:pPr>
              <w:ind w:left="900"/>
              <w:spacing w:after="0"/>
              <w:rPr>
                <w:sz w:val="20"/>
                <w:szCs w:val="20"/>
                <w:color w:val="auto"/>
              </w:rPr>
            </w:pPr>
            <w:r>
              <w:rPr>
                <w:rFonts w:ascii="Arial" w:cs="Arial" w:eastAsia="Arial" w:hAnsi="Arial"/>
                <w:sz w:val="13"/>
                <w:szCs w:val="13"/>
                <w:color w:val="auto"/>
                <w:w w:val="98"/>
              </w:rPr>
              <w:t>89.1 %</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32,529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3,860</w:t>
            </w:r>
          </w:p>
        </w:tc>
        <w:tc>
          <w:tcPr>
            <w:tcW w:w="1320" w:type="dxa"/>
            <w:vAlign w:val="bottom"/>
            <w:gridSpan w:val="2"/>
          </w:tcPr>
          <w:p>
            <w:pPr>
              <w:ind w:left="920"/>
              <w:spacing w:after="0"/>
              <w:rPr>
                <w:sz w:val="20"/>
                <w:szCs w:val="20"/>
                <w:color w:val="auto"/>
              </w:rPr>
            </w:pPr>
            <w:r>
              <w:rPr>
                <w:rFonts w:ascii="Arial" w:cs="Arial" w:eastAsia="Arial" w:hAnsi="Arial"/>
                <w:sz w:val="13"/>
                <w:szCs w:val="13"/>
                <w:color w:val="auto"/>
                <w:w w:val="93"/>
              </w:rPr>
              <w:t>88.1 %</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4" w:lineRule="exact"/>
        <w:rPr>
          <w:sz w:val="20"/>
          <w:szCs w:val="20"/>
          <w:color w:val="auto"/>
        </w:rPr>
      </w:pPr>
    </w:p>
    <w:p>
      <w:pPr>
        <w:ind w:left="520" w:right="180" w:hanging="260"/>
        <w:spacing w:after="0" w:line="263"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growth initiatives, including acquisitions and expansion into new states, drove an increase in member months during the year, despite the impact of redeterminations, and changes in membership mix;</w:t>
      </w:r>
    </w:p>
    <w:p>
      <w:pPr>
        <w:ind w:left="520" w:right="160" w:hanging="260"/>
        <w:spacing w:after="0" w:line="253"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Impact of redetermination, including the loss of approximately 675,000 members, and a moderate impact from the effect of acuity shifts, net of the beneficial impact of risk corridors; and</w:t>
      </w: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Continued focus on managing medical costs amid higher-than-expected utilization, particularly in LTSS, pharmacy and behavioral health services.</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Medicaid premium revenue increased $4.3 billion, or 16% in 2024, when compared with 2023. The higher premium revenue reflects new contract wins in Iowa (commenced in July 2023), Nebraska (commenced in January 2024), and New Mexico (commenced in July 2024), expansions in California and Texas that commenced in January 2024, and September 2024, respectively, and the My Choice acquisition that closed in September 2023. These increases were partially offset by the impact of Medicaid redetermination.</w:t>
      </w:r>
    </w:p>
    <w:p>
      <w:pPr>
        <w:spacing w:after="0" w:line="49"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medical margin of our Medicaid program increased $6 million in 2024, when compared with 2023. The change was driven by the impact of increased premium revenues associated with the membership growth discussed above, partially offset by an increase in the MCR, as discussed below.</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Medicaid MCR increased 160 basis points to 90.3% in 2024, from 88.7% in 2023. The increase was mainly attributable to the continued impact of redetermination-related acuity shifts, higher utilization among our continuing population, particularly in the second half of the year, and a temporal dislocation between premium rates and medical trend. Also, approximately 30 basis points of the increase is driven by the higher initial MCR associated with the start of new contracts and the My Choice acquisition, and approximately 20 basis points was due to a prior year retroactive premium rate reduction in our California business. The increase was partially offset by minimum MLR and medical cost corridors, and medical cost management. Excluding new contracts and the My Choice acquisition, our legacy Medicaid MCR for the year ended December 31, 2024 is above our long-term target range.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4"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Pricing and benefit design changes implemented in 2024;</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Increased utilization of LTSS benefits, high-cost drugs, and outpatient services;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impact of risk-adjusted premiums that are more commensurate with the acuity of our membership.</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Medicare premium revenue increased $1.4 billion, or 33%, in 2024 compared to 2023. The increase was primarily due to the Bright Health Medicare acquisition that closed on January 1, 2024, the impact of MAPD and D-SNP membership expansion and organic membership growth in existing states, and increased premiums that are more commensurate with the acuity of our population.</w:t>
      </w:r>
    </w:p>
    <w:p>
      <w:pPr>
        <w:spacing w:after="0" w:line="49"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medical margin for Medicare increased $215 million in 2024 compared to 2023. The increase was mainly due to the year-over-year growth in membership and premium revenues combined with the decrease in MCR discussed below.</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Medicare MCR decreased to 89.1% in 2024, from 90.7% in 2023, or 160 basis points, primarily driven by higher risk adjustment premiums that are commensurate with the acuity of our membership, pricing and benefit design changes implemented in 2024 and operational improvements, partially offset by elevated LTSS and pharmacy costs and higher outpatient utilization within our D-SNP population. The Medicare MCR for the year ended December 31, 2024 is above our long-term target range.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Key factors affecting results for this segment include:</w:t>
      </w:r>
    </w:p>
    <w:p>
      <w:pPr>
        <w:spacing w:after="0" w:line="94"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Execution of our product and pricing strategy, to achieve growth and repositioning in the metallic tier membership mix, while maintaining target margins; and</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Achievement of member risk scores and associated risk-adjusted premium that are commensurate with the health status, or acuity, of our Marketplace members.</w:t>
      </w:r>
    </w:p>
    <w:p>
      <w:pPr>
        <w:spacing w:after="0" w:line="80"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Marketplace premium revenue increased $ 483 million in 2024 compared to 2023. The increase was mainly due to an increase in membership. Our Marketplace membership as of December 31, 2024, amounted to 403,000 members, representing an increase of 122,000 members compared to December 31, 2023, which is in line with our</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product and pricing strategy to achieve growth, while maintaining target margins in this segment, and membership gained from redeterminations this year.</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Marketplace medical margin increased $118 million in 2024, primarily due to the growth in premiums and margin associated with the higher membership and the impact of MCR changes discussed below.</w:t>
      </w:r>
    </w:p>
    <w:p>
      <w:pPr>
        <w:spacing w:after="0" w:line="35" w:lineRule="exact"/>
        <w:rPr>
          <w:sz w:val="20"/>
          <w:szCs w:val="20"/>
          <w:color w:val="auto"/>
        </w:rPr>
      </w:pPr>
    </w:p>
    <w:p>
      <w:pPr>
        <w:ind w:right="420"/>
        <w:spacing w:after="0" w:line="271" w:lineRule="auto"/>
        <w:rPr>
          <w:sz w:val="20"/>
          <w:szCs w:val="20"/>
          <w:color w:val="auto"/>
        </w:rPr>
      </w:pPr>
      <w:r>
        <w:rPr>
          <w:rFonts w:ascii="Arial" w:cs="Arial" w:eastAsia="Arial" w:hAnsi="Arial"/>
          <w:sz w:val="14"/>
          <w:szCs w:val="14"/>
          <w:color w:val="auto"/>
        </w:rPr>
        <w:t>The Marketplace MCR was 75.4% in 2024 and 75.3% in 2023. The MCR in each year reflects our product and pricing strategy to achieve growth and maintain target margins, changes in membership mix, risk adjustment premiums that are more commensurate with the acuity of our membership, and continued operational improvements. Our 2024 Marketplace MCR was well below our long-term target range.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Other segment includes service revenues and costs associated with the long-term services and supports consultative services we provide in Wisconsin, and also includes certain corporate amounts not allocated to the Medicaid, Medicare, or Marketplace segments. Such amounts were immaterial to our consolidated results of operations for 2024 and 2023.</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LIQUIDITY, FINANCIAL CONDITION AND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LIQUIDITY</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maintain liquidity at two levels: 1) the regulated health plan subsidiaries; and 2) the parent company.</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55"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$997 million in 2024 and $705 million in 2023.</w:t>
      </w:r>
    </w:p>
    <w:p>
      <w:pPr>
        <w:spacing w:after="0" w:line="55"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The parent company contributed capital of $490 million and $221 million in 2024 and 2023, respectively, to our regulated health plan subsidiaries to satisfy statutory capital and surplus requirements. The higher contributions in 2024 were mainly attributed to fund our California, Iowa, Nebraska, and Wisconsin health plans.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5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Cash, cash equivalents and investments at the parent company amounted to $ 445 million and $742 million as of December 31, 2024, and 2023, respectively. The decrease in 2024 was primarily due to funding of our Bright Health Medicare acquisition for $ 441 million and the purchase of approximately 3.1 million shares of our stock for $1.0 billion in the third and fourth quarter of 2024, partially offset by the $740 million net proceeds from issuing the new 6.250% Notes, net inflows from dividends received from and capital contributions made to our regulated health plan subsidiaries, and the timing of corporate payments.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49"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53"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35"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cash flows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Change</w:t>
            </w:r>
          </w:p>
        </w:tc>
      </w:tr>
      <w:tr>
        <w:trPr>
          <w:trHeight w:val="213"/>
        </w:trPr>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center"/>
              <w:ind w:left="56"/>
              <w:spacing w:after="0"/>
              <w:rPr>
                <w:sz w:val="20"/>
                <w:szCs w:val="20"/>
                <w:color w:val="auto"/>
              </w:rPr>
            </w:pPr>
            <w:r>
              <w:rPr>
                <w:rFonts w:ascii="Arial" w:cs="Arial" w:eastAsia="Arial" w:hAnsi="Arial"/>
                <w:sz w:val="13"/>
                <w:szCs w:val="13"/>
                <w:color w:val="auto"/>
                <w:w w:val="92"/>
              </w:rPr>
              <w:t>644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Pr>
          <w:p>
            <w:pPr>
              <w:spacing w:after="0"/>
              <w:rPr>
                <w:sz w:val="14"/>
                <w:szCs w:val="14"/>
                <w:color w:val="auto"/>
              </w:rPr>
            </w:pPr>
          </w:p>
        </w:tc>
        <w:tc>
          <w:tcPr>
            <w:tcW w:w="440" w:type="dxa"/>
            <w:vAlign w:val="bottom"/>
          </w:tcPr>
          <w:p>
            <w:pPr>
              <w:jc w:val="center"/>
              <w:ind w:left="36"/>
              <w:spacing w:after="0"/>
              <w:rPr>
                <w:sz w:val="20"/>
                <w:szCs w:val="20"/>
                <w:color w:val="auto"/>
              </w:rPr>
            </w:pPr>
            <w:r>
              <w:rPr>
                <w:rFonts w:ascii="Arial" w:cs="Arial" w:eastAsia="Arial" w:hAnsi="Arial"/>
                <w:sz w:val="13"/>
                <w:szCs w:val="13"/>
                <w:color w:val="auto"/>
                <w:w w:val="98"/>
              </w:rPr>
              <w:t>(464)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280</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3"/>
                <w:szCs w:val="13"/>
                <w:color w:val="auto"/>
                <w:w w:val="98"/>
              </w:rPr>
              <w:t>(347)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r>
      <w:tr>
        <w:trPr>
          <w:trHeight w:val="162"/>
        </w:trPr>
        <w:tc>
          <w:tcPr>
            <w:tcW w:w="6780" w:type="dxa"/>
            <w:vAlign w:val="bottom"/>
          </w:tcPr>
          <w:p>
            <w:pPr>
              <w:ind w:left="180"/>
              <w:spacing w:after="0"/>
              <w:rPr>
                <w:sz w:val="20"/>
                <w:szCs w:val="20"/>
                <w:color w:val="auto"/>
              </w:rPr>
            </w:pPr>
            <w:r>
              <w:rPr>
                <w:rFonts w:ascii="Arial" w:cs="Arial" w:eastAsia="Arial" w:hAnsi="Arial"/>
                <w:sz w:val="13"/>
                <w:szCs w:val="13"/>
                <w:color w:val="auto"/>
              </w:rPr>
              <w:t>Net (decrease) increase in cash, cash equivalents, and restricted cash and cash equivalents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center"/>
              <w:ind w:left="36"/>
              <w:spacing w:after="0"/>
              <w:rPr>
                <w:sz w:val="20"/>
                <w:szCs w:val="20"/>
                <w:color w:val="auto"/>
              </w:rPr>
            </w:pPr>
            <w:r>
              <w:rPr>
                <w:rFonts w:ascii="Arial" w:cs="Arial" w:eastAsia="Arial" w:hAnsi="Arial"/>
                <w:sz w:val="13"/>
                <w:szCs w:val="13"/>
                <w:color w:val="auto"/>
                <w:w w:val="98"/>
              </w:rPr>
              <w:t>(167)</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(1,027)</w:t>
            </w: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Activities</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Net cash provided by operations was $ 644 million in 2024, compared with $1,662 million in 2023. The $1,018 million decrease in 2024 cash flow was due to timing differences in government receivables and payables, including the receipt of Medicare and Medicaid 2024 premium prepayments in the 2023 period, and increased risk corridor settlement activity in 2024.</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Investing Activities</w:t>
      </w:r>
    </w:p>
    <w:p>
      <w:pPr>
        <w:spacing w:after="0" w:line="94"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Net cash used in investing activities was $464 million in 2024, compared with $744 million in 2023. The change in cash flow was primarily due to a $ 295 million net cash outflow related to the Bright Health Medicare acquisition in January 2024, and $49 million for final purchase consideration paid for the My Choice Wisconsin acquisition, offset by the net activity of proceeds and purchases of investments, which were net purchases of $21 million in 2024 and net purchases of $661 million in 2023.</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Financing Activities</w:t>
      </w:r>
    </w:p>
    <w:p>
      <w:pPr>
        <w:spacing w:after="0" w:line="9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Net cash used in financing activities was $347 million in 2024, compared with $58 million in 2023, a decrease in year-over-year cash flow of $289 million. In 2024, financing activity included $740 million of net proceeds from the issuance of the $ 750 million 6.250% Notes due 2033, offset by common stock purchases of $1,000 million and $300 million in gross borrowings and payments under the Credit Facility. In 2024 and 2023, cash outflows included $57 million and $60 million, respectively, for common stock withheld to settle employee tax obligations.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828282"/>
        </w:rPr>
        <w:t>FINANCIAL CONDITION</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4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On a consolidated basis, as of December 31, 2024, our working capital was $4.9 billion compared with $4.4 billion as of December 31, 2023. At December 31, 2024, our cash and investments amounted to $9.3 billion, compared with $9.4 billion of cash and investments at December 31, 2023.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$75 million at December 31, 2024 compared to $108 million at December 31, 2023. We have determined that the unrealized losses primarily resulted from fluctuating interest rates, rather than a deterioration of the creditworthiness of the issuers.</w:t>
      </w:r>
    </w:p>
    <w:p>
      <w:pPr>
        <w:spacing w:after="0" w:line="57"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and Dividend Restrictions</w:t>
      </w:r>
    </w:p>
    <w:p>
      <w:pPr>
        <w:spacing w:after="0" w:line="92" w:lineRule="exact"/>
        <w:rPr>
          <w:sz w:val="20"/>
          <w:szCs w:val="20"/>
          <w:color w:val="auto"/>
        </w:rPr>
      </w:pPr>
    </w:p>
    <w:p>
      <w:pPr>
        <w:jc w:val="both"/>
        <w:ind w:right="100"/>
        <w:spacing w:after="0" w:line="262" w:lineRule="auto"/>
        <w:rPr>
          <w:sz w:val="20"/>
          <w:szCs w:val="20"/>
          <w:color w:val="auto"/>
        </w:rPr>
      </w:pPr>
      <w:r>
        <w:rPr>
          <w:rFonts w:ascii="Arial" w:cs="Arial" w:eastAsia="Arial" w:hAnsi="Arial"/>
          <w:sz w:val="14"/>
          <w:szCs w:val="14"/>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$2.6 billion at December 31, 2024 and $2.3 billion at December 31, 2023. The aggregate capital and surplus of our wholly owned subsidiaries was in excess of these minimum capital requirements as of both dates.</w:t>
      </w:r>
    </w:p>
    <w:p>
      <w:pPr>
        <w:spacing w:after="0" w:line="55"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Under applicable regulatory requirements, the amount of dividends that may be paid by our wholly owned subsidiaries without prior approval by regulatory authorities as of December 31, 2024, was approximately $400 million in the aggregate. The subsidiaries may pay dividends over this amount, but only after approval is granted by the regulatory authorities.</w:t>
      </w:r>
    </w:p>
    <w:p>
      <w:pPr>
        <w:spacing w:after="0" w:line="4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Based on our cash and investments balances as of December 31, 2024,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and surplus requirements.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Structure</w:t>
      </w:r>
    </w:p>
    <w:p>
      <w:pPr>
        <w:spacing w:after="0" w:line="92"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In October 2024, our board of directors authorized the purchase of up to $1 billion of our common stock. This new program supersedes the stock purchase program previously approved by our board of directors in September 2023 and extends through December 31, 2025.</w:t>
      </w:r>
    </w:p>
    <w:p>
      <w:pPr>
        <w:spacing w:after="0" w:line="35"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As debt held by the parent company comes due, we typically engage in a new private offering of debt to retire and replace the prior issuance. In addition, on November 18, 2024 (the “Settlement Date”), we completed a private offering of $750 million aggregate principal amount of our 6.250% Senior Notes due 2033 (the “6.250% Notes”) pursuant to an indenture, dated as of the Settlement Date with U.S. Bank Trust Company and National Association, as trustee. The 6.250% Notes bear interest at a rate of 6.250% per year. Interest on the 6.250% Notes is payable semi-annually in arrears on January 15 and July 15 of each year, commencing July 15, 2025. Interest accrues from the Settlement Date. The 6.250% Notes will mature on January 15, 2033.</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For several years we saw a continued decline in interest rates, which benefited our overall cost of capital during that time. However, interest rates have increased since we issued our 3.875% Notes due 2032 in 2021, as we experienced with our most recent issuance of our 6.250% Notes in 2024. Accordingly, future refinancing may occur at a higher rate than those we have achieved historically. This would increase our cost of capital in the future or may cause us to pursue alternative financing sources, should the need arise.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We are not a party to any off-balance sheet financing arrangements.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i w:val="1"/>
          <w:iCs w:val="1"/>
          <w:color w:val="auto"/>
        </w:rPr>
        <w:t>Debt Ratings</w:t>
      </w:r>
    </w:p>
    <w:p>
      <w:pPr>
        <w:spacing w:after="0" w:line="9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Each of our senior notes is rated “BB” by Standard &amp; Poor’s, and “Ba2” by Moody’s Investor Service, Inc. A downgrade in our ratings could adversely affect our borrowing capacity and increase our borrowing costs.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Covenants</w:t>
      </w:r>
    </w:p>
    <w:p>
      <w:pPr>
        <w:spacing w:after="0" w:line="92"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Our Credit Agreement contains customary non-financial and financial covenants, including a net leverage ratio and an interest coverage ratio. Such ratios are computed as defined by the terms of the Credit Agreement.</w:t>
      </w:r>
    </w:p>
    <w:p>
      <w:pPr>
        <w:spacing w:after="0" w:line="35"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December 31, 2024, we were in compliance with all financial and non-financial covenants under the Credit Agreement and other long-term debt.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FUTURE SOURCES AND USES OF LIQUIDITY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w:t>
      </w:r>
    </w:p>
    <w:p>
      <w:pPr>
        <w:spacing w:after="0" w:line="92"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35"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i w:val="1"/>
          <w:iCs w:val="1"/>
          <w:color w:val="auto"/>
        </w:rPr>
        <w:t xml:space="preserve">Dividends from Subsidiaries. </w:t>
      </w:r>
      <w:r>
        <w:rPr>
          <w:rFonts w:ascii="Arial" w:cs="Arial" w:eastAsia="Arial" w:hAnsi="Arial"/>
          <w:sz w:val="14"/>
          <w:szCs w:val="14"/>
          <w:color w:val="auto"/>
        </w:rPr>
        <w:t>When available and as permitted by applicable regulations, cash in excess of the capital needs of our regulated health plans is generally paid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form of dividends to our unregulated parent company to be used for general corporate purposes. For more information on our regulatory capital requirements and dividend restrictions, refer to Notes to Consolidated Financial Statements, Note 15, “Commitments and Contingencies—Regulatory Capital Requirements and Dividend Restrictions,” and Note 17, “Condensed Financial Information of Registrant—Note C - Dividends and Capital Contributions.”</w:t>
      </w:r>
    </w:p>
    <w:p>
      <w:pPr>
        <w:spacing w:after="0" w:line="5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i w:val="1"/>
          <w:iCs w:val="1"/>
          <w:color w:val="auto"/>
        </w:rPr>
        <w:t xml:space="preserve">Credit Agreement Borrowing Capacity. </w:t>
      </w:r>
      <w:r>
        <w:rPr>
          <w:rFonts w:ascii="Arial" w:cs="Arial" w:eastAsia="Arial" w:hAnsi="Arial"/>
          <w:sz w:val="14"/>
          <w:szCs w:val="14"/>
          <w:color w:val="auto"/>
        </w:rPr>
        <w:t>On September 20, 2024, we entered into a Second Amendment to our Credit Agreement, which, among other things, increased available</w:t>
      </w:r>
      <w:r>
        <w:rPr>
          <w:rFonts w:ascii="Arial" w:cs="Arial" w:eastAsia="Arial" w:hAnsi="Arial"/>
          <w:sz w:val="14"/>
          <w:szCs w:val="14"/>
          <w:i w:val="1"/>
          <w:iCs w:val="1"/>
          <w:color w:val="auto"/>
        </w:rPr>
        <w:t xml:space="preserve"> </w:t>
      </w:r>
      <w:r>
        <w:rPr>
          <w:rFonts w:ascii="Arial" w:cs="Arial" w:eastAsia="Arial" w:hAnsi="Arial"/>
          <w:sz w:val="14"/>
          <w:szCs w:val="14"/>
          <w:color w:val="auto"/>
        </w:rPr>
        <w:t>commitments under our revolving credit facility (“Credit Facility”) to $1.25 billion, and extended the termination date of lending commitments to September 20, 2029. The Credit Agreement also provides for a $15 million swingline sub-facility and a $100 million letter of credit sub-facility, as well as incremental term loans available to finance certain acquisitions up to $800 million, plus an unlimited amount of such term loans as long as we maintain a minimum consolidated net leverage ratio. As of December 31, 2024, we had available borrowing capacity of $1.25 billion under the Credit Agreement. See further discussion in the Notes to Consolidated Financial Statements, Note 11, “Debt.”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Uses</w:t>
      </w:r>
    </w:p>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i w:val="1"/>
          <w:iCs w:val="1"/>
          <w:color w:val="auto"/>
        </w:rPr>
        <w:t xml:space="preserve">Common Stock Purchases. </w:t>
      </w:r>
      <w:r>
        <w:rPr>
          <w:rFonts w:ascii="Arial" w:cs="Arial" w:eastAsia="Arial" w:hAnsi="Arial"/>
          <w:sz w:val="14"/>
          <w:szCs w:val="14"/>
          <w:color w:val="auto"/>
        </w:rPr>
        <w:t>In October 2024, our board of directors authorized the purchase of up to $1 billion of our common stock. This new program extends through December</w:t>
      </w:r>
      <w:r>
        <w:rPr>
          <w:rFonts w:ascii="Arial" w:cs="Arial" w:eastAsia="Arial" w:hAnsi="Arial"/>
          <w:sz w:val="14"/>
          <w:szCs w:val="14"/>
          <w:i w:val="1"/>
          <w:iCs w:val="1"/>
          <w:color w:val="auto"/>
        </w:rPr>
        <w:t xml:space="preserve"> </w:t>
      </w:r>
      <w:r>
        <w:rPr>
          <w:rFonts w:ascii="Arial" w:cs="Arial" w:eastAsia="Arial" w:hAnsi="Arial"/>
          <w:sz w:val="14"/>
          <w:szCs w:val="14"/>
          <w:color w:val="auto"/>
        </w:rPr>
        <w:t>31, 2025 and supersedes the stock purchase program previously approved by our board of directors in September 2023. The exact timing and amount of any repurchase is determined by management based on market conditions and share price, in addition to other factors, and repurchases generally will be made in accordance with the volume, price, and timing parameters under Rule 10b-18 of the Securities Exchange Act of 1934, as amended. As of February 11, 2025, $500 million remained available to purchase our common stock under this program through December 31, 2025. See further information in the Notes to Consolidated Financial Statements, Note 13, “Stockholders' Equity.”</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i w:val="1"/>
          <w:iCs w:val="1"/>
          <w:color w:val="auto"/>
        </w:rPr>
        <w:t>Acquisitions</w:t>
      </w:r>
      <w:r>
        <w:rPr>
          <w:rFonts w:ascii="Arial" w:cs="Arial" w:eastAsia="Arial" w:hAnsi="Arial"/>
          <w:sz w:val="14"/>
          <w:szCs w:val="14"/>
          <w:color w:val="auto"/>
        </w:rPr>
        <w:t>. We have a disciplined and steady approach to growth. Organic growth, which includes leveraging our existing health plan portfolio and winning new territories, is our</w:t>
      </w:r>
      <w:r>
        <w:rPr>
          <w:rFonts w:ascii="Arial" w:cs="Arial" w:eastAsia="Arial" w:hAnsi="Arial"/>
          <w:sz w:val="14"/>
          <w:szCs w:val="14"/>
          <w:i w:val="1"/>
          <w:iCs w:val="1"/>
          <w:color w:val="auto"/>
        </w:rPr>
        <w:t xml:space="preserve"> </w:t>
      </w:r>
      <w:r>
        <w:rPr>
          <w:rFonts w:ascii="Arial" w:cs="Arial" w:eastAsia="Arial" w:hAnsi="Arial"/>
          <w:sz w:val="14"/>
          <w:szCs w:val="14"/>
          <w:color w:val="auto"/>
        </w:rPr>
        <w:t>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49"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i w:val="1"/>
          <w:iCs w:val="1"/>
          <w:color w:val="auto"/>
        </w:rPr>
        <w:t xml:space="preserve">Connecticut Acquisition—Marketplace and Medicare. </w:t>
      </w:r>
      <w:r>
        <w:rPr>
          <w:rFonts w:ascii="Arial" w:cs="Arial" w:eastAsia="Arial" w:hAnsi="Arial"/>
          <w:sz w:val="14"/>
          <w:szCs w:val="14"/>
          <w:color w:val="auto"/>
        </w:rPr>
        <w:t>Effective February 1, 2025, we closed on our acquisition of 100% of the issued and outstanding capital stock of ConnectiCare</w:t>
      </w:r>
      <w:r>
        <w:rPr>
          <w:rFonts w:ascii="Arial" w:cs="Arial" w:eastAsia="Arial" w:hAnsi="Arial"/>
          <w:sz w:val="14"/>
          <w:szCs w:val="14"/>
          <w:i w:val="1"/>
          <w:iCs w:val="1"/>
          <w:color w:val="auto"/>
        </w:rPr>
        <w:t xml:space="preserve"> </w:t>
      </w:r>
      <w:r>
        <w:rPr>
          <w:rFonts w:ascii="Arial" w:cs="Arial" w:eastAsia="Arial" w:hAnsi="Arial"/>
          <w:sz w:val="14"/>
          <w:szCs w:val="14"/>
          <w:color w:val="auto"/>
        </w:rPr>
        <w:t>Holding Company, Inc. The purchase price for the transaction was $350 million.</w:t>
      </w:r>
    </w:p>
    <w:p>
      <w:pPr>
        <w:spacing w:after="0" w:line="35"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color w:val="auto"/>
        </w:rPr>
        <w:t xml:space="preserve">Regulatory Capital Requirements and Dividend Restrictions. </w:t>
      </w:r>
      <w:r>
        <w:rPr>
          <w:rFonts w:ascii="Arial" w:cs="Arial" w:eastAsia="Arial" w:hAnsi="Arial"/>
          <w:sz w:val="14"/>
          <w:szCs w:val="14"/>
          <w:color w:val="auto"/>
        </w:rPr>
        <w:t>We have the ability, and have committed to provide, additional capital to each of our health plans as necessary to</w:t>
      </w:r>
      <w:r>
        <w:rPr>
          <w:rFonts w:ascii="Arial" w:cs="Arial" w:eastAsia="Arial" w:hAnsi="Arial"/>
          <w:sz w:val="14"/>
          <w:szCs w:val="14"/>
          <w:i w:val="1"/>
          <w:iCs w:val="1"/>
          <w:color w:val="auto"/>
        </w:rPr>
        <w:t xml:space="preserve"> </w:t>
      </w:r>
      <w:r>
        <w:rPr>
          <w:rFonts w:ascii="Arial" w:cs="Arial" w:eastAsia="Arial" w:hAnsi="Arial"/>
          <w:sz w:val="14"/>
          <w:szCs w:val="14"/>
          <w:color w:val="auto"/>
        </w:rPr>
        <w:t>ensure compliance with minimum statutory capital requirements.</w:t>
      </w:r>
    </w:p>
    <w:p>
      <w:pPr>
        <w:spacing w:after="0" w:line="35" w:lineRule="exact"/>
        <w:rPr>
          <w:sz w:val="20"/>
          <w:szCs w:val="20"/>
          <w:color w:val="auto"/>
        </w:rPr>
      </w:pPr>
    </w:p>
    <w:p>
      <w:pPr>
        <w:ind w:right="240"/>
        <w:spacing w:after="0" w:line="274" w:lineRule="auto"/>
        <w:rPr>
          <w:sz w:val="20"/>
          <w:szCs w:val="20"/>
          <w:color w:val="auto"/>
        </w:rPr>
      </w:pPr>
      <w:r>
        <w:rPr>
          <w:rFonts w:ascii="Arial" w:cs="Arial" w:eastAsia="Arial" w:hAnsi="Arial"/>
          <w:sz w:val="14"/>
          <w:szCs w:val="14"/>
          <w:i w:val="1"/>
          <w:iCs w:val="1"/>
          <w:color w:val="auto"/>
        </w:rPr>
        <w:t xml:space="preserve">The Molina Healthcare Charitable Foundation. </w:t>
      </w:r>
      <w:r>
        <w:rPr>
          <w:rFonts w:ascii="Arial" w:cs="Arial" w:eastAsia="Arial" w:hAnsi="Arial"/>
          <w:sz w:val="14"/>
          <w:szCs w:val="14"/>
          <w:color w:val="auto"/>
        </w:rPr>
        <w:t>In 2020, we announced our formation of The Molina Healthcare Charitable Foundation (the “Foundation”), an independent not-for-profit charitable foundation. We have contributed</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50" w:name="page51"/>
    <w:bookmarkEnd w:id="50"/>
    <w:p>
      <w:pPr>
        <w:ind w:right="120"/>
        <w:spacing w:after="0" w:line="263" w:lineRule="auto"/>
        <w:rPr>
          <w:sz w:val="20"/>
          <w:szCs w:val="20"/>
          <w:color w:val="auto"/>
        </w:rPr>
      </w:pPr>
      <w:r>
        <w:rPr>
          <w:rFonts w:ascii="Arial" w:cs="Arial" w:eastAsia="Arial" w:hAnsi="Arial"/>
          <w:sz w:val="14"/>
          <w:szCs w:val="14"/>
          <w:color w:val="auto"/>
        </w:rPr>
        <w:t>$20 million to the Foundation on a cumulative basis as of December 31, 2024. Since 2021, the Molina Healthcare Charitable Foundation has funded over 800 grants to local community organizations in 27 states that address social determinants of health, disaster relief, behavioral health, maternal child health, and other health-related concerns that our afflicting our communities in need.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Contractual Obligations. </w:t>
      </w:r>
      <w:r>
        <w:rPr>
          <w:rFonts w:ascii="Arial" w:cs="Arial" w:eastAsia="Arial" w:hAnsi="Arial"/>
          <w:sz w:val="14"/>
          <w:szCs w:val="14"/>
          <w:color w:val="auto"/>
        </w:rPr>
        <w:t>We are party to various contractual obligations that we will be required to satisfy over the short and long term. The majority are discussed in the Notes to</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 and primarily include the following:</w:t>
      </w:r>
    </w:p>
    <w:p>
      <w:pPr>
        <w:spacing w:after="0" w:line="80" w:lineRule="exact"/>
        <w:rPr>
          <w:sz w:val="20"/>
          <w:szCs w:val="20"/>
          <w:color w:val="auto"/>
        </w:rPr>
      </w:pPr>
    </w:p>
    <w:p>
      <w:pPr>
        <w:ind w:left="520" w:right="40" w:hanging="260"/>
        <w:spacing w:after="0" w:line="263"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Medical claims and benefits payable. </w:t>
      </w:r>
      <w:r>
        <w:rPr>
          <w:rFonts w:ascii="Arial" w:cs="Arial" w:eastAsia="Arial" w:hAnsi="Arial"/>
          <w:sz w:val="14"/>
          <w:szCs w:val="14"/>
          <w:color w:val="auto"/>
        </w:rPr>
        <w:t>See Notes to Consolidated Financial Statements, Note 2, “Significant Accounting Policies,” and Note 10, “Medical Claims and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Payable,” for further detail.</w:t>
      </w: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Amounts due government agencies. </w:t>
      </w:r>
      <w:r>
        <w:rPr>
          <w:rFonts w:ascii="Arial" w:cs="Arial" w:eastAsia="Arial" w:hAnsi="Arial"/>
          <w:sz w:val="14"/>
          <w:szCs w:val="14"/>
          <w:color w:val="auto"/>
        </w:rPr>
        <w:t>See Notes to Consolidated Financial Statements, Notes 2, “Significant Accounting Policies,” for further detail.</w:t>
      </w:r>
    </w:p>
    <w:p>
      <w:pPr>
        <w:spacing w:after="0" w:line="8" w:lineRule="exact"/>
        <w:rPr>
          <w:rFonts w:ascii="Arial" w:cs="Arial" w:eastAsia="Arial" w:hAnsi="Arial"/>
          <w:sz w:val="14"/>
          <w:szCs w:val="14"/>
          <w:color w:val="auto"/>
        </w:rPr>
      </w:pPr>
    </w:p>
    <w:p>
      <w:pPr>
        <w:ind w:left="520" w:right="380" w:hanging="260"/>
        <w:spacing w:after="0" w:line="253"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Debt obligations. </w:t>
      </w:r>
      <w:r>
        <w:rPr>
          <w:rFonts w:ascii="Arial" w:cs="Arial" w:eastAsia="Arial" w:hAnsi="Arial"/>
          <w:sz w:val="14"/>
          <w:szCs w:val="14"/>
          <w:color w:val="auto"/>
        </w:rPr>
        <w:t>See Notes to Consolidated Financial Statements, Note 11, “Debt,” for further detail of our long-term debt and the timing of expected future payments.</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payments are paid semi-annually.</w:t>
      </w:r>
    </w:p>
    <w:p>
      <w:pPr>
        <w:ind w:left="520" w:hanging="260"/>
        <w:spacing w:after="0" w:line="269"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 xml:space="preserve">Leases. </w:t>
      </w:r>
      <w:r>
        <w:rPr>
          <w:rFonts w:ascii="Arial" w:cs="Arial" w:eastAsia="Arial" w:hAnsi="Arial"/>
          <w:sz w:val="14"/>
          <w:szCs w:val="14"/>
          <w:color w:val="auto"/>
        </w:rPr>
        <w:t>See Notes to Consolidated Financial Statements, Note 8, “Leases,” for further detail of our finance and operating lease obligations and the timing of expected future</w:t>
      </w:r>
      <w:r>
        <w:rPr>
          <w:rFonts w:ascii="Arial" w:cs="Arial" w:eastAsia="Arial" w:hAnsi="Arial"/>
          <w:sz w:val="14"/>
          <w:szCs w:val="14"/>
          <w:i w:val="1"/>
          <w:iCs w:val="1"/>
          <w:color w:val="auto"/>
        </w:rPr>
        <w:t xml:space="preserve"> </w:t>
      </w:r>
      <w:r>
        <w:rPr>
          <w:rFonts w:ascii="Arial" w:cs="Arial" w:eastAsia="Arial" w:hAnsi="Arial"/>
          <w:sz w:val="14"/>
          <w:szCs w:val="14"/>
          <w:color w:val="auto"/>
        </w:rPr>
        <w:t>payments.</w:t>
      </w:r>
    </w:p>
    <w:p>
      <w:pPr>
        <w:spacing w:after="0" w:line="4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Some items are based on management’s estimates and assumptions about obligations, including duration, the possibility of renewal, anticipated actions by third parties, and other factors. Because these estimates and assumptions are necessarily subjective, the contractual obligations we will actually pay in future periods may vary. Additionally, we have a variety of other contractual agreements related to acquiring services used in our operations. However, we believe these other agreements do not contain material non-cancelable commitments.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CRITICAL ACCOUNTING ESTIMATES</w:t>
      </w:r>
    </w:p>
    <w:p>
      <w:pPr>
        <w:spacing w:after="0" w:line="87"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35" w:lineRule="exact"/>
        <w:rPr>
          <w:sz w:val="20"/>
          <w:szCs w:val="20"/>
          <w:color w:val="auto"/>
        </w:rPr>
      </w:pPr>
    </w:p>
    <w:p>
      <w:pPr>
        <w:ind w:left="520" w:right="200" w:hanging="260"/>
        <w:spacing w:after="0" w:line="263"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Medical costs, claims and benefits payable. </w:t>
      </w:r>
      <w:r>
        <w:rPr>
          <w:rFonts w:ascii="Arial" w:cs="Arial" w:eastAsia="Arial" w:hAnsi="Arial"/>
          <w:sz w:val="14"/>
          <w:szCs w:val="14"/>
          <w:color w:val="auto"/>
        </w:rPr>
        <w:t>See discussion below, and refer to the Notes to Consolidated Financial Statements, Note 2, “Significant Accounting Policies,”</w:t>
      </w:r>
      <w:r>
        <w:rPr>
          <w:rFonts w:ascii="Arial" w:cs="Arial" w:eastAsia="Arial" w:hAnsi="Arial"/>
          <w:sz w:val="14"/>
          <w:szCs w:val="14"/>
          <w:i w:val="1"/>
          <w:iCs w:val="1"/>
          <w:color w:val="auto"/>
        </w:rPr>
        <w:t xml:space="preserve"> </w:t>
      </w:r>
      <w:r>
        <w:rPr>
          <w:rFonts w:ascii="Arial" w:cs="Arial" w:eastAsia="Arial" w:hAnsi="Arial"/>
          <w:sz w:val="14"/>
          <w:szCs w:val="14"/>
          <w:color w:val="auto"/>
        </w:rPr>
        <w:t>and Note 10, “Medical Claims and Benefits Payable” for more information.</w:t>
      </w:r>
    </w:p>
    <w:p>
      <w:pPr>
        <w:ind w:left="520" w:right="200" w:hanging="260"/>
        <w:spacing w:after="0" w:line="253"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Premium Revenue Recognition and Amounts Due Government Agencies: Risk Adjustment. </w:t>
      </w:r>
      <w:r>
        <w:rPr>
          <w:rFonts w:ascii="Arial" w:cs="Arial" w:eastAsia="Arial" w:hAnsi="Arial"/>
          <w:sz w:val="14"/>
          <w:szCs w:val="14"/>
          <w:color w:val="auto"/>
        </w:rPr>
        <w:t>For a discussion of this topic, including amounts recorded in our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refer to the Notes to Consolidated Financial Statements, Note 2, “Significant Accounting Policies.”</w:t>
      </w:r>
    </w:p>
    <w:p>
      <w:pPr>
        <w:ind w:left="520" w:right="80" w:hanging="260"/>
        <w:spacing w:after="0" w:line="260" w:lineRule="auto"/>
        <w:tabs>
          <w:tab w:leader="none" w:pos="516" w:val="left"/>
        </w:tabs>
        <w:numPr>
          <w:ilvl w:val="0"/>
          <w:numId w:val="2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 xml:space="preserve">Business Combinations, and Goodwill and intangible assets, net. </w:t>
      </w:r>
      <w:r>
        <w:rPr>
          <w:rFonts w:ascii="Arial" w:cs="Arial" w:eastAsia="Arial" w:hAnsi="Arial"/>
          <w:sz w:val="14"/>
          <w:szCs w:val="14"/>
          <w:color w:val="auto"/>
        </w:rPr>
        <w:t>For a comprehensive discussion of this topic, including amounts recorded in our consolidated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refer to the Notes to Consolidated Financial Statements, Note 2, “Significant Accounting Policies,” Note 4, “Business Combinations,” and Note 9, “Goodwill and Intangible Assets, Net.”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CARE COSTS, MEDICAL CLAIMS AND BENEFITS PAYABLE</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claim overpayment recoveries,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The following table illustrates consolidated medical care costs by type for the periods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32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12"/>
        </w:trPr>
        <w:tc>
          <w:tcPr>
            <w:tcW w:w="51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ind w:left="640"/>
              <w:spacing w:after="0" w:line="112" w:lineRule="exact"/>
              <w:rPr>
                <w:sz w:val="20"/>
                <w:szCs w:val="20"/>
                <w:color w:val="auto"/>
              </w:rPr>
            </w:pPr>
            <w:r>
              <w:rPr>
                <w:rFonts w:ascii="Arial" w:cs="Arial" w:eastAsia="Arial" w:hAnsi="Arial"/>
                <w:sz w:val="11"/>
                <w:szCs w:val="11"/>
                <w:b w:val="1"/>
                <w:bCs w:val="1"/>
                <w:color w:val="auto"/>
              </w:rPr>
              <w:t>% of</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jc w:val="right"/>
              <w:ind w:right="581"/>
              <w:spacing w:after="0" w:line="112" w:lineRule="exact"/>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1"/>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0" w:type="dxa"/>
            <w:vAlign w:val="bottom"/>
            <w:gridSpan w:val="3"/>
          </w:tcPr>
          <w:p>
            <w:pPr>
              <w:jc w:val="right"/>
              <w:ind w:right="619"/>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Fee-for-service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74.7 %</w:t>
            </w:r>
          </w:p>
        </w:tc>
        <w:tc>
          <w:tcPr>
            <w:tcW w:w="0" w:type="dxa"/>
            <w:vAlign w:val="bottom"/>
          </w:tcPr>
          <w:p>
            <w:pPr>
              <w:spacing w:after="0"/>
              <w:rPr>
                <w:sz w:val="1"/>
                <w:szCs w:val="1"/>
                <w:color w:val="auto"/>
              </w:rPr>
            </w:pP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Pharmacy</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4,331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98"/>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3,987</w:t>
            </w:r>
          </w:p>
        </w:tc>
        <w:tc>
          <w:tcPr>
            <w:tcW w:w="1660" w:type="dxa"/>
            <w:vAlign w:val="bottom"/>
            <w:gridSpan w:val="3"/>
          </w:tcPr>
          <w:p>
            <w:pPr>
              <w:jc w:val="right"/>
              <w:ind w:right="101"/>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Capitation</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w:t>
            </w:r>
          </w:p>
        </w:tc>
        <w:tc>
          <w:tcPr>
            <w:tcW w:w="1660" w:type="dxa"/>
            <w:vAlign w:val="bottom"/>
            <w:gridSpan w:val="3"/>
            <w:shd w:val="clear" w:color="auto" w:fill="CCEEFF"/>
          </w:tcPr>
          <w:p>
            <w:pPr>
              <w:jc w:val="right"/>
              <w:ind w:right="101"/>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6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When more complete claims payment information and healthcare cost trend data becomes available, we reflect changes in these estimates as an increase or decrease to medical care costs in the consolidated results of operations in the period in which they are determined.</w:t>
      </w:r>
    </w:p>
    <w:p>
      <w:pPr>
        <w:spacing w:after="0" w:line="5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 membership, product mix, seasonality, benefit changes or changes in fee schedules, provider contract changes, prior authorizations and the incidence of catastrophic or pandemic cases.</w:t>
      </w:r>
    </w:p>
    <w:p>
      <w:pPr>
        <w:spacing w:after="0" w:line="55"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r>
        <w:rPr>
          <w:rFonts w:ascii="Times New Roman" w:cs="Times New Roman" w:eastAsia="Times New Roman" w:hAnsi="Times New Roman"/>
          <w:sz w:val="14"/>
          <w:szCs w:val="14"/>
          <w:color w:val="auto"/>
        </w:rPr>
        <w:t>.</w:t>
      </w:r>
    </w:p>
    <w:p>
      <w:pPr>
        <w:spacing w:after="0" w:line="56"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For claims incurred within three months before the financial statement date, actual claims paid are a less reliable measure of our ultimate cost since a large portion of medical claims are not submitted to us until several months after services have been provided.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and other relevant factors.</w:t>
      </w:r>
    </w:p>
    <w:p>
      <w:pPr>
        <w:spacing w:after="0" w:line="46"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Accordingly, our reserving practice is to consistently recognize the actuarial best estimate including a provision for moderately adverse conditions for each current period. This provision is reported as part of “Components of medical care costs related to: Current year” in the table presented in Note 10, “Medical Claims and Benefits Payable.” Adverse conditions are situations that may cause actual claims to be higher than the otherwise estimated value of such claims at the time of the estimate, such as changes in the magnitude or severity of claims, uncertainties related to our entry into new geographical markets or provision of</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2" w:name="page53"/>
    <w:bookmarkEnd w:id="52"/>
    <w:p>
      <w:pPr>
        <w:ind w:right="620"/>
        <w:spacing w:after="0" w:line="274" w:lineRule="auto"/>
        <w:rPr>
          <w:sz w:val="20"/>
          <w:szCs w:val="20"/>
          <w:color w:val="auto"/>
        </w:rPr>
      </w:pPr>
      <w:r>
        <w:rPr>
          <w:rFonts w:ascii="Arial" w:cs="Arial" w:eastAsia="Arial" w:hAnsi="Arial"/>
          <w:sz w:val="14"/>
          <w:szCs w:val="14"/>
          <w:color w:val="auto"/>
        </w:rPr>
        <w:t>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4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When subsequent actual claims payments are less than we estimated, we recognize a benefit for favorable prior period development that is reported as part of “Components of medical care costs related to: Prior years”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53"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2024 that would result if we change our completion factors for the fourth through the twelfth months preceding December 31, 2024, by the percentages indicated. A reduction in the completion factor results in an increase in medical claims liabilities. Dollar amounts are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20"/>
              <w:spacing w:after="0"/>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12"/>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3" w:lineRule="exact"/>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10"/>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1" w:lineRule="exact"/>
              <w:rPr>
                <w:sz w:val="20"/>
                <w:szCs w:val="20"/>
                <w:color w:val="auto"/>
              </w:rPr>
            </w:pPr>
            <w:r>
              <w:rPr>
                <w:rFonts w:ascii="Arial" w:cs="Arial" w:eastAsia="Arial" w:hAnsi="Arial"/>
                <w:sz w:val="11"/>
                <w:szCs w:val="11"/>
                <w:b w:val="1"/>
                <w:bCs w:val="1"/>
                <w:color w:val="auto"/>
              </w:rPr>
              <w:t>in Medical Claims</w:t>
            </w:r>
          </w:p>
        </w:tc>
        <w:tc>
          <w:tcPr>
            <w:tcW w:w="0" w:type="dxa"/>
            <w:vAlign w:val="bottom"/>
          </w:tcPr>
          <w:p>
            <w:pPr>
              <w:spacing w:after="0"/>
              <w:rPr>
                <w:sz w:val="1"/>
                <w:szCs w:val="1"/>
                <w:color w:val="auto"/>
              </w:rPr>
            </w:pPr>
          </w:p>
        </w:tc>
      </w:tr>
      <w:tr>
        <w:trPr>
          <w:trHeight w:val="112"/>
        </w:trPr>
        <w:tc>
          <w:tcPr>
            <w:tcW w:w="9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Increase (Decrease) in Estimated Completion Factors</w:t>
            </w:r>
          </w:p>
        </w:tc>
        <w:tc>
          <w:tcPr>
            <w:tcW w:w="140" w:type="dxa"/>
            <w:vAlign w:val="bottom"/>
          </w:tcPr>
          <w:p>
            <w:pPr>
              <w:spacing w:after="0"/>
              <w:rPr>
                <w:sz w:val="9"/>
                <w:szCs w:val="9"/>
                <w:color w:val="auto"/>
              </w:rPr>
            </w:pPr>
          </w:p>
        </w:tc>
        <w:tc>
          <w:tcPr>
            <w:tcW w:w="1280" w:type="dxa"/>
            <w:vAlign w:val="bottom"/>
          </w:tcPr>
          <w:p>
            <w:pPr>
              <w:jc w:val="center"/>
              <w:ind w:right="100"/>
              <w:spacing w:after="0" w:line="113" w:lineRule="exact"/>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49"/>
        </w:trPr>
        <w:tc>
          <w:tcPr>
            <w:tcW w:w="98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Benefits Payable</w:t>
            </w:r>
          </w:p>
        </w:tc>
        <w:tc>
          <w:tcPr>
            <w:tcW w:w="0" w:type="dxa"/>
            <w:vAlign w:val="bottom"/>
          </w:tcPr>
          <w:p>
            <w:pPr>
              <w:spacing w:after="0"/>
              <w:rPr>
                <w:sz w:val="1"/>
                <w:szCs w:val="1"/>
                <w:color w:val="auto"/>
              </w:rPr>
            </w:pPr>
          </w:p>
        </w:tc>
      </w:tr>
      <w:tr>
        <w:trPr>
          <w:trHeight w:val="160"/>
        </w:trPr>
        <w:tc>
          <w:tcPr>
            <w:tcW w:w="98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69"/>
        </w:trPr>
        <w:tc>
          <w:tcPr>
            <w:tcW w:w="9860" w:type="dxa"/>
            <w:vAlign w:val="bottom"/>
          </w:tcPr>
          <w:p>
            <w:pPr>
              <w:ind w:lef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69"/>
        </w:trPr>
        <w:tc>
          <w:tcPr>
            <w:tcW w:w="9860" w:type="dxa"/>
            <w:vAlign w:val="bottom"/>
          </w:tcPr>
          <w:p>
            <w:pPr>
              <w:ind w:left="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The following table reflects the hypothetical change in our estimate of claims liability as of December 31, 2024 that would result if we alter our assumed medical care cost trend factors by the percentages indicated. An increase in the PMPM costs results in an increase in medical claims liabilities. Dollar amounts are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120"/>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10"/>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1"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112"/>
        </w:trPr>
        <w:tc>
          <w:tcPr>
            <w:tcW w:w="9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120"/>
              <w:spacing w:after="0" w:line="113" w:lineRule="exact"/>
              <w:rPr>
                <w:sz w:val="20"/>
                <w:szCs w:val="20"/>
                <w:color w:val="auto"/>
              </w:rPr>
            </w:pPr>
            <w:r>
              <w:rPr>
                <w:rFonts w:ascii="Arial" w:cs="Arial" w:eastAsia="Arial" w:hAnsi="Arial"/>
                <w:sz w:val="11"/>
                <w:szCs w:val="11"/>
                <w:b w:val="1"/>
                <w:bCs w:val="1"/>
                <w:color w:val="auto"/>
              </w:rPr>
              <w:t>in Medical Claims</w:t>
            </w:r>
          </w:p>
        </w:tc>
        <w:tc>
          <w:tcPr>
            <w:tcW w:w="0" w:type="dxa"/>
            <w:vAlign w:val="bottom"/>
          </w:tcPr>
          <w:p>
            <w:pPr>
              <w:spacing w:after="0"/>
              <w:rPr>
                <w:sz w:val="1"/>
                <w:szCs w:val="1"/>
                <w:color w:val="auto"/>
              </w:rPr>
            </w:pPr>
          </w:p>
        </w:tc>
      </w:tr>
      <w:tr>
        <w:trPr>
          <w:trHeight w:val="110"/>
        </w:trPr>
        <w:tc>
          <w:tcPr>
            <w:tcW w:w="9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(Decrease) Increase in Trended Per Member Per Month Cost Estimates</w:t>
            </w:r>
          </w:p>
        </w:tc>
        <w:tc>
          <w:tcPr>
            <w:tcW w:w="140" w:type="dxa"/>
            <w:vAlign w:val="bottom"/>
          </w:tcPr>
          <w:p>
            <w:pPr>
              <w:spacing w:after="0"/>
              <w:rPr>
                <w:sz w:val="9"/>
                <w:szCs w:val="9"/>
                <w:color w:val="auto"/>
              </w:rPr>
            </w:pPr>
          </w:p>
        </w:tc>
        <w:tc>
          <w:tcPr>
            <w:tcW w:w="1280" w:type="dxa"/>
            <w:vAlign w:val="bottom"/>
          </w:tcPr>
          <w:p>
            <w:pPr>
              <w:jc w:val="center"/>
              <w:ind w:right="100"/>
              <w:spacing w:after="0" w:line="111" w:lineRule="exact"/>
              <w:rPr>
                <w:sz w:val="20"/>
                <w:szCs w:val="20"/>
                <w:color w:val="auto"/>
              </w:rPr>
            </w:pPr>
            <w:r>
              <w:rPr>
                <w:rFonts w:ascii="Arial" w:cs="Arial" w:eastAsia="Arial" w:hAnsi="Arial"/>
                <w:sz w:val="11"/>
                <w:szCs w:val="11"/>
                <w:b w:val="1"/>
                <w:bCs w:val="1"/>
                <w:color w:val="auto"/>
              </w:rPr>
              <w:t>and</w:t>
            </w:r>
          </w:p>
        </w:tc>
        <w:tc>
          <w:tcPr>
            <w:tcW w:w="0" w:type="dxa"/>
            <w:vAlign w:val="bottom"/>
          </w:tcPr>
          <w:p>
            <w:pPr>
              <w:spacing w:after="0"/>
              <w:rPr>
                <w:sz w:val="1"/>
                <w:szCs w:val="1"/>
                <w:color w:val="auto"/>
              </w:rPr>
            </w:pPr>
          </w:p>
        </w:tc>
      </w:tr>
      <w:tr>
        <w:trPr>
          <w:trHeight w:val="155"/>
        </w:trPr>
        <w:tc>
          <w:tcPr>
            <w:tcW w:w="986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rPr>
              <w:t>Benefits Payable</w:t>
            </w:r>
          </w:p>
        </w:tc>
        <w:tc>
          <w:tcPr>
            <w:tcW w:w="0" w:type="dxa"/>
            <w:vAlign w:val="bottom"/>
          </w:tcPr>
          <w:p>
            <w:pPr>
              <w:spacing w:after="0"/>
              <w:rPr>
                <w:sz w:val="1"/>
                <w:szCs w:val="1"/>
                <w:color w:val="auto"/>
              </w:rPr>
            </w:pPr>
          </w:p>
        </w:tc>
      </w:tr>
      <w:tr>
        <w:trPr>
          <w:trHeight w:val="161"/>
        </w:trPr>
        <w:tc>
          <w:tcPr>
            <w:tcW w:w="98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3"/>
                <w:szCs w:val="13"/>
                <w:color w:val="auto"/>
                <w:w w:val="98"/>
              </w:rPr>
              <w:t>(394)</w:t>
            </w:r>
          </w:p>
        </w:tc>
        <w:tc>
          <w:tcPr>
            <w:tcW w:w="0" w:type="dxa"/>
            <w:vAlign w:val="bottom"/>
          </w:tcPr>
          <w:p>
            <w:pPr>
              <w:spacing w:after="0"/>
              <w:rPr>
                <w:sz w:val="1"/>
                <w:szCs w:val="1"/>
                <w:color w:val="auto"/>
              </w:rPr>
            </w:pPr>
          </w:p>
        </w:tc>
      </w:tr>
      <w:tr>
        <w:trPr>
          <w:trHeight w:val="169"/>
        </w:trPr>
        <w:tc>
          <w:tcPr>
            <w:tcW w:w="9860" w:type="dxa"/>
            <w:vAlign w:val="bottom"/>
          </w:tcPr>
          <w:p>
            <w:pPr>
              <w:ind w:lef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4"/>
                <w:szCs w:val="14"/>
                <w:color w:val="auto"/>
              </w:rPr>
            </w:pPr>
          </w:p>
        </w:tc>
        <w:tc>
          <w:tcPr>
            <w:tcW w:w="1280" w:type="dxa"/>
            <w:vAlign w:val="bottom"/>
          </w:tcPr>
          <w:p>
            <w:pPr>
              <w:jc w:val="center"/>
              <w:ind w:left="880"/>
              <w:spacing w:after="0"/>
              <w:rPr>
                <w:sz w:val="20"/>
                <w:szCs w:val="20"/>
                <w:color w:val="auto"/>
              </w:rPr>
            </w:pPr>
            <w:r>
              <w:rPr>
                <w:rFonts w:ascii="Arial" w:cs="Arial" w:eastAsia="Arial" w:hAnsi="Arial"/>
                <w:sz w:val="13"/>
                <w:szCs w:val="13"/>
                <w:color w:val="auto"/>
                <w:w w:val="98"/>
              </w:rPr>
              <w:t>(262)</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3"/>
                <w:szCs w:val="13"/>
                <w:color w:val="auto"/>
                <w:w w:val="98"/>
              </w:rPr>
              <w:t>(131)</w:t>
            </w:r>
          </w:p>
        </w:tc>
        <w:tc>
          <w:tcPr>
            <w:tcW w:w="0" w:type="dxa"/>
            <w:vAlign w:val="bottom"/>
          </w:tcPr>
          <w:p>
            <w:pPr>
              <w:spacing w:after="0"/>
              <w:rPr>
                <w:sz w:val="1"/>
                <w:szCs w:val="1"/>
                <w:color w:val="auto"/>
              </w:rPr>
            </w:pPr>
          </w:p>
        </w:tc>
      </w:tr>
      <w:tr>
        <w:trPr>
          <w:trHeight w:val="169"/>
        </w:trPr>
        <w:tc>
          <w:tcPr>
            <w:tcW w:w="9860" w:type="dxa"/>
            <w:vAlign w:val="bottom"/>
          </w:tcPr>
          <w:p>
            <w:pPr>
              <w:ind w:left="2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1280" w:type="dxa"/>
            <w:vAlign w:val="bottom"/>
          </w:tcPr>
          <w:p>
            <w:pPr>
              <w:jc w:val="center"/>
              <w:ind w:left="900"/>
              <w:spacing w:after="0"/>
              <w:rPr>
                <w:sz w:val="20"/>
                <w:szCs w:val="20"/>
                <w:color w:val="auto"/>
              </w:rPr>
            </w:pPr>
            <w:r>
              <w:rPr>
                <w:rFonts w:ascii="Arial" w:cs="Arial" w:eastAsia="Arial" w:hAnsi="Arial"/>
                <w:sz w:val="13"/>
                <w:szCs w:val="13"/>
                <w:color w:val="auto"/>
                <w:w w:val="92"/>
              </w:rPr>
              <w:t>131</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center"/>
              <w:ind w:left="900"/>
              <w:spacing w:after="0"/>
              <w:rPr>
                <w:sz w:val="20"/>
                <w:szCs w:val="20"/>
                <w:color w:val="auto"/>
              </w:rPr>
            </w:pPr>
            <w:r>
              <w:rPr>
                <w:rFonts w:ascii="Arial" w:cs="Arial" w:eastAsia="Arial" w:hAnsi="Arial"/>
                <w:sz w:val="13"/>
                <w:szCs w:val="13"/>
                <w:color w:val="auto"/>
                <w:w w:val="92"/>
              </w:rPr>
              <w:t>262</w:t>
            </w:r>
          </w:p>
        </w:tc>
        <w:tc>
          <w:tcPr>
            <w:tcW w:w="0" w:type="dxa"/>
            <w:vAlign w:val="bottom"/>
          </w:tcPr>
          <w:p>
            <w:pPr>
              <w:spacing w:after="0"/>
              <w:rPr>
                <w:sz w:val="1"/>
                <w:szCs w:val="1"/>
                <w:color w:val="auto"/>
              </w:rPr>
            </w:pP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1280" w:type="dxa"/>
            <w:vAlign w:val="bottom"/>
          </w:tcPr>
          <w:p>
            <w:pPr>
              <w:jc w:val="center"/>
              <w:ind w:left="900"/>
              <w:spacing w:after="0"/>
              <w:rPr>
                <w:sz w:val="20"/>
                <w:szCs w:val="20"/>
                <w:color w:val="auto"/>
              </w:rPr>
            </w:pPr>
            <w:r>
              <w:rPr>
                <w:rFonts w:ascii="Arial" w:cs="Arial" w:eastAsia="Arial" w:hAnsi="Arial"/>
                <w:sz w:val="13"/>
                <w:szCs w:val="13"/>
                <w:color w:val="auto"/>
                <w:w w:val="92"/>
              </w:rPr>
              <w:t>394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Refer to the Notes to Consolidated Financial Statements, Note 2, “Significant Accounting Policies,” for a discussion of recent accounting pronouncements that affect us.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0F7C7F"/>
        </w:rPr>
        <w:t>Item 7A. QUANTITATIVE AND QUALITATIVE DISCLOSURES ABOUT MARKET RISK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Our earnings and financial position are exposed to financial market risk relating to changes in interest rates, and the resulting impact on investment income and interest expense.</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Substantially all of our investments and restricted investments are subject to interest rate risk and will decrease in value if market interest rates increase. Assuming a hypothetical and immediate 1% increase in market interest rates at December 31, 2024, the fair value of our fixed income investments would decrease by approximately $112 million. Declines in interest rates over time will reduce our investment income.</w:t>
      </w:r>
    </w:p>
    <w:p>
      <w:pPr>
        <w:spacing w:after="0" w:line="49" w:lineRule="exact"/>
        <w:rPr>
          <w:sz w:val="20"/>
          <w:szCs w:val="20"/>
          <w:color w:val="auto"/>
        </w:rPr>
      </w:pPr>
    </w:p>
    <w:p>
      <w:pPr>
        <w:ind w:right="1040"/>
        <w:spacing w:after="0" w:line="290" w:lineRule="auto"/>
        <w:rPr>
          <w:sz w:val="20"/>
          <w:szCs w:val="20"/>
          <w:color w:val="auto"/>
        </w:rPr>
      </w:pPr>
      <w:r>
        <w:rPr>
          <w:rFonts w:ascii="Arial" w:cs="Arial" w:eastAsia="Arial" w:hAnsi="Arial"/>
          <w:sz w:val="14"/>
          <w:szCs w:val="14"/>
          <w:color w:val="auto"/>
        </w:rPr>
        <w:t>For further information on fair value measurements and our investment portfolio, please refer to the Notes to Consolidated Financial Statements, Note 5, “Fair Value Measurements,” and Note 6, “Investments.”</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Borrowings under the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11, “Debt.”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0F7C7F"/>
        </w:rPr>
        <w:t>Item 8. FINANCIAL STATEMENTS AND SUPPLEMENTARY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280" w:type="dxa"/>
            <w:vAlign w:val="bottom"/>
            <w:gridSpan w:val="3"/>
          </w:tcPr>
          <w:p>
            <w:pPr>
              <w:jc w:val="center"/>
              <w:ind w:left="2574"/>
              <w:spacing w:after="0"/>
              <w:rPr>
                <w:sz w:val="20"/>
                <w:szCs w:val="20"/>
                <w:color w:val="auto"/>
              </w:rPr>
            </w:pPr>
            <w:r>
              <w:rPr>
                <w:rFonts w:ascii="Arial" w:cs="Arial" w:eastAsia="Arial" w:hAnsi="Arial"/>
                <w:sz w:val="11"/>
                <w:szCs w:val="11"/>
                <w:b w:val="1"/>
                <w:bCs w:val="1"/>
                <w:color w:val="auto"/>
              </w:rPr>
              <w:t>Page</w:t>
            </w:r>
          </w:p>
        </w:tc>
      </w:tr>
      <w:tr>
        <w:trPr>
          <w:trHeight w:val="161"/>
        </w:trPr>
        <w:tc>
          <w:tcPr>
            <w:tcW w:w="20" w:type="dxa"/>
            <w:vAlign w:val="bottom"/>
            <w:shd w:val="clear" w:color="auto" w:fill="CCEEFF"/>
          </w:tcPr>
          <w:p>
            <w:pPr>
              <w:spacing w:after="0"/>
              <w:rPr>
                <w:sz w:val="13"/>
                <w:szCs w:val="13"/>
                <w:color w:val="auto"/>
              </w:rPr>
            </w:pPr>
          </w:p>
        </w:tc>
        <w:tc>
          <w:tcPr>
            <w:tcW w:w="362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0F7C7F"/>
              </w:rPr>
              <w:t>Report of Independent Registered Public Accounting Firm</w:t>
            </w:r>
          </w:p>
        </w:tc>
        <w:tc>
          <w:tcPr>
            <w:tcW w:w="33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740"/>
              <w:spacing w:after="0" w:line="149" w:lineRule="exact"/>
              <w:rPr>
                <w:sz w:val="20"/>
                <w:szCs w:val="20"/>
                <w:color w:val="auto"/>
              </w:rPr>
            </w:pPr>
            <w:r>
              <w:rPr>
                <w:rFonts w:ascii="Arial" w:cs="Arial" w:eastAsia="Arial" w:hAnsi="Arial"/>
                <w:sz w:val="14"/>
                <w:szCs w:val="14"/>
                <w:color w:val="0F7C7F"/>
              </w:rPr>
              <w:t>53</w:t>
            </w:r>
          </w:p>
        </w:tc>
      </w:tr>
      <w:tr>
        <w:trPr>
          <w:trHeight w:val="180"/>
        </w:trPr>
        <w:tc>
          <w:tcPr>
            <w:tcW w:w="20" w:type="dxa"/>
            <w:vAlign w:val="bottom"/>
            <w:tcBorders>
              <w:top w:val="single" w:sz="8" w:color="CCEEFF"/>
            </w:tcBorders>
          </w:tcPr>
          <w:p>
            <w:pPr>
              <w:spacing w:after="0"/>
              <w:rPr>
                <w:sz w:val="15"/>
                <w:szCs w:val="15"/>
                <w:color w:val="auto"/>
              </w:rPr>
            </w:pPr>
          </w:p>
        </w:tc>
        <w:tc>
          <w:tcPr>
            <w:tcW w:w="3620" w:type="dxa"/>
            <w:vAlign w:val="bottom"/>
            <w:tcBorders>
              <w:top w:val="single" w:sz="8" w:color="0F7C7F"/>
            </w:tcBorders>
            <w:gridSpan w:val="8"/>
          </w:tcPr>
          <w:p>
            <w:pPr>
              <w:spacing w:after="0"/>
              <w:rPr>
                <w:sz w:val="20"/>
                <w:szCs w:val="20"/>
                <w:color w:val="auto"/>
              </w:rPr>
            </w:pPr>
            <w:r>
              <w:rPr>
                <w:rFonts w:ascii="Arial" w:cs="Arial" w:eastAsia="Arial" w:hAnsi="Arial"/>
                <w:sz w:val="14"/>
                <w:szCs w:val="14"/>
                <w:color w:val="0F7C7F"/>
              </w:rPr>
              <w:t>Audited Consolidated Financial Statements:</w:t>
            </w:r>
          </w:p>
        </w:tc>
        <w:tc>
          <w:tcPr>
            <w:tcW w:w="3340" w:type="dxa"/>
            <w:vAlign w:val="bottom"/>
            <w:tcBorders>
              <w:top w:val="single" w:sz="8" w:color="CCEEFF"/>
            </w:tcBorders>
          </w:tcPr>
          <w:p>
            <w:pPr>
              <w:spacing w:after="0"/>
              <w:rPr>
                <w:sz w:val="15"/>
                <w:szCs w:val="15"/>
                <w:color w:val="auto"/>
              </w:rPr>
            </w:pPr>
          </w:p>
        </w:tc>
        <w:tc>
          <w:tcPr>
            <w:tcW w:w="3380" w:type="dxa"/>
            <w:vAlign w:val="bottom"/>
            <w:tcBorders>
              <w:top w:val="single" w:sz="8" w:color="CCEEFF"/>
            </w:tcBorders>
          </w:tcPr>
          <w:p>
            <w:pPr>
              <w:spacing w:after="0"/>
              <w:rPr>
                <w:sz w:val="15"/>
                <w:szCs w:val="15"/>
                <w:color w:val="auto"/>
              </w:rPr>
            </w:pPr>
          </w:p>
        </w:tc>
        <w:tc>
          <w:tcPr>
            <w:tcW w:w="160" w:type="dxa"/>
            <w:vAlign w:val="bottom"/>
            <w:tcBorders>
              <w:top w:val="single" w:sz="8" w:color="0F7C7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r>
      <w:tr>
        <w:trPr>
          <w:trHeight w:val="149"/>
        </w:trPr>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0F7C7F"/>
              </w:rPr>
              <w:t>Consolidated Statements of Income</w:t>
            </w:r>
          </w:p>
        </w:tc>
        <w:tc>
          <w:tcPr>
            <w:tcW w:w="4280" w:type="dxa"/>
            <w:vAlign w:val="bottom"/>
            <w:gridSpan w:val="3"/>
            <w:shd w:val="clear" w:color="auto" w:fill="CCEEFF"/>
          </w:tcPr>
          <w:p>
            <w:pPr>
              <w:jc w:val="center"/>
              <w:ind w:left="2574"/>
              <w:spacing w:after="0" w:line="149" w:lineRule="exact"/>
              <w:rPr>
                <w:sz w:val="20"/>
                <w:szCs w:val="20"/>
                <w:color w:val="auto"/>
              </w:rPr>
            </w:pPr>
            <w:r>
              <w:rPr>
                <w:rFonts w:ascii="Arial" w:cs="Arial" w:eastAsia="Arial" w:hAnsi="Arial"/>
                <w:sz w:val="14"/>
                <w:szCs w:val="14"/>
                <w:color w:val="0F7C7F"/>
              </w:rPr>
              <w:t>55</w:t>
            </w:r>
          </w:p>
        </w:tc>
      </w:tr>
      <w:tr>
        <w:trPr>
          <w:trHeight w:val="32"/>
        </w:trPr>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80" w:type="dxa"/>
            <w:vAlign w:val="bottom"/>
            <w:gridSpan w:val="6"/>
          </w:tcPr>
          <w:p>
            <w:pPr>
              <w:spacing w:after="0" w:line="149" w:lineRule="exact"/>
              <w:rPr>
                <w:sz w:val="20"/>
                <w:szCs w:val="20"/>
                <w:color w:val="auto"/>
              </w:rPr>
            </w:pPr>
            <w:r>
              <w:rPr>
                <w:rFonts w:ascii="Arial" w:cs="Arial" w:eastAsia="Arial" w:hAnsi="Arial"/>
                <w:sz w:val="14"/>
                <w:szCs w:val="14"/>
                <w:color w:val="0F7C7F"/>
              </w:rPr>
              <w:t>Consolidated Statements of Comprehensive Income</w:t>
            </w:r>
          </w:p>
        </w:tc>
        <w:tc>
          <w:tcPr>
            <w:tcW w:w="3600" w:type="dxa"/>
            <w:vAlign w:val="bottom"/>
            <w:gridSpan w:val="2"/>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0F7C7F"/>
              </w:rPr>
              <w:t>55</w:t>
            </w: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0F7C7F"/>
          </w:tcPr>
          <w:p>
            <w:pPr>
              <w:spacing w:after="0"/>
              <w:rPr>
                <w:sz w:val="2"/>
                <w:szCs w:val="2"/>
                <w:color w:val="auto"/>
              </w:rPr>
            </w:pPr>
          </w:p>
        </w:tc>
        <w:tc>
          <w:tcPr>
            <w:tcW w:w="300" w:type="dxa"/>
            <w:vAlign w:val="bottom"/>
            <w:shd w:val="clear" w:color="auto" w:fill="0F7C7F"/>
          </w:tcPr>
          <w:p>
            <w:pPr>
              <w:spacing w:after="0"/>
              <w:rPr>
                <w:sz w:val="2"/>
                <w:szCs w:val="2"/>
                <w:color w:val="auto"/>
              </w:rPr>
            </w:pPr>
          </w:p>
        </w:tc>
        <w:tc>
          <w:tcPr>
            <w:tcW w:w="220" w:type="dxa"/>
            <w:vAlign w:val="bottom"/>
            <w:shd w:val="clear" w:color="auto" w:fill="0F7C7F"/>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line="155" w:lineRule="exact"/>
              <w:rPr>
                <w:sz w:val="20"/>
                <w:szCs w:val="20"/>
                <w:color w:val="auto"/>
              </w:rPr>
            </w:pPr>
            <w:r>
              <w:rPr>
                <w:rFonts w:ascii="Arial" w:cs="Arial" w:eastAsia="Arial" w:hAnsi="Arial"/>
                <w:sz w:val="14"/>
                <w:szCs w:val="14"/>
                <w:color w:val="0F7C7F"/>
              </w:rPr>
              <w:t>Consolidated Balance Sheets</w:t>
            </w:r>
          </w:p>
        </w:tc>
        <w:tc>
          <w:tcPr>
            <w:tcW w:w="1420" w:type="dxa"/>
            <w:vAlign w:val="bottom"/>
            <w:gridSpan w:val="5"/>
            <w:shd w:val="clear" w:color="auto" w:fill="CCEEFF"/>
          </w:tcPr>
          <w:p>
            <w:pPr>
              <w:spacing w:after="0"/>
              <w:rPr>
                <w:sz w:val="13"/>
                <w:szCs w:val="13"/>
                <w:color w:val="auto"/>
              </w:rPr>
            </w:pPr>
          </w:p>
        </w:tc>
        <w:tc>
          <w:tcPr>
            <w:tcW w:w="3600" w:type="dxa"/>
            <w:vAlign w:val="bottom"/>
            <w:gridSpan w:val="2"/>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740"/>
              <w:spacing w:after="0" w:line="155" w:lineRule="exact"/>
              <w:rPr>
                <w:sz w:val="20"/>
                <w:szCs w:val="20"/>
                <w:color w:val="auto"/>
              </w:rPr>
            </w:pPr>
            <w:r>
              <w:rPr>
                <w:rFonts w:ascii="Arial" w:cs="Arial" w:eastAsia="Arial" w:hAnsi="Arial"/>
                <w:sz w:val="14"/>
                <w:szCs w:val="14"/>
                <w:color w:val="0F7C7F"/>
              </w:rPr>
              <w:t>56</w:t>
            </w:r>
          </w:p>
        </w:tc>
      </w:tr>
      <w:tr>
        <w:trPr>
          <w:trHeight w:val="32"/>
        </w:trPr>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0F7C7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80" w:type="dxa"/>
            <w:vAlign w:val="bottom"/>
            <w:gridSpan w:val="8"/>
          </w:tcPr>
          <w:p>
            <w:pPr>
              <w:spacing w:after="0" w:line="149" w:lineRule="exact"/>
              <w:rPr>
                <w:sz w:val="20"/>
                <w:szCs w:val="20"/>
                <w:color w:val="auto"/>
              </w:rPr>
            </w:pPr>
            <w:r>
              <w:rPr>
                <w:rFonts w:ascii="Arial" w:cs="Arial" w:eastAsia="Arial" w:hAnsi="Arial"/>
                <w:sz w:val="14"/>
                <w:szCs w:val="14"/>
                <w:color w:val="0F7C7F"/>
              </w:rPr>
              <w:t>Consolidated Statements of Stockholders’ Equity</w:t>
            </w:r>
          </w:p>
        </w:tc>
        <w:tc>
          <w:tcPr>
            <w:tcW w:w="4280" w:type="dxa"/>
            <w:vAlign w:val="bottom"/>
            <w:gridSpan w:val="3"/>
          </w:tcPr>
          <w:p>
            <w:pPr>
              <w:jc w:val="center"/>
              <w:ind w:left="2574"/>
              <w:spacing w:after="0" w:line="149" w:lineRule="exact"/>
              <w:rPr>
                <w:sz w:val="20"/>
                <w:szCs w:val="20"/>
                <w:color w:val="auto"/>
              </w:rPr>
            </w:pPr>
            <w:r>
              <w:rPr>
                <w:rFonts w:ascii="Arial" w:cs="Arial" w:eastAsia="Arial" w:hAnsi="Arial"/>
                <w:sz w:val="14"/>
                <w:szCs w:val="14"/>
                <w:color w:val="0F7C7F"/>
              </w:rPr>
              <w:t>57</w:t>
            </w: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0F7C7F"/>
          </w:tcPr>
          <w:p>
            <w:pPr>
              <w:spacing w:after="0"/>
              <w:rPr>
                <w:sz w:val="2"/>
                <w:szCs w:val="2"/>
                <w:color w:val="auto"/>
              </w:rPr>
            </w:pPr>
          </w:p>
        </w:tc>
        <w:tc>
          <w:tcPr>
            <w:tcW w:w="300" w:type="dxa"/>
            <w:vAlign w:val="bottom"/>
            <w:shd w:val="clear" w:color="auto" w:fill="0F7C7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0F7C7F"/>
              </w:rPr>
              <w:t>Consolidated Statements of Cash Flows</w:t>
            </w:r>
          </w:p>
        </w:tc>
        <w:tc>
          <w:tcPr>
            <w:tcW w:w="540" w:type="dxa"/>
            <w:vAlign w:val="bottom"/>
            <w:gridSpan w:val="2"/>
            <w:shd w:val="clear" w:color="auto" w:fill="CCEEFF"/>
          </w:tcPr>
          <w:p>
            <w:pPr>
              <w:spacing w:after="0"/>
              <w:rPr>
                <w:sz w:val="13"/>
                <w:szCs w:val="13"/>
                <w:color w:val="auto"/>
              </w:rPr>
            </w:pPr>
          </w:p>
        </w:tc>
        <w:tc>
          <w:tcPr>
            <w:tcW w:w="3820" w:type="dxa"/>
            <w:vAlign w:val="bottom"/>
            <w:gridSpan w:val="3"/>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740"/>
              <w:spacing w:after="0" w:line="155" w:lineRule="exact"/>
              <w:rPr>
                <w:sz w:val="20"/>
                <w:szCs w:val="20"/>
                <w:color w:val="auto"/>
              </w:rPr>
            </w:pPr>
            <w:r>
              <w:rPr>
                <w:rFonts w:ascii="Arial" w:cs="Arial" w:eastAsia="Arial" w:hAnsi="Arial"/>
                <w:sz w:val="14"/>
                <w:szCs w:val="14"/>
                <w:color w:val="0F7C7F"/>
              </w:rPr>
              <w:t>58</w:t>
            </w:r>
          </w:p>
        </w:tc>
      </w:tr>
      <w:tr>
        <w:trPr>
          <w:trHeight w:val="32"/>
        </w:trPr>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0F7C7F"/>
          </w:tcPr>
          <w:p>
            <w:pPr>
              <w:spacing w:after="0"/>
              <w:rPr>
                <w:sz w:val="2"/>
                <w:szCs w:val="2"/>
                <w:color w:val="auto"/>
              </w:rPr>
            </w:pPr>
          </w:p>
        </w:tc>
        <w:tc>
          <w:tcPr>
            <w:tcW w:w="380" w:type="dxa"/>
            <w:vAlign w:val="bottom"/>
            <w:shd w:val="clear" w:color="auto" w:fill="0F7C7F"/>
          </w:tcPr>
          <w:p>
            <w:pPr>
              <w:spacing w:after="0"/>
              <w:rPr>
                <w:sz w:val="2"/>
                <w:szCs w:val="2"/>
                <w:color w:val="auto"/>
              </w:rPr>
            </w:pPr>
          </w:p>
        </w:tc>
        <w:tc>
          <w:tcPr>
            <w:tcW w:w="280" w:type="dxa"/>
            <w:vAlign w:val="bottom"/>
            <w:shd w:val="clear" w:color="auto" w:fill="0F7C7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60" w:type="dxa"/>
            <w:vAlign w:val="bottom"/>
            <w:shd w:val="clear" w:color="auto" w:fill="0F7C7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4"/>
          </w:tcPr>
          <w:p>
            <w:pPr>
              <w:spacing w:after="0" w:line="149" w:lineRule="exact"/>
              <w:rPr>
                <w:sz w:val="20"/>
                <w:szCs w:val="20"/>
                <w:color w:val="auto"/>
              </w:rPr>
            </w:pPr>
            <w:r>
              <w:rPr>
                <w:rFonts w:ascii="Arial" w:cs="Arial" w:eastAsia="Arial" w:hAnsi="Arial"/>
                <w:sz w:val="14"/>
                <w:szCs w:val="14"/>
                <w:color w:val="0F7C7F"/>
              </w:rPr>
              <w:t>Notes to Consolidated Financial Statements</w:t>
            </w:r>
          </w:p>
        </w:tc>
        <w:tc>
          <w:tcPr>
            <w:tcW w:w="4120" w:type="dxa"/>
            <w:vAlign w:val="bottom"/>
            <w:gridSpan w:val="4"/>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0F7C7F"/>
              </w:rPr>
              <w:t>60</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shd w:val="clear" w:color="auto" w:fill="0F7C7F"/>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828282"/>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Stockholders and the Board of Directors of Molina Healthcare, Inc.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have audited the accompanying consolidated balance sheets of Molina Healthcare, Inc. (the “Company”) as of December 31, 2024 and 2023, the related consolidated statements of income,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11, 2025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9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80"/>
          </w:cols>
          <w:pgMar w:left="300" w:top="814" w:right="319" w:bottom="1440" w:gutter="0" w:footer="0" w:header="0"/>
        </w:sectPr>
      </w:pPr>
    </w:p>
    <w:p>
      <w:pPr>
        <w:spacing w:after="0" w:line="341" w:lineRule="exact"/>
        <w:rPr>
          <w:sz w:val="20"/>
          <w:szCs w:val="20"/>
          <w:color w:val="auto"/>
        </w:rPr>
      </w:pPr>
    </w:p>
    <w:p>
      <w:pPr>
        <w:ind w:left="20" w:right="40"/>
        <w:spacing w:after="0" w:line="239" w:lineRule="auto"/>
        <w:rPr>
          <w:sz w:val="20"/>
          <w:szCs w:val="20"/>
          <w:color w:val="auto"/>
        </w:rPr>
      </w:pPr>
      <w:r>
        <w:rPr>
          <w:rFonts w:ascii="Arial" w:cs="Arial" w:eastAsia="Arial" w:hAnsi="Arial"/>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Incurred but not paid (IBNP) claims reserves</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As of December 31, 2024, the Company’s liability for fee-for-service claims incurred but not paid (“IBNP”) comprised $3,085 million of the $4,640 million of Medical Claims and Benefits Payable. As described in Note 10 to the consolidated financial statements, the Company’s IBNP liability is determined using actuarial methods that include a number of factors and assumptions, including completion factors, which seek to measure the cumulative percentage of claims expense that will be paid for a given month of service as of the reporting date, based on historical payment patterns, and assumed health care cost trend factors, which represent an estimate of claims expense based on recent claims expense levels and healthcare cost levels. There is significant uncertainty inherent in determining management’s best estimate of completion and trend factors, which are used to calculate actuarial estimates of incurred but not paid claims.</w:t>
      </w:r>
    </w:p>
    <w:p>
      <w:pPr>
        <w:spacing w:after="0" w:line="200" w:lineRule="exact"/>
        <w:rPr>
          <w:sz w:val="20"/>
          <w:szCs w:val="20"/>
          <w:color w:val="auto"/>
        </w:rPr>
      </w:pPr>
    </w:p>
    <w:p>
      <w:pPr>
        <w:sectPr>
          <w:pgSz w:w="11900" w:h="16838" w:orient="portrait"/>
          <w:cols w:equalWidth="0" w:num="2">
            <w:col w:w="1160" w:space="720"/>
            <w:col w:w="9400"/>
          </w:cols>
          <w:pgMar w:left="300" w:top="814" w:right="319" w:bottom="1440" w:gutter="0" w:footer="0" w:header="0"/>
          <w:type w:val="continuous"/>
        </w:sectPr>
      </w:pPr>
    </w:p>
    <w:p>
      <w:pPr>
        <w:spacing w:after="0" w:line="356"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Molina Healthcare, Inc. 2024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line="239"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60"/>
        <w:spacing w:after="0" w:line="265" w:lineRule="auto"/>
        <w:rPr>
          <w:sz w:val="20"/>
          <w:szCs w:val="20"/>
          <w:color w:val="auto"/>
        </w:rPr>
      </w:pPr>
      <w:r>
        <w:rPr>
          <w:rFonts w:ascii="Arial" w:cs="Arial" w:eastAsia="Arial" w:hAnsi="Arial"/>
          <w:sz w:val="14"/>
          <w:szCs w:val="14"/>
          <w:color w:val="auto"/>
        </w:rPr>
        <w:t>Auditing management's estimate of the IBNP liability was complex and required the involvement of our actuarial specialists due to the highly judgmental nature of the completion factors and healthcare cost trend assumptions used in the valuation process. The significant judgment was primarily due to the sensitivity of management's best estimate of completion factors and healthcare cost trend assumptions, which have a significant impact on the valuation of the IBNP liability.</w:t>
      </w:r>
    </w:p>
    <w:p>
      <w:pPr>
        <w:spacing w:after="0" w:line="53"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We obtained an understanding, evaluated the design, and tested the operating effectiveness of the Company’s controls over the process for estimating the IBNP liability. This included testing management review controls over completion factors and healthcare cost trend assumptions, and management’s review and approval of actuarial methods used to calculate the IBNP liability, including the data inputs and outputs of those models.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To test the IBNP liability,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 With the assistance of actuarial specialists, we (1) analyzed the Company’s completion and trend factor assumptions based on historical claim experience and healthcare cost trends by independently calculating a range of reasonable reserve estimates for comparison to management’s best estimate of the liability for incurred but not paid claims and (2) performed a review of the prior period IBNP liabilities for incurred but not paid claims using subsequent claims development. Additionally, we reviewed and evaluated management’s disclosures surrounding the IBNP liability.</w:t>
      </w:r>
    </w:p>
    <w:p>
      <w:pPr>
        <w:spacing w:after="0" w:line="200" w:lineRule="exact"/>
        <w:rPr>
          <w:sz w:val="20"/>
          <w:szCs w:val="20"/>
          <w:color w:val="auto"/>
        </w:rPr>
      </w:pPr>
    </w:p>
    <w:p>
      <w:pPr>
        <w:sectPr>
          <w:pgSz w:w="11900" w:h="16838" w:orient="portrait"/>
          <w:cols w:equalWidth="0" w:num="2">
            <w:col w:w="1460" w:space="420"/>
            <w:col w:w="9400"/>
          </w:cols>
          <w:pgMar w:left="300" w:top="857"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2000.</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11, 2025</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color w:val="0F7C7F"/>
        </w:rPr>
        <w:t>CONSOLIDATED STATEMENTS OF INCOME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92"/>
        </w:trPr>
        <w:tc>
          <w:tcPr>
            <w:tcW w:w="6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gridSpan w:val="6"/>
          </w:tcPr>
          <w:p>
            <w:pPr>
              <w:jc w:val="right"/>
              <w:ind w:right="156"/>
              <w:spacing w:after="0"/>
              <w:rPr>
                <w:sz w:val="20"/>
                <w:szCs w:val="20"/>
                <w:color w:val="auto"/>
              </w:rPr>
            </w:pPr>
            <w:r>
              <w:rPr>
                <w:rFonts w:ascii="Arial" w:cs="Arial" w:eastAsia="Arial" w:hAnsi="Arial"/>
                <w:sz w:val="11"/>
                <w:szCs w:val="11"/>
                <w:b w:val="1"/>
                <w:bCs w:val="1"/>
                <w:color w:val="auto"/>
              </w:rPr>
              <w:t>(In millions, except per-share data)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00" w:type="dxa"/>
            <w:vAlign w:val="bottom"/>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38,627</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32,529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30,883</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 tax revenue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Investment income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9"/>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40,650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31,974</w:t>
            </w:r>
          </w:p>
        </w:tc>
        <w:tc>
          <w:tcPr>
            <w:tcW w:w="0" w:type="dxa"/>
            <w:vAlign w:val="bottom"/>
          </w:tcPr>
          <w:p>
            <w:pPr>
              <w:spacing w:after="0"/>
              <w:rPr>
                <w:sz w:val="1"/>
                <w:szCs w:val="1"/>
                <w:color w:val="auto"/>
              </w:rPr>
            </w:pPr>
          </w:p>
        </w:tc>
      </w:tr>
      <w:tr>
        <w:trPr>
          <w:trHeight w:val="151"/>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34,428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27,175</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0" w:type="dxa"/>
            <w:vAlign w:val="bottom"/>
          </w:tcPr>
          <w:p>
            <w:pPr>
              <w:spacing w:after="0"/>
              <w:rPr>
                <w:sz w:val="1"/>
                <w:szCs w:val="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Premium tax expenses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Impairment</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9"/>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38,943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32,499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30,801</w:t>
            </w:r>
          </w:p>
        </w:tc>
        <w:tc>
          <w:tcPr>
            <w:tcW w:w="0" w:type="dxa"/>
            <w:vAlign w:val="bottom"/>
          </w:tcPr>
          <w:p>
            <w:pPr>
              <w:spacing w:after="0"/>
              <w:rPr>
                <w:sz w:val="1"/>
                <w:szCs w:val="1"/>
                <w:color w:val="auto"/>
              </w:rPr>
            </w:pPr>
          </w:p>
        </w:tc>
      </w:tr>
      <w:tr>
        <w:trPr>
          <w:trHeight w:val="16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159"/>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 expense</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8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per share: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0" w:type="dxa"/>
            <w:vAlign w:val="bottom"/>
          </w:tcPr>
          <w:p>
            <w:pPr>
              <w:ind w:left="18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20.52</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Weighted average shares outstanding:</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8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800" w:type="dxa"/>
            <w:vAlign w:val="bottom"/>
          </w:tcPr>
          <w:p>
            <w:pPr>
              <w:ind w:left="180"/>
              <w:spacing w:after="0" w:line="133" w:lineRule="exact"/>
              <w:rPr>
                <w:sz w:val="20"/>
                <w:szCs w:val="20"/>
                <w:color w:val="auto"/>
              </w:rPr>
            </w:pPr>
            <w:r>
              <w:rPr>
                <w:rFonts w:ascii="Arial" w:cs="Arial" w:eastAsia="Arial" w:hAnsi="Arial"/>
                <w:sz w:val="13"/>
                <w:szCs w:val="13"/>
                <w:color w:val="auto"/>
              </w:rPr>
              <w:t>Diluted</w:t>
            </w: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57.7</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58.1</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COMPREHENSIVE INCOME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800" w:type="dxa"/>
            <w:vAlign w:val="bottom"/>
          </w:tcPr>
          <w:p>
            <w:pPr>
              <w:spacing w:after="0"/>
              <w:rPr>
                <w:sz w:val="13"/>
                <w:szCs w:val="1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92"/>
        </w:trPr>
        <w:tc>
          <w:tcPr>
            <w:tcW w:w="6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Other comprehensive income (loss):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investment income (loss)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9"/>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effect of income taxes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160"/>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9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62"/>
        </w:trPr>
        <w:tc>
          <w:tcPr>
            <w:tcW w:w="68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940" w:type="dxa"/>
            <w:vAlign w:val="bottom"/>
            <w:tcBorders>
              <w:bottom w:val="single" w:sz="8" w:color="auto"/>
            </w:tcBorders>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w:t>
            </w:r>
          </w:p>
        </w:tc>
      </w:tr>
      <w:tr>
        <w:trPr>
          <w:trHeight w:val="20"/>
        </w:trPr>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accompanying notes.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0F7C7F"/>
        </w:rPr>
        <w:t>CONSOLIDATED BALANCE SHEETS</w:t>
      </w:r>
    </w:p>
    <w:p>
      <w:pPr>
        <w:spacing w:after="0" w:line="127"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796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jc w:val="both"/>
        <w:ind w:left="8900"/>
        <w:spacing w:after="0"/>
        <w:tabs>
          <w:tab w:leader="none" w:pos="1040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796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Receivables</w:t>
      </w:r>
    </w:p>
    <w:p>
      <w:pPr>
        <w:spacing w:after="0" w:line="20" w:lineRule="exact"/>
        <w:rPr>
          <w:sz w:val="20"/>
          <w:szCs w:val="20"/>
          <w:color w:val="auto"/>
        </w:rPr>
      </w:pPr>
    </w:p>
    <w:p>
      <w:pPr>
        <w:ind w:left="440" w:right="880" w:hanging="158"/>
        <w:spacing w:after="0" w:line="281" w:lineRule="auto"/>
        <w:rPr>
          <w:sz w:val="20"/>
          <w:szCs w:val="20"/>
          <w:color w:val="auto"/>
        </w:rPr>
      </w:pPr>
      <w:r>
        <w:rPr>
          <w:rFonts w:ascii="Arial" w:cs="Arial" w:eastAsia="Arial" w:hAnsi="Arial"/>
          <w:sz w:val="13"/>
          <w:szCs w:val="13"/>
          <w:color w:val="auto"/>
        </w:rPr>
        <w:t>Prepaid expenses and other current assets Total current assets</w:t>
      </w: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investments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gridSpan w:val="3"/>
          </w:tcPr>
          <w:p>
            <w:pPr>
              <w:jc w:val="right"/>
              <w:ind w:right="296"/>
              <w:spacing w:after="0"/>
              <w:rPr>
                <w:sz w:val="20"/>
                <w:szCs w:val="20"/>
                <w:color w:val="auto"/>
              </w:rPr>
            </w:pPr>
            <w:r>
              <w:rPr>
                <w:rFonts w:ascii="Arial" w:cs="Arial" w:eastAsia="Arial" w:hAnsi="Arial"/>
                <w:sz w:val="11"/>
                <w:szCs w:val="11"/>
                <w:b w:val="1"/>
                <w:bCs w:val="1"/>
                <w:color w:val="auto"/>
              </w:rPr>
              <w:t>(Dollars in millions,</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340" w:type="dxa"/>
            <w:vAlign w:val="bottom"/>
            <w:gridSpan w:val="2"/>
            <w:vMerge w:val="restart"/>
          </w:tcPr>
          <w:p>
            <w:pPr>
              <w:jc w:val="right"/>
              <w:ind w:right="2840"/>
              <w:spacing w:after="0"/>
              <w:rPr>
                <w:sz w:val="20"/>
                <w:szCs w:val="20"/>
                <w:color w:val="auto"/>
              </w:rPr>
            </w:pPr>
            <w:r>
              <w:rPr>
                <w:rFonts w:ascii="Arial" w:cs="Arial" w:eastAsia="Arial" w:hAnsi="Arial"/>
                <w:sz w:val="13"/>
                <w:szCs w:val="13"/>
                <w:b w:val="1"/>
                <w:bCs w:val="1"/>
                <w:color w:val="auto"/>
                <w:w w:val="92"/>
              </w:rPr>
              <w:t>ASSETS</w:t>
            </w:r>
          </w:p>
        </w:tc>
        <w:tc>
          <w:tcPr>
            <w:tcW w:w="1940" w:type="dxa"/>
            <w:vAlign w:val="bottom"/>
            <w:gridSpan w:val="3"/>
          </w:tcPr>
          <w:p>
            <w:pPr>
              <w:jc w:val="right"/>
              <w:ind w:right="96"/>
              <w:spacing w:after="0"/>
              <w:rPr>
                <w:sz w:val="20"/>
                <w:szCs w:val="20"/>
                <w:color w:val="auto"/>
              </w:rPr>
            </w:pPr>
            <w:r>
              <w:rPr>
                <w:rFonts w:ascii="Arial" w:cs="Arial" w:eastAsia="Arial" w:hAnsi="Arial"/>
                <w:sz w:val="11"/>
                <w:szCs w:val="11"/>
                <w:b w:val="1"/>
                <w:bCs w:val="1"/>
                <w:color w:val="auto"/>
              </w:rPr>
              <w:t>except per-share amounts)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3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4,662</w:t>
            </w:r>
          </w:p>
        </w:tc>
        <w:tc>
          <w:tcPr>
            <w:tcW w:w="80" w:type="dxa"/>
            <w:vAlign w:val="bottom"/>
          </w:tcPr>
          <w:p>
            <w:pPr>
              <w:spacing w:after="0"/>
              <w:rPr>
                <w:sz w:val="24"/>
                <w:szCs w:val="24"/>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4,848</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4,325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4,259</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3,299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3,104</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12,773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12,542</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1,449</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60"/>
        </w:trPr>
        <w:tc>
          <w:tcPr>
            <w:tcW w:w="33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15,630</w:t>
            </w:r>
          </w:p>
        </w:tc>
        <w:tc>
          <w:tcPr>
            <w:tcW w:w="80" w:type="dxa"/>
            <w:vAlign w:val="bottom"/>
          </w:tcPr>
          <w:p>
            <w:pPr>
              <w:spacing w:after="0"/>
              <w:rPr>
                <w:sz w:val="13"/>
                <w:szCs w:val="13"/>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14,892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-1441450</wp:posOffset>
            </wp:positionV>
            <wp:extent cx="7148195" cy="107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-1225550</wp:posOffset>
            </wp:positionV>
            <wp:extent cx="7148195"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-1009650</wp:posOffset>
            </wp:positionV>
            <wp:extent cx="7148195"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-794385</wp:posOffset>
            </wp:positionV>
            <wp:extent cx="7148195" cy="114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-572135</wp:posOffset>
            </wp:positionV>
            <wp:extent cx="7148195"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-356235</wp:posOffset>
            </wp:positionV>
            <wp:extent cx="7148195" cy="107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-140970</wp:posOffset>
            </wp:positionV>
            <wp:extent cx="7148195"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114300</wp:posOffset>
            </wp:positionV>
            <wp:extent cx="7148195"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4" w:lineRule="exact"/>
        <w:rPr>
          <w:sz w:val="20"/>
          <w:szCs w:val="20"/>
          <w:color w:val="auto"/>
        </w:rPr>
      </w:pPr>
    </w:p>
    <w:p>
      <w:pPr>
        <w:sectPr>
          <w:pgSz w:w="11900" w:h="16838" w:orient="portrait"/>
          <w:cols w:equalWidth="0" w:num="2">
            <w:col w:w="3580" w:space="720"/>
            <w:col w:w="6980"/>
          </w:cols>
          <w:pgMar w:left="300" w:top="850"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8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Medical claims and benefits payable</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Amounts due government agencies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2,294</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 accrued liabilities and other</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Deferred revenue</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current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8,168</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2,180</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11,134</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0" w:type="dxa"/>
            <w:vAlign w:val="bottom"/>
          </w:tcPr>
          <w:p>
            <w:pPr>
              <w:spacing w:after="0"/>
              <w:rPr>
                <w:sz w:val="1"/>
                <w:szCs w:val="1"/>
                <w:color w:val="auto"/>
              </w:rPr>
            </w:pPr>
          </w:p>
        </w:tc>
      </w:tr>
      <w:tr>
        <w:trPr>
          <w:trHeight w:val="149"/>
        </w:trPr>
        <w:tc>
          <w:tcPr>
            <w:tcW w:w="8300" w:type="dxa"/>
            <w:vAlign w:val="bottom"/>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300" w:type="dxa"/>
            <w:vAlign w:val="bottom"/>
            <w:shd w:val="clear" w:color="auto" w:fill="CCEEFF"/>
          </w:tcPr>
          <w:p>
            <w:pPr>
              <w:ind w:left="280"/>
              <w:spacing w:after="0" w:line="129" w:lineRule="exact"/>
              <w:rPr>
                <w:sz w:val="20"/>
                <w:szCs w:val="20"/>
                <w:color w:val="auto"/>
              </w:rPr>
            </w:pPr>
            <w:r>
              <w:rPr>
                <w:rFonts w:ascii="Arial" w:cs="Arial" w:eastAsia="Arial" w:hAnsi="Arial"/>
                <w:sz w:val="13"/>
                <w:szCs w:val="13"/>
                <w:color w:val="auto"/>
              </w:rPr>
              <w:t>Common stock, $0.001 par value per share; 150 million shares authorized; outstanding: 56 million shares at December 31, 2024, and 58</w:t>
            </w:r>
          </w:p>
        </w:tc>
        <w:tc>
          <w:tcPr>
            <w:tcW w:w="5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million at December 31, 2023</w:t>
            </w:r>
          </w:p>
        </w:tc>
        <w:tc>
          <w:tcPr>
            <w:tcW w:w="5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Preferred stock, $0.001 par value per share; 20 million shares authorized, no shares issued and outstanding</w:t>
            </w:r>
          </w:p>
        </w:tc>
        <w:tc>
          <w:tcPr>
            <w:tcW w:w="5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Accumulated other comprehensive loss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Retained earnings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5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color w:val="0F7C7F"/>
        </w:rPr>
        <w:t>CONSOLIDATED STATEMENTS OF STOCKHOLDERS’ EQUITY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20" w:type="dxa"/>
            <w:vAlign w:val="bottom"/>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220" w:type="dxa"/>
            <w:vAlign w:val="bottom"/>
          </w:tcPr>
          <w:p>
            <w:pPr>
              <w:spacing w:after="0"/>
              <w:rPr>
                <w:sz w:val="7"/>
                <w:szCs w:val="7"/>
                <w:color w:val="auto"/>
              </w:rPr>
            </w:pPr>
          </w:p>
        </w:tc>
        <w:tc>
          <w:tcPr>
            <w:tcW w:w="120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Outstanding</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tcPr>
          <w:p>
            <w:pPr>
              <w:jc w:val="center"/>
              <w:ind w:right="260"/>
              <w:spacing w:after="0" w:line="86" w:lineRule="exact"/>
              <w:rPr>
                <w:sz w:val="20"/>
                <w:szCs w:val="20"/>
                <w:color w:val="auto"/>
              </w:rPr>
            </w:pPr>
            <w:r>
              <w:rPr>
                <w:rFonts w:ascii="Arial" w:cs="Arial" w:eastAsia="Arial" w:hAnsi="Arial"/>
                <w:sz w:val="9"/>
                <w:szCs w:val="9"/>
                <w:b w:val="1"/>
                <w:bCs w:val="1"/>
                <w:color w:val="auto"/>
              </w:rPr>
              <w:t>Paid-in</w:t>
            </w:r>
          </w:p>
        </w:tc>
        <w:tc>
          <w:tcPr>
            <w:tcW w:w="140" w:type="dxa"/>
            <w:vAlign w:val="bottom"/>
          </w:tcPr>
          <w:p>
            <w:pPr>
              <w:spacing w:after="0"/>
              <w:rPr>
                <w:sz w:val="7"/>
                <w:szCs w:val="7"/>
                <w:color w:val="auto"/>
              </w:rPr>
            </w:pPr>
          </w:p>
        </w:tc>
        <w:tc>
          <w:tcPr>
            <w:tcW w:w="1600" w:type="dxa"/>
            <w:vAlign w:val="bottom"/>
            <w:gridSpan w:val="2"/>
          </w:tcPr>
          <w:p>
            <w:pPr>
              <w:jc w:val="center"/>
              <w:ind w:right="220"/>
              <w:spacing w:after="0" w:line="86" w:lineRule="exact"/>
              <w:rPr>
                <w:sz w:val="20"/>
                <w:szCs w:val="20"/>
                <w:color w:val="auto"/>
              </w:rPr>
            </w:pPr>
            <w:r>
              <w:rPr>
                <w:rFonts w:ascii="Arial" w:cs="Arial" w:eastAsia="Arial" w:hAnsi="Arial"/>
                <w:sz w:val="9"/>
                <w:szCs w:val="9"/>
                <w:b w:val="1"/>
                <w:bCs w:val="1"/>
                <w:color w:val="auto"/>
              </w:rPr>
              <w:t>Comprehensive (Loss)</w:t>
            </w:r>
          </w:p>
        </w:tc>
        <w:tc>
          <w:tcPr>
            <w:tcW w:w="160" w:type="dxa"/>
            <w:vAlign w:val="bottom"/>
          </w:tcPr>
          <w:p>
            <w:pPr>
              <w:spacing w:after="0"/>
              <w:rPr>
                <w:sz w:val="7"/>
                <w:szCs w:val="7"/>
                <w:color w:val="auto"/>
              </w:rPr>
            </w:pPr>
          </w:p>
        </w:tc>
        <w:tc>
          <w:tcPr>
            <w:tcW w:w="86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Retained</w:t>
            </w:r>
          </w:p>
        </w:tc>
        <w:tc>
          <w:tcPr>
            <w:tcW w:w="200" w:type="dxa"/>
            <w:vAlign w:val="bottom"/>
          </w:tcPr>
          <w:p>
            <w:pPr>
              <w:spacing w:after="0"/>
              <w:rPr>
                <w:sz w:val="7"/>
                <w:szCs w:val="7"/>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ind w:left="78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w:t>
            </w:r>
          </w:p>
        </w:tc>
        <w:tc>
          <w:tcPr>
            <w:tcW w:w="0" w:type="dxa"/>
            <w:vAlign w:val="bottom"/>
          </w:tcPr>
          <w:p>
            <w:pPr>
              <w:spacing w:after="0"/>
              <w:rPr>
                <w:sz w:val="1"/>
                <w:szCs w:val="1"/>
                <w:color w:val="auto"/>
              </w:rPr>
            </w:pPr>
          </w:p>
        </w:tc>
      </w:tr>
      <w:tr>
        <w:trPr>
          <w:trHeight w:val="169"/>
        </w:trPr>
        <w:tc>
          <w:tcPr>
            <w:tcW w:w="422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purchases</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9"/>
        </w:trPr>
        <w:tc>
          <w:tcPr>
            <w:tcW w:w="4220" w:type="dxa"/>
            <w:vAlign w:val="bottom"/>
          </w:tcPr>
          <w:p>
            <w:pPr>
              <w:ind w:left="100"/>
              <w:spacing w:after="0"/>
              <w:rPr>
                <w:sz w:val="20"/>
                <w:szCs w:val="20"/>
                <w:color w:val="auto"/>
              </w:rPr>
            </w:pPr>
            <w:r>
              <w:rPr>
                <w:rFonts w:ascii="Arial" w:cs="Arial" w:eastAsia="Arial" w:hAnsi="Arial"/>
                <w:sz w:val="13"/>
                <w:szCs w:val="13"/>
                <w:color w:val="auto"/>
              </w:rPr>
              <w:t>Other comprehensive loss, net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9"/>
        </w:trPr>
        <w:tc>
          <w:tcPr>
            <w:tcW w:w="422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120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69"/>
        </w:trPr>
        <w:tc>
          <w:tcPr>
            <w:tcW w:w="4220" w:type="dxa"/>
            <w:vAlign w:val="bottom"/>
          </w:tcPr>
          <w:p>
            <w:pPr>
              <w:ind w:left="100"/>
              <w:spacing w:after="0"/>
              <w:rPr>
                <w:sz w:val="20"/>
                <w:szCs w:val="20"/>
                <w:color w:val="auto"/>
              </w:rPr>
            </w:pPr>
            <w:r>
              <w:rPr>
                <w:rFonts w:ascii="Arial" w:cs="Arial" w:eastAsia="Arial" w:hAnsi="Arial"/>
                <w:sz w:val="13"/>
                <w:szCs w:val="13"/>
                <w:color w:val="auto"/>
              </w:rPr>
              <w:t>Other comprehensive income, net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9"/>
        </w:trPr>
        <w:tc>
          <w:tcPr>
            <w:tcW w:w="4220" w:type="dxa"/>
            <w:vAlign w:val="bottom"/>
          </w:tcPr>
          <w:p>
            <w:pPr>
              <w:ind w:left="20"/>
              <w:spacing w:after="0"/>
              <w:rPr>
                <w:sz w:val="20"/>
                <w:szCs w:val="20"/>
                <w:color w:val="auto"/>
              </w:rPr>
            </w:pPr>
            <w:r>
              <w:rPr>
                <w:rFonts w:ascii="Arial" w:cs="Arial" w:eastAsia="Arial" w:hAnsi="Arial"/>
                <w:sz w:val="13"/>
                <w:szCs w:val="13"/>
                <w:color w:val="auto"/>
              </w:rPr>
              <w:t>Balance at December 31, 2023</w:t>
            </w:r>
          </w:p>
        </w:tc>
        <w:tc>
          <w:tcPr>
            <w:tcW w:w="120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0" w:type="dxa"/>
            <w:vAlign w:val="bottom"/>
          </w:tcPr>
          <w:p>
            <w:pPr>
              <w:spacing w:after="0"/>
              <w:rPr>
                <w:sz w:val="1"/>
                <w:szCs w:val="1"/>
                <w:color w:val="auto"/>
              </w:rPr>
            </w:pPr>
          </w:p>
        </w:tc>
      </w:tr>
      <w:tr>
        <w:trPr>
          <w:trHeight w:val="169"/>
        </w:trPr>
        <w:tc>
          <w:tcPr>
            <w:tcW w:w="4220" w:type="dxa"/>
            <w:vAlign w:val="bottom"/>
          </w:tcPr>
          <w:p>
            <w:pPr>
              <w:ind w:left="100"/>
              <w:spacing w:after="0"/>
              <w:rPr>
                <w:sz w:val="20"/>
                <w:szCs w:val="20"/>
                <w:color w:val="auto"/>
              </w:rPr>
            </w:pPr>
            <w:r>
              <w:rPr>
                <w:rFonts w:ascii="Arial" w:cs="Arial" w:eastAsia="Arial" w:hAnsi="Arial"/>
                <w:sz w:val="13"/>
                <w:szCs w:val="13"/>
                <w:color w:val="auto"/>
              </w:rPr>
              <w:t>Common stock purchases</w:t>
            </w:r>
          </w:p>
        </w:tc>
        <w:tc>
          <w:tcPr>
            <w:tcW w:w="12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purchase excise tax</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4220" w:type="dxa"/>
            <w:vAlign w:val="bottom"/>
          </w:tcPr>
          <w:p>
            <w:pPr>
              <w:ind w:left="100"/>
              <w:spacing w:after="0"/>
              <w:rPr>
                <w:sz w:val="20"/>
                <w:szCs w:val="20"/>
                <w:color w:val="auto"/>
              </w:rPr>
            </w:pPr>
            <w:r>
              <w:rPr>
                <w:rFonts w:ascii="Arial" w:cs="Arial" w:eastAsia="Arial" w:hAnsi="Arial"/>
                <w:sz w:val="13"/>
                <w:szCs w:val="13"/>
                <w:color w:val="auto"/>
              </w:rPr>
              <w:t>Other comprehensive income, net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2"/>
        </w:trPr>
        <w:tc>
          <w:tcPr>
            <w:tcW w:w="4220" w:type="dxa"/>
            <w:vAlign w:val="bottom"/>
          </w:tcPr>
          <w:p>
            <w:pPr>
              <w:ind w:left="20"/>
              <w:spacing w:after="0"/>
              <w:rPr>
                <w:sz w:val="20"/>
                <w:szCs w:val="20"/>
                <w:color w:val="auto"/>
              </w:rPr>
            </w:pPr>
            <w:r>
              <w:rPr>
                <w:rFonts w:ascii="Arial" w:cs="Arial" w:eastAsia="Arial" w:hAnsi="Arial"/>
                <w:sz w:val="13"/>
                <w:szCs w:val="13"/>
                <w:color w:val="auto"/>
              </w:rPr>
              <w:t>Balance at December 31, 2024</w:t>
            </w:r>
          </w:p>
        </w:tc>
        <w:tc>
          <w:tcPr>
            <w:tcW w:w="12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4,091</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9" w:right="3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800" w:type="dxa"/>
            <w:vAlign w:val="bottom"/>
          </w:tcPr>
          <w:p>
            <w:pPr>
              <w:spacing w:after="0"/>
              <w:rPr>
                <w:sz w:val="13"/>
                <w:szCs w:val="1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r>
      <w:tr>
        <w:trPr>
          <w:trHeight w:val="182"/>
        </w:trPr>
        <w:tc>
          <w:tcPr>
            <w:tcW w:w="6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792</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Impairment</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 net of the effect of acquisitions: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Receivables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Medical claims and benefits payable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Amounts due government agencies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r>
      <w:tr>
        <w:trPr>
          <w:trHeight w:val="169"/>
        </w:trPr>
        <w:tc>
          <w:tcPr>
            <w:tcW w:w="6800" w:type="dxa"/>
            <w:vAlign w:val="bottom"/>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1"/>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revenue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Income taxes</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w:t>
            </w:r>
          </w:p>
        </w:tc>
      </w:tr>
      <w:tr>
        <w:trPr>
          <w:trHeight w:val="149"/>
        </w:trPr>
        <w:tc>
          <w:tcPr>
            <w:tcW w:w="6800" w:type="dxa"/>
            <w:vAlign w:val="bottom"/>
          </w:tcPr>
          <w:p>
            <w:pPr>
              <w:ind w:left="20"/>
              <w:spacing w:after="0" w:line="148" w:lineRule="exact"/>
              <w:rPr>
                <w:sz w:val="20"/>
                <w:szCs w:val="20"/>
                <w:color w:val="auto"/>
              </w:rPr>
            </w:pPr>
            <w:r>
              <w:rPr>
                <w:rFonts w:ascii="Arial" w:cs="Arial" w:eastAsia="Arial" w:hAnsi="Arial"/>
                <w:sz w:val="13"/>
                <w:szCs w:val="13"/>
                <w:color w:val="auto"/>
              </w:rPr>
              <w:t>Investing activities:</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investments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Proceeds from sales and maturities of investments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1,398</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paid in business combinations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Purchases of property, equipment and capitalized software</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59"/>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w:t>
            </w:r>
          </w:p>
        </w:tc>
      </w:tr>
      <w:tr>
        <w:trPr>
          <w:trHeight w:val="151"/>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Financing activities: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Common stock purchases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senior notes offerings, net of issuance costs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Proceeds from borrowings under credit facility</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credit facility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00" w:type="dxa"/>
            <w:vAlign w:val="bottom"/>
          </w:tcPr>
          <w:p>
            <w:pPr>
              <w:ind w:left="120"/>
              <w:spacing w:after="0"/>
              <w:rPr>
                <w:sz w:val="20"/>
                <w:szCs w:val="20"/>
                <w:color w:val="auto"/>
              </w:rPr>
            </w:pPr>
            <w:r>
              <w:rPr>
                <w:rFonts w:ascii="Arial" w:cs="Arial" w:eastAsia="Arial" w:hAnsi="Arial"/>
                <w:sz w:val="13"/>
                <w:szCs w:val="13"/>
                <w:color w:val="auto"/>
              </w:rPr>
              <w:t>Common stock withheld to settle employee tax obligations</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6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Contingent consideration liabilities settled</w:t>
            </w: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62"/>
        </w:trPr>
        <w:tc>
          <w:tcPr>
            <w:tcW w:w="6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used in financing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r>
      <w:tr>
        <w:trPr>
          <w:trHeight w:val="159"/>
        </w:trPr>
        <w:tc>
          <w:tcPr>
            <w:tcW w:w="680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 and cash equivalents</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(458)</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and cash equivalents at beginning of period</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r>
      <w:tr>
        <w:trPr>
          <w:trHeight w:val="162"/>
        </w:trPr>
        <w:tc>
          <w:tcPr>
            <w:tcW w:w="680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and cash equivalents at end of period</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4,048</w:t>
            </w:r>
          </w:p>
        </w:tc>
      </w:tr>
      <w:tr>
        <w:trPr>
          <w:trHeight w:val="20"/>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9" w:right="3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800" w:type="dxa"/>
            <w:vAlign w:val="bottom"/>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r>
      <w:tr>
        <w:trPr>
          <w:trHeight w:val="182"/>
        </w:trPr>
        <w:tc>
          <w:tcPr>
            <w:tcW w:w="6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Income taxes, net</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6800" w:type="dxa"/>
            <w:vAlign w:val="bottom"/>
          </w:tcPr>
          <w:p>
            <w:pPr>
              <w:ind w:left="120"/>
              <w:spacing w:after="0" w:line="133" w:lineRule="exact"/>
              <w:rPr>
                <w:sz w:val="20"/>
                <w:szCs w:val="20"/>
                <w:color w:val="auto"/>
              </w:rPr>
            </w:pPr>
            <w:r>
              <w:rPr>
                <w:rFonts w:ascii="Arial" w:cs="Arial" w:eastAsia="Arial" w:hAnsi="Arial"/>
                <w:sz w:val="13"/>
                <w:szCs w:val="13"/>
                <w:color w:val="auto"/>
              </w:rPr>
              <w:t>Interest</w:t>
            </w:r>
          </w:p>
        </w:tc>
        <w:tc>
          <w:tcPr>
            <w:tcW w:w="1000" w:type="dxa"/>
            <w:vAlign w:val="bottom"/>
            <w:tcBorders>
              <w:bottom w:val="single" w:sz="8" w:color="auto"/>
            </w:tcBorders>
          </w:tcPr>
          <w:p>
            <w:pPr>
              <w:jc w:val="right"/>
              <w:ind w:right="859"/>
              <w:spacing w:after="0" w:line="133"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121</w:t>
            </w:r>
          </w:p>
        </w:tc>
        <w:tc>
          <w:tcPr>
            <w:tcW w:w="100" w:type="dxa"/>
            <w:vAlign w:val="bottom"/>
          </w:tcPr>
          <w:p>
            <w:pPr>
              <w:spacing w:after="0"/>
              <w:rPr>
                <w:sz w:val="11"/>
                <w:szCs w:val="11"/>
                <w:color w:val="auto"/>
              </w:rPr>
            </w:pPr>
          </w:p>
        </w:tc>
        <w:tc>
          <w:tcPr>
            <w:tcW w:w="24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108</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108</w:t>
            </w:r>
          </w:p>
        </w:tc>
      </w:tr>
      <w:tr>
        <w:trPr>
          <w:trHeight w:val="20"/>
        </w:trPr>
        <w:tc>
          <w:tcPr>
            <w:tcW w:w="6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9" w:right="31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0F7C7F"/>
        </w:rPr>
        <w:t>NOTES TO CONSOLIDATED FINANCIAL STATEMENTS</w:t>
      </w:r>
    </w:p>
    <w:p>
      <w:pPr>
        <w:spacing w:after="0" w:line="87" w:lineRule="exact"/>
        <w:rPr>
          <w:sz w:val="20"/>
          <w:szCs w:val="20"/>
          <w:color w:val="auto"/>
        </w:rPr>
      </w:pPr>
    </w:p>
    <w:p>
      <w:pPr>
        <w:ind w:right="8480" w:firstLine="5"/>
        <w:spacing w:after="0" w:line="379" w:lineRule="auto"/>
        <w:tabs>
          <w:tab w:leader="none" w:pos="157" w:val="left"/>
        </w:tabs>
        <w:numPr>
          <w:ilvl w:val="0"/>
          <w:numId w:val="27"/>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Organization and Basis of Presentation </w:t>
      </w:r>
      <w:r>
        <w:rPr>
          <w:rFonts w:ascii="Arial" w:cs="Arial" w:eastAsia="Arial" w:hAnsi="Arial"/>
          <w:sz w:val="14"/>
          <w:szCs w:val="14"/>
          <w:b w:val="1"/>
          <w:bCs w:val="1"/>
          <w:i w:val="1"/>
          <w:iCs w:val="1"/>
          <w:color w:val="000000"/>
        </w:rPr>
        <w:t>Organization and Operations</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Molina Healthcare, Inc.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currently have four reportable segments consisting of: 1) Medicaid; 2) Medicare; 3) Marketplace; and 4) Other. Our reportable segments are consistent with how we currently manage the business and view the markets we serve.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we served approximately 5.5 million members eligible for government-sponsored healthcare programs, located across 21 states.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49"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to three years.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 Marketplace, we enter into contracts with CMS, which end on December 31 of each year and must be renewed annually.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and Presentation</w:t>
      </w:r>
    </w:p>
    <w:p>
      <w:pPr>
        <w:spacing w:after="0" w:line="9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2"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25" w:lineRule="exact"/>
        <w:rPr>
          <w:sz w:val="20"/>
          <w:szCs w:val="20"/>
          <w:color w:val="auto"/>
        </w:rPr>
      </w:pPr>
    </w:p>
    <w:p>
      <w:pPr>
        <w:ind w:right="9000" w:firstLine="5"/>
        <w:spacing w:after="0" w:line="379" w:lineRule="auto"/>
        <w:tabs>
          <w:tab w:leader="none" w:pos="157" w:val="left"/>
        </w:tabs>
        <w:numPr>
          <w:ilvl w:val="0"/>
          <w:numId w:val="28"/>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Significant Accounting Policies </w:t>
      </w:r>
      <w:r>
        <w:rPr>
          <w:rFonts w:ascii="Arial" w:cs="Arial" w:eastAsia="Arial" w:hAnsi="Arial"/>
          <w:sz w:val="14"/>
          <w:szCs w:val="14"/>
          <w:b w:val="1"/>
          <w:bCs w:val="1"/>
          <w:i w:val="1"/>
          <w:iCs w:val="1"/>
          <w:color w:val="000000"/>
        </w:rPr>
        <w:t>Cash and Cash Equivalents</w:t>
      </w:r>
    </w:p>
    <w:p>
      <w:pPr>
        <w:spacing w:after="0" w:line="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5"/>
        </w:trPr>
        <w:tc>
          <w:tcPr>
            <w:tcW w:w="74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4,006</w:t>
            </w:r>
          </w:p>
        </w:tc>
        <w:tc>
          <w:tcPr>
            <w:tcW w:w="0" w:type="dxa"/>
            <w:vAlign w:val="bottom"/>
          </w:tcPr>
          <w:p>
            <w:pPr>
              <w:spacing w:after="0"/>
              <w:rPr>
                <w:sz w:val="1"/>
                <w:szCs w:val="1"/>
                <w:color w:val="auto"/>
              </w:rPr>
            </w:pPr>
          </w:p>
        </w:tc>
      </w:tr>
      <w:tr>
        <w:trPr>
          <w:trHeight w:val="16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09"/>
        </w:trPr>
        <w:tc>
          <w:tcPr>
            <w:tcW w:w="7440" w:type="dxa"/>
            <w:vAlign w:val="bottom"/>
            <w:shd w:val="clear" w:color="auto" w:fill="CCEEFF"/>
          </w:tcPr>
          <w:p>
            <w:pPr>
              <w:ind w:left="280"/>
              <w:spacing w:after="0" w:line="109" w:lineRule="exact"/>
              <w:rPr>
                <w:sz w:val="20"/>
                <w:szCs w:val="20"/>
                <w:color w:val="auto"/>
              </w:rPr>
            </w:pPr>
            <w:r>
              <w:rPr>
                <w:rFonts w:ascii="Arial" w:cs="Arial" w:eastAsia="Arial" w:hAnsi="Arial"/>
                <w:sz w:val="12"/>
                <w:szCs w:val="12"/>
                <w:color w:val="auto"/>
              </w:rPr>
              <w:t>Total cash and cash equivalents, and restricted cash and cash equivalents presented in the consolidated statements of cash</w:t>
            </w:r>
          </w:p>
        </w:tc>
        <w:tc>
          <w:tcPr>
            <w:tcW w:w="800" w:type="dxa"/>
            <w:vAlign w:val="bottom"/>
            <w:vMerge w:val="restart"/>
            <w:shd w:val="clear" w:color="auto" w:fill="CCEEFF"/>
          </w:tcPr>
          <w:p>
            <w:pPr>
              <w:jc w:val="right"/>
              <w:ind w:right="659"/>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4,741</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4,048</w:t>
            </w:r>
          </w:p>
        </w:tc>
        <w:tc>
          <w:tcPr>
            <w:tcW w:w="0" w:type="dxa"/>
            <w:vAlign w:val="bottom"/>
          </w:tcPr>
          <w:p>
            <w:pPr>
              <w:spacing w:after="0"/>
              <w:rPr>
                <w:sz w:val="1"/>
                <w:szCs w:val="1"/>
                <w:color w:val="auto"/>
              </w:rPr>
            </w:pPr>
          </w:p>
        </w:tc>
      </w:tr>
      <w:tr>
        <w:trPr>
          <w:trHeight w:val="168"/>
        </w:trPr>
        <w:tc>
          <w:tcPr>
            <w:tcW w:w="7440" w:type="dxa"/>
            <w:vAlign w:val="bottom"/>
            <w:tcBorders>
              <w:bottom w:val="single" w:sz="8" w:color="CCEEFF"/>
            </w:tcBorders>
            <w:shd w:val="clear" w:color="auto" w:fill="CCEEFF"/>
          </w:tcPr>
          <w:p>
            <w:pPr>
              <w:ind w:left="400"/>
              <w:spacing w:after="0" w:line="149" w:lineRule="exact"/>
              <w:rPr>
                <w:sz w:val="20"/>
                <w:szCs w:val="20"/>
                <w:color w:val="auto"/>
              </w:rPr>
            </w:pPr>
            <w:r>
              <w:rPr>
                <w:rFonts w:ascii="Arial" w:cs="Arial" w:eastAsia="Arial" w:hAnsi="Arial"/>
                <w:sz w:val="13"/>
                <w:szCs w:val="13"/>
                <w:color w:val="auto"/>
              </w:rPr>
              <w:t>flows</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55"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investment policy requires that all of our investments have final maturities of less than 15 years, or less than 15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3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4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Accrued interest receivable relating to our AFS and HTM securities is presented within “Prepaid expenses and other current assets” in the accompanying consolidated balance sheets, and amounted to $56 million and $53 million at December 31, 2024, and 2023, respectively. We do not measure an allowance for credit losses on accrued interest receivable. Instead, we write off accrued interest receivable that has not been collected within 90 days of the interest payment due date. We recognize such write-offs as a reversal of investment income. No accrued interest was written off during the years ended December 31, 2024, 2023, and 2022.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Receivables</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Receivables consist primarily of premium amounts due from government agencies, which are subject to potential retroactive adjustments, as well as pharmacy rebates and other receivables. Government receivables amounted to $2,223 million and $2,354 million at December 31, 2024 and 2023, respectively. We apply the current expected credit loss model to measure expected credits losses on our receivables based on available information about past events, current conditions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account for business combinations using the acquisition method of accounting, which requires us to recognize the assets acquired and the liabilities assumed at their acquisition date fair values. As discussed below, the excess of the purchase consideration transferred over the fair value of the net tangible and intangible assets acquired is recorded as goodwill.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Measurement period adjustments are recorded in the period in which they are determined, as if they had been completed at the acquisition date. Upon the conclusion of the final determination of the values of assets acquired or liabilities assumed, or one year after the date of acquisition, whichever comes first, any subsequent adjustments are recorded within our consolidated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“Business Combinations,” and Note 9, “Goodwill and Intangible Assets, Net,” for further details.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i w:val="1"/>
          <w:iCs w:val="1"/>
          <w:color w:val="auto"/>
        </w:rPr>
        <w:t>Long-Lived Assets, including Intangible Assets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Long-lived assets consist primarily of property, equipment, capitalized software (see Note 7, “Property, Equipment, and Capitalized Software, Net”), and intangible assets resulting from acquisitions. Long-lived assets are subject to impairment tests when events or circumstances indicate that the asset’s (or asset group’s) carrying value may not be recoverable. Finite-lived, separately-identified intangible assets acquired in business combinations are assets that represent future expected benefits but lack physical substance (such as purchased contract rights and provider contracts). Intangible assets are initially recorded at fair value and are then amortized on a straight-line basis over their expected useful lives, generally between five and 16 years.</w:t>
      </w:r>
    </w:p>
    <w:p>
      <w:pPr>
        <w:spacing w:after="0" w:line="55"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Determining the useful life of an intangible asset also requires judgment, as different types of intangible assets will have different useful lives. The most significant intangible asset we typically record in a business combination is contract rights associated with membership acquired. In determining the estimated fair value of the intangible assets, we typically apply the income approach, which discounts the projected future net cash flows using an appropriate discount rate that reflects the risk associated with such projected future cash flows. The most critical assumptions used in determining the fair value of contract rights include forecasted operating margins and the weighted average cost of capital.</w:t>
      </w:r>
    </w:p>
    <w:p>
      <w:pPr>
        <w:spacing w:after="0" w:line="53"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Determining the fair value of separately identifiable intangible assets requires management to make estimates, which are based on all available information and in some cases assumptions with respect to the timing and amount of future revenues and expenses associated with an asset. Refer to Note 9, “Goodwill and Intangible Assets, Net,” for further details.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a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5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our reporting units exceed their estimated fair values.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We performed a qualitative goodwill assessment of our reporting units in the fourth quarter of 2024, and did not identify any factors indicating that the carrying value of our reporting units exceeded their estimated fair values.</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If performing a quantitative assessment, we generally estimate the fair values of our reporting units by applying the income approach, using discounted cash flows. The base year in the reporting units’ discounted cash flows is derived from the annual financial planning cycle, which commences in the fourth quarter of the year.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Leases</w:t>
      </w:r>
    </w:p>
    <w:p>
      <w:pPr>
        <w:spacing w:after="0" w:line="92" w:lineRule="exact"/>
        <w:rPr>
          <w:sz w:val="20"/>
          <w:szCs w:val="20"/>
          <w:color w:val="auto"/>
        </w:rPr>
      </w:pPr>
    </w:p>
    <w:p>
      <w:pPr>
        <w:jc w:val="both"/>
        <w:ind w:right="180"/>
        <w:spacing w:after="0" w:line="265" w:lineRule="auto"/>
        <w:rPr>
          <w:sz w:val="20"/>
          <w:szCs w:val="20"/>
          <w:color w:val="auto"/>
        </w:rPr>
      </w:pPr>
      <w:r>
        <w:rPr>
          <w:rFonts w:ascii="Arial" w:cs="Arial" w:eastAsia="Arial" w:hAnsi="Arial"/>
          <w:sz w:val="14"/>
          <w:szCs w:val="14"/>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53"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5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 Refer to Note 8, “Leases,” for further details.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Medical Claims and Benefits Payable</w:t>
      </w:r>
    </w:p>
    <w:p>
      <w:pPr>
        <w:spacing w:after="0" w:line="92"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claim overpayment recoveries,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IBNP includes the costs of claims incurred as of the balance sheet date which have been reported to us, and our best estimate of the cost of claims incurred but not yet reported to us. When more complete claims payment information and healthcare cost trend data becomes available, we reflect changes in these estimates as an increase or decrease to medical care costs in the consolidated results of operations in the period in which they are determined.</w:t>
      </w:r>
    </w:p>
    <w:p>
      <w:pPr>
        <w:spacing w:after="0" w:line="5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5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66" w:name="page67"/>
    <w:bookmarkEnd w:id="66"/>
    <w:p>
      <w:pPr>
        <w:ind w:right="160"/>
        <w:spacing w:after="0" w:line="262" w:lineRule="auto"/>
        <w:rPr>
          <w:sz w:val="20"/>
          <w:szCs w:val="20"/>
          <w:color w:val="auto"/>
        </w:rPr>
      </w:pPr>
      <w:r>
        <w:rPr>
          <w:rFonts w:ascii="Arial" w:cs="Arial" w:eastAsia="Arial" w:hAnsi="Arial"/>
          <w:sz w:val="14"/>
          <w:szCs w:val="14"/>
          <w:color w:val="auto"/>
        </w:rPr>
        <w:t>methodology in estimating our IBNP liability, including a provision for moderately adverse conditions for each current period.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 recognized as a decrease to medical care costs, and any adjustments to reflect unfavorable development would be recognized as an increase to medical care costs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in the period in which the adjustments are determined.</w:t>
      </w:r>
    </w:p>
    <w:p>
      <w:pPr>
        <w:spacing w:after="0" w:line="5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Revenue Recognition and Amounts Due Government Agencies</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further discussed below.</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 xml:space="preserve">Minimum MLR, Medical Cost Corridors and Profit Sharing. </w:t>
      </w:r>
      <w:r>
        <w:rPr>
          <w:rFonts w:ascii="Arial" w:cs="Arial" w:eastAsia="Arial" w:hAnsi="Arial"/>
          <w:sz w:val="14"/>
          <w:szCs w:val="14"/>
          <w:color w:val="auto"/>
        </w:rPr>
        <w:t>A portion of our Medicaid premium revenue may be returned if certain minimum amounts are not spent on defined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$1,006 million and $1,344 million at December 31, 2024 and 2023, respectively, to amounts due government agencies.</w:t>
      </w:r>
    </w:p>
    <w:p>
      <w:pPr>
        <w:spacing w:after="0" w:line="5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$32 million and $64 million at December 31, 2024 and 2023, respectively, to amounts due government agencies.</w:t>
      </w:r>
    </w:p>
    <w:p>
      <w:pPr>
        <w:spacing w:after="0" w:line="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$30 million and $2 million at December 31, 2024 and 2023, respectively, to amounts due government agencies.</w:t>
      </w:r>
    </w:p>
    <w:p>
      <w:pPr>
        <w:spacing w:after="0" w:line="5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 xml:space="preserve">Risk Adjustment. </w:t>
      </w:r>
      <w:r>
        <w:rPr>
          <w:rFonts w:ascii="Arial" w:cs="Arial" w:eastAsia="Arial" w:hAnsi="Arial"/>
          <w:sz w:val="14"/>
          <w:szCs w:val="14"/>
          <w:color w:val="auto"/>
        </w:rPr>
        <w:t>Our Medicare premiums are subject to retroactive increase or decrease based on the health status of our Medicare members (as measured by member risk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$115 million and $66 million at December 31, 2024 and 2023, respectively, to amounts due government agencies.</w:t>
      </w:r>
    </w:p>
    <w:p>
      <w:pPr>
        <w:spacing w:after="0" w:line="53"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ind w:right="20"/>
        <w:spacing w:after="0" w:line="260" w:lineRule="auto"/>
        <w:rPr>
          <w:sz w:val="20"/>
          <w:szCs w:val="20"/>
          <w:color w:val="auto"/>
        </w:rPr>
      </w:pPr>
      <w:r>
        <w:rPr>
          <w:rFonts w:ascii="Arial" w:cs="Arial" w:eastAsia="Arial" w:hAnsi="Arial"/>
          <w:sz w:val="14"/>
          <w:szCs w:val="14"/>
          <w:color w:val="auto"/>
        </w:rPr>
        <w:t>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December 31, 2024, Marketplace risk adjustment payables amounted to $290 million and related receivables amounted to $192 million, for a net payable of $98 million. As of December 31, 2023, Marketplace risk adjustment payables amounted to $201 million and related receivables amounted to $241 million, for a net receivable of $40 million. Marketplace risk adjustment receivables at December 31, 2023 are net of a $41 million credit loss allowance recognized in the third quarter of 2023 on 2022 Marketplace risk adjustment receivables due to the insolvency of an issuer in the Texas risk pool. This charge is included in other operating expenses in the accompanying consolidated statements of income.</w:t>
      </w:r>
    </w:p>
    <w:p>
      <w:pPr>
        <w:spacing w:after="0" w:line="5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 xml:space="preserve">Other Premium Adjustments. </w:t>
      </w:r>
      <w:r>
        <w:rPr>
          <w:rFonts w:ascii="Arial" w:cs="Arial" w:eastAsia="Arial" w:hAnsi="Arial"/>
          <w:sz w:val="14"/>
          <w:szCs w:val="14"/>
          <w:color w:val="auto"/>
        </w:rPr>
        <w:t>State Medicaid programs periodically adjust premium revenues on a retroactive basis for rate changes and changes in membership and eligibility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Quality Incentives</w:t>
      </w:r>
    </w:p>
    <w:p>
      <w:pPr>
        <w:spacing w:after="0" w:line="92" w:lineRule="exact"/>
        <w:rPr>
          <w:sz w:val="20"/>
          <w:szCs w:val="20"/>
          <w:color w:val="auto"/>
        </w:rPr>
      </w:pPr>
    </w:p>
    <w:p>
      <w:pPr>
        <w:jc w:val="both"/>
        <w:ind w:right="620"/>
        <w:spacing w:after="0" w:line="290" w:lineRule="auto"/>
        <w:rPr>
          <w:sz w:val="20"/>
          <w:szCs w:val="20"/>
          <w:color w:val="auto"/>
        </w:rPr>
      </w:pPr>
      <w:r>
        <w:rPr>
          <w:rFonts w:ascii="Arial" w:cs="Arial" w:eastAsia="Arial" w:hAnsi="Arial"/>
          <w:sz w:val="14"/>
          <w:szCs w:val="14"/>
          <w:color w:val="auto"/>
        </w:rPr>
        <w:t>At many of our health plans, revenue ranging from approximately 1% to 4% of certain health plan premiums is earned only if certain performance measures are met. Such performance measures are generally found in our Medicaid and MMP contracts. Quality incentive premium revenue is recognized when it is earned under such provisions.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Reinsurance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bear underwriting and reserving risks associated with our health plan subsidiaries. In certain cases, we limit our risk of significant catastrophic losses by maintaining high</w:t>
      </w:r>
    </w:p>
    <w:p>
      <w:pPr>
        <w:spacing w:after="0" w:line="41"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deductible reinsurance coverage with a highly-rated, unaffiliated insurance company (the “third-party reinsurer”). Because we remain liable for losses in the event the third-party reinsurer is unable to pay its portion of the losses, we continually monitor the third-party reinsurer’s financial condition, including its ability to maintain high credit ratings.</w:t>
      </w:r>
    </w:p>
    <w:p>
      <w:pPr>
        <w:spacing w:after="0" w:line="35"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We report reinsurance premiums as a reduction to premium revenue, while related reinsurance recoveries are reported as a reduction to medical care costs. In certain cases, we participate in state-run reinsurance programs for which no reinsurance premium is paid. Reinsurance premiums amounted to $8 million, $11 million, and $2 million for the years ended December 31, 2024, 2023, and 2022, respectively. Reinsurance recoveries amounted to $20 million, $21 million, and $35 million for the years ended December 31, 2024, 2023, and 2022, respectively. Reinsurance recoverable of $21 million, and $28 million, as of December 31, 2024, and 2023, respectively, is included in “Receivables” in the accompanying consolidated balance sheets.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Deficiency Reserves on Loss Contracts</w:t>
      </w:r>
    </w:p>
    <w:p>
      <w:pPr>
        <w:spacing w:after="0" w:line="9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 established when management determines it is more likely than not that some portion, or all, of the deferred tax assets will not be realized. For further discussion and disclosure, see Note 12,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Taxes Based on Premiums</w:t>
      </w:r>
    </w:p>
    <w:p>
      <w:pPr>
        <w:spacing w:after="0" w:line="92" w:lineRule="exact"/>
        <w:rPr>
          <w:sz w:val="20"/>
          <w:szCs w:val="20"/>
          <w:color w:val="auto"/>
        </w:rPr>
      </w:pPr>
    </w:p>
    <w:p>
      <w:pPr>
        <w:ind w:right="500"/>
        <w:spacing w:after="0" w:line="271" w:lineRule="auto"/>
        <w:rPr>
          <w:sz w:val="20"/>
          <w:szCs w:val="20"/>
          <w:color w:val="auto"/>
        </w:rPr>
      </w:pPr>
      <w:r>
        <w:rPr>
          <w:rFonts w:ascii="Arial" w:cs="Arial" w:eastAsia="Arial" w:hAnsi="Arial"/>
          <w:sz w:val="14"/>
          <w:szCs w:val="14"/>
          <w:i w:val="1"/>
          <w:iCs w:val="1"/>
          <w:color w:val="auto"/>
        </w:rPr>
        <w:t xml:space="preserve">Premium and Use Tax. </w:t>
      </w:r>
      <w:r>
        <w:rPr>
          <w:rFonts w:ascii="Arial" w:cs="Arial" w:eastAsia="Arial" w:hAnsi="Arial"/>
          <w:sz w:val="14"/>
          <w:szCs w:val="14"/>
          <w:color w:val="auto"/>
        </w:rPr>
        <w:t>Certain of our health plans are assessed a tax based on premium revenue collected. The premium revenues we receive from these states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reimbursement for the premium tax assessment. We have reported these taxes on a gross basis, as premium tax revenue and as premium tax expenses in the consolidated statements of income.</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92"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operate health plans primarily as a direct contractor with the states, and in Los Angeles County, California, as a subcontractor to another health plan holding a direct contract with the state. We are therefore dependent upon a relatively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Customers</w:t>
      </w:r>
    </w:p>
    <w:p>
      <w:pPr>
        <w:spacing w:after="0" w:line="70" w:lineRule="exact"/>
        <w:rPr>
          <w:sz w:val="20"/>
          <w:szCs w:val="20"/>
          <w:color w:val="auto"/>
        </w:rPr>
      </w:pPr>
    </w:p>
    <w:p>
      <w:pPr>
        <w:jc w:val="both"/>
        <w:ind w:right="560"/>
        <w:spacing w:after="0" w:line="271" w:lineRule="auto"/>
        <w:rPr>
          <w:sz w:val="20"/>
          <w:szCs w:val="20"/>
          <w:color w:val="auto"/>
        </w:rPr>
      </w:pPr>
      <w:r>
        <w:rPr>
          <w:rFonts w:ascii="Arial" w:cs="Arial" w:eastAsia="Arial" w:hAnsi="Arial"/>
          <w:sz w:val="14"/>
          <w:szCs w:val="14"/>
          <w:color w:val="auto"/>
        </w:rPr>
        <w:t>We receive the majority of our revenues under contracts or subcontracts with state Medicaid managed care programs, which are considered individual external customers. Instances where these contracts were at least 10% of our total premium revenue for the year ended December 31, 2024 were California with 10.7%, Texas with 10.7%, and Washington with 10.4%.</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2023-07, </w:t>
      </w:r>
      <w:r>
        <w:rPr>
          <w:rFonts w:ascii="Arial" w:cs="Arial" w:eastAsia="Arial" w:hAnsi="Arial"/>
          <w:sz w:val="14"/>
          <w:szCs w:val="14"/>
          <w:i w:val="1"/>
          <w:iCs w:val="1"/>
          <w:color w:val="auto"/>
        </w:rPr>
        <w:t>Improvements to Reportable Segment Disclosures</w:t>
      </w:r>
      <w:r>
        <w:rPr>
          <w:rFonts w:ascii="Arial" w:cs="Arial" w:eastAsia="Arial" w:hAnsi="Arial"/>
          <w:sz w:val="14"/>
          <w:szCs w:val="14"/>
          <w:color w:val="auto"/>
        </w:rPr>
        <w:t>, which requires disclosure of incremental segment information on an annual and interim 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We have adopted this ASU, with the incremental disclosures presented in Note 16, “Segments”.</w:t>
      </w:r>
    </w:p>
    <w:p>
      <w:pPr>
        <w:spacing w:after="0" w:line="5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consolidated financial statements.</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We are currently evaluating the incremental disclosures that will be required in the footnotes to our consolidated financial statements.</w:t>
      </w:r>
    </w:p>
    <w:p>
      <w:pPr>
        <w:spacing w:after="0" w:line="53"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Other recent accounting pronouncements issued by the FASB (including its Emerging Issues Task Force), the American Institute of Certified Public Accountants, and the Securities and Exchange Commission (“SEC”) did not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have, nor does management expect such pronouncements to have, a significant impact on our present or future consolidated financial statements.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3. Net Income Per Share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calculation of basic and diluted net income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460" w:type="dxa"/>
            <w:vAlign w:val="bottom"/>
          </w:tcPr>
          <w:p>
            <w:pPr>
              <w:spacing w:after="0"/>
              <w:rPr>
                <w:sz w:val="13"/>
                <w:szCs w:val="13"/>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2022</w:t>
            </w:r>
          </w:p>
        </w:tc>
      </w:tr>
      <w:tr>
        <w:trPr>
          <w:trHeight w:val="182"/>
        </w:trPr>
        <w:tc>
          <w:tcPr>
            <w:tcW w:w="6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60" w:type="dxa"/>
            <w:vAlign w:val="bottom"/>
            <w:gridSpan w:val="6"/>
          </w:tcPr>
          <w:p>
            <w:pPr>
              <w:jc w:val="center"/>
              <w:ind w:left="17"/>
              <w:spacing w:after="0"/>
              <w:rPr>
                <w:sz w:val="20"/>
                <w:szCs w:val="20"/>
                <w:color w:val="auto"/>
              </w:rPr>
            </w:pPr>
            <w:r>
              <w:rPr>
                <w:rFonts w:ascii="Arial" w:cs="Arial" w:eastAsia="Arial" w:hAnsi="Arial"/>
                <w:sz w:val="11"/>
                <w:szCs w:val="11"/>
                <w:b w:val="1"/>
                <w:bCs w:val="1"/>
                <w:color w:val="auto"/>
              </w:rPr>
              <w:t>(In millions, except net income per share)</w:t>
            </w:r>
          </w:p>
        </w:tc>
        <w:tc>
          <w:tcPr>
            <w:tcW w:w="1100" w:type="dxa"/>
            <w:vAlign w:val="bottom"/>
          </w:tcPr>
          <w:p>
            <w:pPr>
              <w:spacing w:after="0"/>
              <w:rPr>
                <w:sz w:val="15"/>
                <w:szCs w:val="15"/>
                <w:color w:val="auto"/>
              </w:rPr>
            </w:pPr>
          </w:p>
        </w:tc>
      </w:tr>
      <w:tr>
        <w:trPr>
          <w:trHeight w:val="17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4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Borders>
              <w:bottom w:val="single" w:sz="8" w:color="auto"/>
            </w:tcBorders>
          </w:tcPr>
          <w:p>
            <w:pPr>
              <w:jc w:val="right"/>
              <w:ind w:right="87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4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i w:val="1"/>
                <w:iCs w:val="1"/>
                <w:color w:val="auto"/>
              </w:rPr>
              <w:t>Denominator:</w:t>
            </w: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57.9</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460" w:type="dxa"/>
            <w:vAlign w:val="bottom"/>
          </w:tcPr>
          <w:p>
            <w:pPr>
              <w:ind w:left="120"/>
              <w:spacing w:after="0"/>
              <w:rPr>
                <w:sz w:val="20"/>
                <w:szCs w:val="20"/>
                <w:color w:val="auto"/>
              </w:rPr>
            </w:pPr>
            <w:r>
              <w:rPr>
                <w:rFonts w:ascii="Arial" w:cs="Arial" w:eastAsia="Arial" w:hAnsi="Arial"/>
                <w:sz w:val="13"/>
                <w:szCs w:val="13"/>
                <w:color w:val="auto"/>
              </w:rPr>
              <w:t>Stock purchases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59"/>
        </w:trPr>
        <w:tc>
          <w:tcPr>
            <w:tcW w:w="6460" w:type="dxa"/>
            <w:vAlign w:val="bottom"/>
          </w:tcPr>
          <w:p>
            <w:pPr>
              <w:ind w:left="20"/>
              <w:spacing w:after="0"/>
              <w:rPr>
                <w:sz w:val="20"/>
                <w:szCs w:val="20"/>
                <w:color w:val="auto"/>
              </w:rPr>
            </w:pPr>
            <w:r>
              <w:rPr>
                <w:rFonts w:ascii="Arial" w:cs="Arial" w:eastAsia="Arial" w:hAnsi="Arial"/>
                <w:sz w:val="13"/>
                <w:szCs w:val="13"/>
                <w:color w:val="auto"/>
              </w:rPr>
              <w:t>Denominator for basic net income per share</w:t>
            </w: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171"/>
        </w:trPr>
        <w:tc>
          <w:tcPr>
            <w:tcW w:w="64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Effect of dilutive securities: </w:t>
            </w:r>
            <w:r>
              <w:rPr>
                <w:rFonts w:ascii="Arial" w:cs="Arial" w:eastAsia="Arial" w:hAnsi="Arial"/>
                <w:sz w:val="16"/>
                <w:szCs w:val="16"/>
                <w:color w:val="auto"/>
                <w:vertAlign w:val="superscript"/>
              </w:rPr>
              <w:t>(1)</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Stock-based compensation</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8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diluted net income per share</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5"/>
        </w:trPr>
        <w:tc>
          <w:tcPr>
            <w:tcW w:w="646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3"/>
                <w:szCs w:val="13"/>
                <w:color w:val="auto"/>
              </w:rPr>
              <w:t xml:space="preserve">Net income per share - Basic </w:t>
            </w:r>
            <w:r>
              <w:rPr>
                <w:rFonts w:ascii="Arial" w:cs="Arial" w:eastAsia="Arial" w:hAnsi="Arial"/>
                <w:sz w:val="16"/>
                <w:szCs w:val="16"/>
                <w:color w:val="auto"/>
                <w:vertAlign w:val="superscript"/>
              </w:rPr>
              <w:t>(2)</w:t>
            </w:r>
          </w:p>
        </w:tc>
        <w:tc>
          <w:tcPr>
            <w:tcW w:w="102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6460" w:type="dxa"/>
            <w:vAlign w:val="bottom"/>
          </w:tcPr>
          <w:p>
            <w:pPr>
              <w:ind w:left="120"/>
              <w:spacing w:after="0" w:line="132" w:lineRule="exact"/>
              <w:rPr>
                <w:sz w:val="20"/>
                <w:szCs w:val="20"/>
                <w:color w:val="auto"/>
              </w:rPr>
            </w:pPr>
            <w:r>
              <w:rPr>
                <w:rFonts w:ascii="Arial" w:cs="Arial" w:eastAsia="Arial" w:hAnsi="Arial"/>
                <w:sz w:val="12"/>
                <w:szCs w:val="12"/>
                <w:color w:val="auto"/>
              </w:rPr>
              <w:t xml:space="preserve">Net income per share - Diluted </w:t>
            </w:r>
            <w:r>
              <w:rPr>
                <w:rFonts w:ascii="Arial" w:cs="Arial" w:eastAsia="Arial" w:hAnsi="Arial"/>
                <w:sz w:val="15"/>
                <w:szCs w:val="15"/>
                <w:color w:val="auto"/>
                <w:vertAlign w:val="superscript"/>
              </w:rPr>
              <w:t>(2)</w:t>
            </w:r>
          </w:p>
        </w:tc>
        <w:tc>
          <w:tcPr>
            <w:tcW w:w="1020" w:type="dxa"/>
            <w:vAlign w:val="bottom"/>
            <w:tcBorders>
              <w:bottom w:val="single" w:sz="8" w:color="auto"/>
            </w:tcBorders>
          </w:tcPr>
          <w:p>
            <w:pPr>
              <w:jc w:val="right"/>
              <w:ind w:right="878"/>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20.42</w:t>
            </w: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ind w:right="218"/>
              <w:spacing w:after="0" w:line="133"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18.77</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9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13.55</w:t>
            </w:r>
          </w:p>
        </w:tc>
      </w:tr>
      <w:tr>
        <w:trPr>
          <w:trHeight w:val="20"/>
        </w:trPr>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98" w:lineRule="exact"/>
        <w:rPr>
          <w:sz w:val="20"/>
          <w:szCs w:val="20"/>
          <w:color w:val="auto"/>
        </w:rPr>
      </w:pPr>
    </w:p>
    <w:p>
      <w:pPr>
        <w:ind w:left="260" w:hanging="255"/>
        <w:spacing w:after="0" w:line="274" w:lineRule="auto"/>
        <w:tabs>
          <w:tab w:leader="none" w:pos="3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dilutive effect of all potentially dilutive common shares is calculated using the treasury stock method. Certain potentially dilutive common shares issuable are not included in the computation of diluted net income per share because to do so would have been anti-dilutive. For the year ended December 31, 2024,108,000 shares were excluded from diluted shares outstanding.</w:t>
      </w:r>
    </w:p>
    <w:p>
      <w:pPr>
        <w:ind w:left="300" w:hanging="295"/>
        <w:spacing w:after="0"/>
        <w:tabs>
          <w:tab w:leader="none" w:pos="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4. Business Combinations</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i w:val="1"/>
          <w:iCs w:val="1"/>
          <w:color w:val="auto"/>
        </w:rPr>
        <w:t xml:space="preserve">Bright Health Medicare. </w:t>
      </w:r>
      <w:r>
        <w:rPr>
          <w:rFonts w:ascii="Arial" w:cs="Arial" w:eastAsia="Arial" w:hAnsi="Arial"/>
          <w:sz w:val="14"/>
          <w:szCs w:val="14"/>
          <w:color w:val="auto"/>
        </w:rPr>
        <w:t>On January 1, 2024, we closed on our acquisition of 100% of the issued and outstanding capital stock of Brand New Day and Central Health Plan of</w:t>
      </w:r>
      <w:r>
        <w:rPr>
          <w:rFonts w:ascii="Arial" w:cs="Arial" w:eastAsia="Arial" w:hAnsi="Arial"/>
          <w:sz w:val="14"/>
          <w:szCs w:val="14"/>
          <w:i w:val="1"/>
          <w:iCs w:val="1"/>
          <w:color w:val="auto"/>
        </w:rPr>
        <w:t xml:space="preserve"> </w:t>
      </w:r>
      <w:r>
        <w:rPr>
          <w:rFonts w:ascii="Arial" w:cs="Arial" w:eastAsia="Arial" w:hAnsi="Arial"/>
          <w:sz w:val="14"/>
          <w:szCs w:val="14"/>
          <w:color w:val="auto"/>
        </w:rPr>
        <w:t>California (“Bright Health Medicare”) for $441 million in cash, consistent with our strategy to grow in our existing markets. For this transaction, we applied the acquisition method of accounting, where the total purchase price was allocated to the tangible and intangible assets acquired and liabilities assumed, based on their fair values as of the acquisition date. The pro forma effects of this acquisition for prior periods were not material to our consolidated results of operations. Acquisition costs amounted to $1 million in the aggregate for the year ended December 31, 2024, and were recorded as “General and administrative expenses” in the accompanying consolidated statements of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acquisition-date fair value of the consideration transferred consisted of the following,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of consideration transferred:</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Cash</w:t>
            </w: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341</w:t>
            </w: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Contingent consideration</w:t>
            </w:r>
          </w:p>
        </w:tc>
        <w:tc>
          <w:tcPr>
            <w:tcW w:w="6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62"/>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w:t>
            </w:r>
          </w:p>
        </w:tc>
      </w:tr>
      <w:tr>
        <w:trPr>
          <w:trHeight w:val="20"/>
        </w:trPr>
        <w:tc>
          <w:tcPr>
            <w:tcW w:w="9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 contingent consideration arrangement allowed the seller to earn up to $100 million for the satisfaction of certain conditions within the stock purchase agreement by the fourth quarter of 2024. The fair value of the contingent consideration arrangement at the acquisition date was $86 million. This fair value measurement was based on inputs not observable in the market and thus represented a Level 3 measurement. We estimated the fair value</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0" w:name="page71"/>
    <w:bookmarkEnd w:id="70"/>
    <w:p>
      <w:pPr>
        <w:jc w:val="both"/>
        <w:ind w:right="280"/>
        <w:spacing w:after="0" w:line="271" w:lineRule="auto"/>
        <w:rPr>
          <w:sz w:val="20"/>
          <w:szCs w:val="20"/>
          <w:color w:val="auto"/>
        </w:rPr>
      </w:pPr>
      <w:r>
        <w:rPr>
          <w:rFonts w:ascii="Arial" w:cs="Arial" w:eastAsia="Arial" w:hAnsi="Arial"/>
          <w:sz w:val="14"/>
          <w:szCs w:val="14"/>
          <w:color w:val="auto"/>
        </w:rPr>
        <w:t>using a probability-weighted scenario approach focused on existing and expected membership. On the acquisition date, we placed the $100 million into a third-party escrow and recorded a receivable of $14 million in relation to the fair value measurement. As of December 31, 2024, the fair value of the contingent consideration arrangement increased to $100 million due to the conditions being met. The net change in fair value is reported in “Other” operating expenses in our consolidated statements of income.</w:t>
      </w:r>
    </w:p>
    <w:p>
      <w:pPr>
        <w:spacing w:after="0" w:line="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Medicare segment and is deductible for income tax purposes. The following table summarizes the fair values assigned to assets acquired and liabilities assumed,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 acquired:</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Current assets</w:t>
            </w: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335</w:t>
            </w:r>
          </w:p>
        </w:tc>
      </w:tr>
      <w:tr>
        <w:trPr>
          <w:trHeight w:val="171"/>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1"/>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long-term assets</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70"/>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Medical claims and benefits payable</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Amounts due government agencies</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accrued and other long-term liabilities</w:t>
            </w:r>
          </w:p>
        </w:tc>
        <w:tc>
          <w:tcPr>
            <w:tcW w:w="6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2"/>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Fair value of net assets acquired</w:t>
            </w: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w:t>
            </w:r>
          </w:p>
        </w:tc>
      </w:tr>
      <w:tr>
        <w:trPr>
          <w:trHeight w:val="20"/>
        </w:trPr>
        <w:tc>
          <w:tcPr>
            <w:tcW w:w="9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table below presents intangible assets acquired, by major class, for the Bright Health Medicare acquisition. The weighted-average amortization period, in the aggregate, is 11.1 years.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20" w:type="dxa"/>
            <w:vAlign w:val="bottom"/>
          </w:tcPr>
          <w:p>
            <w:pPr>
              <w:spacing w:after="0"/>
              <w:rPr>
                <w:sz w:val="13"/>
                <w:szCs w:val="1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Fair Value</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r>
      <w:tr>
        <w:trPr>
          <w:trHeight w:val="192"/>
        </w:trPr>
        <w:tc>
          <w:tcPr>
            <w:tcW w:w="8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(Years)</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 member list</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6"/>
              </w:rPr>
              <w:t>10</w:t>
            </w:r>
          </w:p>
        </w:tc>
      </w:tr>
      <w:tr>
        <w:trPr>
          <w:trHeight w:val="169"/>
        </w:trPr>
        <w:tc>
          <w:tcPr>
            <w:tcW w:w="832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32</w:t>
            </w:r>
          </w:p>
        </w:tc>
        <w:tc>
          <w:tcPr>
            <w:tcW w:w="1520" w:type="dxa"/>
            <w:vAlign w:val="bottom"/>
            <w:gridSpan w:val="2"/>
          </w:tcPr>
          <w:p>
            <w:pPr>
              <w:jc w:val="center"/>
              <w:ind w:left="36"/>
              <w:spacing w:after="0"/>
              <w:rPr>
                <w:sz w:val="20"/>
                <w:szCs w:val="20"/>
                <w:color w:val="auto"/>
              </w:rPr>
            </w:pPr>
            <w:r>
              <w:rPr>
                <w:rFonts w:ascii="Arial" w:cs="Arial" w:eastAsia="Arial" w:hAnsi="Arial"/>
                <w:sz w:val="13"/>
                <w:szCs w:val="13"/>
                <w:color w:val="auto"/>
                <w:w w:val="96"/>
              </w:rPr>
              <w:t>15</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Provider network</w:t>
            </w:r>
          </w:p>
        </w:tc>
        <w:tc>
          <w:tcPr>
            <w:tcW w:w="1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6"/>
              </w:rPr>
              <w:t>10</w:t>
            </w:r>
          </w:p>
        </w:tc>
      </w:tr>
      <w:tr>
        <w:trPr>
          <w:trHeight w:val="160"/>
        </w:trPr>
        <w:tc>
          <w:tcPr>
            <w:tcW w:w="8320" w:type="dxa"/>
            <w:vAlign w:val="bottom"/>
          </w:tcPr>
          <w:p>
            <w:pPr>
              <w:spacing w:after="0"/>
              <w:rPr>
                <w:sz w:val="13"/>
                <w:szCs w:val="13"/>
                <w:color w:val="auto"/>
              </w:rPr>
            </w:pPr>
          </w:p>
        </w:tc>
        <w:tc>
          <w:tcPr>
            <w:tcW w:w="1100" w:type="dxa"/>
            <w:vAlign w:val="bottom"/>
            <w:tcBorders>
              <w:bottom w:val="single" w:sz="8" w:color="auto"/>
            </w:tcBorders>
          </w:tcPr>
          <w:p>
            <w:pPr>
              <w:jc w:val="right"/>
              <w:ind w:right="960"/>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i w:val="1"/>
          <w:iCs w:val="1"/>
          <w:color w:val="auto"/>
        </w:rPr>
        <w:t xml:space="preserve">My Choice. </w:t>
      </w:r>
      <w:r>
        <w:rPr>
          <w:rFonts w:ascii="Arial" w:cs="Arial" w:eastAsia="Arial" w:hAnsi="Arial"/>
          <w:sz w:val="14"/>
          <w:szCs w:val="14"/>
          <w:color w:val="auto"/>
        </w:rPr>
        <w:t>On September 1, 2023, we closed on our acquisition of My Choice Wisconsin for preliminary purchase consideration of approximately $74 million. In August 2024, we</w:t>
      </w:r>
      <w:r>
        <w:rPr>
          <w:rFonts w:ascii="Arial" w:cs="Arial" w:eastAsia="Arial" w:hAnsi="Arial"/>
          <w:sz w:val="14"/>
          <w:szCs w:val="14"/>
          <w:i w:val="1"/>
          <w:iCs w:val="1"/>
          <w:color w:val="auto"/>
        </w:rPr>
        <w:t xml:space="preserve"> </w:t>
      </w:r>
      <w:r>
        <w:rPr>
          <w:rFonts w:ascii="Arial" w:cs="Arial" w:eastAsia="Arial" w:hAnsi="Arial"/>
          <w:sz w:val="14"/>
          <w:szCs w:val="14"/>
          <w:color w:val="auto"/>
        </w:rPr>
        <w:t>paid additional purchase consideration of $49 million as a result of final purchase price adjustments as provided in the asset purchase agreement. We recorded various measurement period adjustments that were insignificant. These measurement period adjustments and purchase price adjustments have been finalized.</w:t>
      </w:r>
    </w:p>
    <w:p>
      <w:pPr>
        <w:spacing w:after="0" w:line="49"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color w:val="auto"/>
        </w:rPr>
        <w:t xml:space="preserve">Subsequent Events. </w:t>
      </w:r>
      <w:r>
        <w:rPr>
          <w:rFonts w:ascii="Arial" w:cs="Arial" w:eastAsia="Arial" w:hAnsi="Arial"/>
          <w:sz w:val="14"/>
          <w:szCs w:val="14"/>
          <w:color w:val="auto"/>
        </w:rPr>
        <w:t>Effective February 1, 2025, we closed on our acquisition of 100% of the issued and outstanding capital stock of ConnectiCare Holding Company, Inc. The</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price for the transaction was $350 million. Due to the recency of the transaction, the initial accounting is incomplete.</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5. Fair Value Measurements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49"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i w:val="1"/>
          <w:iCs w:val="1"/>
          <w:color w:val="auto"/>
        </w:rPr>
        <w:t xml:space="preserve">Level 1 — Observable Inputs. </w:t>
      </w:r>
      <w:r>
        <w:rPr>
          <w:rFonts w:ascii="Arial" w:cs="Arial" w:eastAsia="Arial" w:hAnsi="Arial"/>
          <w:sz w:val="14"/>
          <w:szCs w:val="14"/>
          <w:color w:val="auto"/>
        </w:rPr>
        <w:t>Level 1 financial instruments are actively traded and therefore the fair value for these securities is based on quoted market prices for identical</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in active markets.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1" w:name="page72"/>
    <w:bookmarkEnd w:id="71"/>
    <w:p>
      <w:pPr>
        <w:ind w:right="240"/>
        <w:spacing w:after="0" w:line="290" w:lineRule="auto"/>
        <w:rPr>
          <w:sz w:val="20"/>
          <w:szCs w:val="20"/>
          <w:color w:val="auto"/>
        </w:rPr>
      </w:pPr>
      <w:r>
        <w:rPr>
          <w:rFonts w:ascii="Arial" w:cs="Arial" w:eastAsia="Arial" w:hAnsi="Arial"/>
          <w:sz w:val="14"/>
          <w:szCs w:val="14"/>
          <w:i w:val="1"/>
          <w:iCs w:val="1"/>
          <w:color w:val="auto"/>
        </w:rPr>
        <w:t xml:space="preserve">Level 2 — Directly or Indirectly Observable Inputs. </w:t>
      </w:r>
      <w:r>
        <w:rPr>
          <w:rFonts w:ascii="Arial" w:cs="Arial" w:eastAsia="Arial" w:hAnsi="Arial"/>
          <w:sz w:val="14"/>
          <w:szCs w:val="14"/>
          <w:color w:val="auto"/>
        </w:rPr>
        <w:t>Fair value for these investments is determined using a market approach based on quoted prices for similar securities in active</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or quoted prices for identical securities in inactive markets.</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i w:val="1"/>
          <w:iCs w:val="1"/>
          <w:color w:val="auto"/>
        </w:rPr>
        <w:t xml:space="preserve">Level 3 — Unobservable Inputs. </w:t>
      </w:r>
      <w:r>
        <w:rPr>
          <w:rFonts w:ascii="Arial" w:cs="Arial" w:eastAsia="Arial" w:hAnsi="Arial"/>
          <w:sz w:val="14"/>
          <w:szCs w:val="14"/>
          <w:color w:val="auto"/>
        </w:rPr>
        <w:t>Level 3 financial instruments are valued using unobservable inputs that represent management’s best estimate of what market participants would</w:t>
      </w:r>
      <w:r>
        <w:rPr>
          <w:rFonts w:ascii="Arial" w:cs="Arial" w:eastAsia="Arial" w:hAnsi="Arial"/>
          <w:sz w:val="14"/>
          <w:szCs w:val="14"/>
          <w:i w:val="1"/>
          <w:iCs w:val="1"/>
          <w:color w:val="auto"/>
        </w:rPr>
        <w:t xml:space="preserve"> </w:t>
      </w:r>
      <w:r>
        <w:rPr>
          <w:rFonts w:ascii="Arial" w:cs="Arial" w:eastAsia="Arial" w:hAnsi="Arial"/>
          <w:sz w:val="14"/>
          <w:szCs w:val="14"/>
          <w:color w:val="auto"/>
        </w:rPr>
        <w:t>use in pricing the financial instrument at the measurement date.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Level 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Level 3</w:t>
            </w:r>
          </w:p>
        </w:tc>
      </w:tr>
      <w:tr>
        <w:trPr>
          <w:trHeight w:val="192"/>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182"/>
        </w:trPr>
        <w:tc>
          <w:tcPr>
            <w:tcW w:w="5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2023,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Level 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Level 3</w:t>
            </w:r>
          </w:p>
        </w:tc>
      </w:tr>
      <w:tr>
        <w:trPr>
          <w:trHeight w:val="192"/>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6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182"/>
        </w:trPr>
        <w:tc>
          <w:tcPr>
            <w:tcW w:w="5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assets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 Disclosure Only</w:t>
      </w:r>
    </w:p>
    <w:p>
      <w:pPr>
        <w:spacing w:after="0" w:line="92"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0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1"/>
                <w:szCs w:val="11"/>
                <w:b w:val="1"/>
                <w:bCs w:val="1"/>
                <w:color w:val="auto"/>
              </w:rPr>
              <w:t>December 31, 2024</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Carrying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ind w:left="80"/>
              <w:spacing w:after="0" w:line="108" w:lineRule="exact"/>
              <w:rPr>
                <w:sz w:val="20"/>
                <w:szCs w:val="20"/>
                <w:color w:val="auto"/>
              </w:rPr>
            </w:pPr>
            <w:r>
              <w:rPr>
                <w:rFonts w:ascii="Arial" w:cs="Arial" w:eastAsia="Arial" w:hAnsi="Arial"/>
                <w:sz w:val="11"/>
                <w:szCs w:val="11"/>
                <w:b w:val="1"/>
                <w:bCs w:val="1"/>
                <w:color w:val="auto"/>
              </w:rPr>
              <w:t>Carrying</w:t>
            </w:r>
          </w:p>
        </w:tc>
        <w:tc>
          <w:tcPr>
            <w:tcW w:w="240" w:type="dxa"/>
            <w:vAlign w:val="bottom"/>
          </w:tcPr>
          <w:p>
            <w:pPr>
              <w:spacing w:after="0"/>
              <w:rPr>
                <w:sz w:val="9"/>
                <w:szCs w:val="9"/>
                <w:color w:val="auto"/>
              </w:rPr>
            </w:pPr>
          </w:p>
        </w:tc>
        <w:tc>
          <w:tcPr>
            <w:tcW w:w="108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color w:val="auto"/>
              </w:rPr>
              <w:t>6.250% Notes due 2033</w:t>
            </w: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0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2,726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2" w:name="page73"/>
    <w:bookmarkEnd w:id="72"/>
    <w:p>
      <w:pPr>
        <w:ind w:right="10080" w:firstLine="5"/>
        <w:spacing w:after="0" w:line="379" w:lineRule="auto"/>
        <w:tabs>
          <w:tab w:leader="none" w:pos="157" w:val="left"/>
        </w:tabs>
        <w:numPr>
          <w:ilvl w:val="0"/>
          <w:numId w:val="30"/>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Investments </w:t>
      </w:r>
      <w:r>
        <w:rPr>
          <w:rFonts w:ascii="Arial" w:cs="Arial" w:eastAsia="Arial" w:hAnsi="Arial"/>
          <w:sz w:val="14"/>
          <w:szCs w:val="14"/>
          <w:b w:val="1"/>
          <w:bCs w:val="1"/>
          <w:i w:val="1"/>
          <w:iCs w:val="1"/>
          <w:color w:val="000000"/>
        </w:rPr>
        <w:t>Available-for-Sale</w:t>
      </w:r>
    </w:p>
    <w:p>
      <w:pPr>
        <w:spacing w:after="0"/>
        <w:rPr>
          <w:rFonts w:ascii="Arial" w:cs="Arial" w:eastAsia="Arial" w:hAnsi="Arial"/>
          <w:sz w:val="14"/>
          <w:szCs w:val="14"/>
          <w:b w:val="1"/>
          <w:bCs w:val="1"/>
          <w:color w:val="828282"/>
        </w:rPr>
      </w:pPr>
      <w:r>
        <w:rPr>
          <w:rFonts w:ascii="Arial" w:cs="Arial" w:eastAsia="Arial" w:hAnsi="Arial"/>
          <w:sz w:val="14"/>
          <w:szCs w:val="14"/>
          <w:color w:val="auto"/>
        </w:rPr>
        <w:t>We consider all of our investments classified as current assets to be available-for-sale. The following tables summarize our current investments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1"/>
                <w:szCs w:val="11"/>
                <w:b w:val="1"/>
                <w:bCs w:val="1"/>
                <w:color w:val="auto"/>
              </w:rPr>
              <w:t>December 31, 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Gross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04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rPr>
              <w:t>Amortized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1"/>
                <w:szCs w:val="11"/>
                <w:b w:val="1"/>
                <w:bCs w:val="1"/>
                <w:color w:val="auto"/>
              </w:rPr>
              <w:t>Unrealized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Gains</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Losses</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5260" w:type="dxa"/>
            <w:vAlign w:val="bottom"/>
          </w:tcPr>
          <w:p>
            <w:pPr>
              <w:spacing w:after="0"/>
              <w:rPr>
                <w:sz w:val="12"/>
                <w:szCs w:val="12"/>
                <w:color w:val="auto"/>
              </w:rPr>
            </w:pPr>
          </w:p>
        </w:tc>
        <w:tc>
          <w:tcPr>
            <w:tcW w:w="104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w w:val="97"/>
              </w:rPr>
              <w:t>Cost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2,769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Other</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7"/>
        </w:trPr>
        <w:tc>
          <w:tcPr>
            <w:tcW w:w="5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4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4,400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1"/>
                <w:szCs w:val="11"/>
                <w:b w:val="1"/>
                <w:bCs w:val="1"/>
                <w:color w:val="auto"/>
              </w:rPr>
              <w:t>December 31, 2023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Gross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04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rPr>
              <w:t>Amortized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1"/>
                <w:szCs w:val="11"/>
                <w:b w:val="1"/>
                <w:bCs w:val="1"/>
                <w:color w:val="auto"/>
              </w:rPr>
              <w:t>Unrealized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Gains</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Losses</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5260" w:type="dxa"/>
            <w:vAlign w:val="bottom"/>
          </w:tcPr>
          <w:p>
            <w:pPr>
              <w:spacing w:after="0"/>
              <w:rPr>
                <w:sz w:val="12"/>
                <w:szCs w:val="12"/>
                <w:color w:val="auto"/>
              </w:rPr>
            </w:pPr>
          </w:p>
        </w:tc>
        <w:tc>
          <w:tcPr>
            <w:tcW w:w="104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w w:val="97"/>
              </w:rPr>
              <w:t>Cost</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459"/>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4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2,781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Other</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7"/>
        </w:trPr>
        <w:tc>
          <w:tcPr>
            <w:tcW w:w="5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4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4,367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Expected maturities may differ from contractual maturities because borrowers may have the right to call or prepay obligations with or without call or prepayment penalties. The contractual maturities of our current investments as of December 31, 2024 are summarized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Amortized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jc w:val="right"/>
              <w:ind w:right="378"/>
              <w:spacing w:after="0"/>
              <w:rPr>
                <w:sz w:val="20"/>
                <w:szCs w:val="20"/>
                <w:color w:val="auto"/>
              </w:rPr>
            </w:pPr>
            <w:r>
              <w:rPr>
                <w:rFonts w:ascii="Arial" w:cs="Arial" w:eastAsia="Arial" w:hAnsi="Arial"/>
                <w:sz w:val="11"/>
                <w:szCs w:val="11"/>
                <w:b w:val="1"/>
                <w:bCs w:val="1"/>
                <w:color w:val="auto"/>
              </w:rPr>
              <w:t>Estimated</w:t>
            </w:r>
          </w:p>
        </w:tc>
      </w:tr>
      <w:tr>
        <w:trPr>
          <w:trHeight w:val="144"/>
        </w:trPr>
        <w:tc>
          <w:tcPr>
            <w:tcW w:w="8300" w:type="dxa"/>
            <w:vAlign w:val="bottom"/>
          </w:tcPr>
          <w:p>
            <w:pPr>
              <w:spacing w:after="0"/>
              <w:rPr>
                <w:sz w:val="12"/>
                <w:szCs w:val="12"/>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Cost</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Fair Value</w:t>
            </w:r>
          </w:p>
        </w:tc>
      </w:tr>
      <w:tr>
        <w:trPr>
          <w:trHeight w:val="181"/>
        </w:trPr>
        <w:tc>
          <w:tcPr>
            <w:tcW w:w="8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5"/>
                <w:szCs w:val="15"/>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2,202</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w:t>
            </w:r>
          </w:p>
        </w:tc>
      </w:tr>
      <w:tr>
        <w:trPr>
          <w:trHeight w:val="187"/>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In the years ended December 31, 2024, 2023, and 2022, maturities and redemptions of available-for-sale securities amounted to $ 1,012 million, $513 million, and $1,069 million, respectively, and sales amounted to $99 million, $259 million, and $ 329 million, respectively. Gross realized gains and losses from sales of available-for-sale securities are calculated under the specific identification method and are included in investment income. Gross realized investment gains amounted to $2 million, $ 1 million and $1 million in the years ended December 31, 2024, 2023 and 2022, respectively, and were reclassified into earnings from other comprehensive income on a net-of-tax basis. Gross realized investment losses amounted to $3 million, $11 million and $7 million in the years ended December 31, 2024, 2023 and 2022, respectively, and were reclassified into earnings from other comprehensive income on a net-of-tax basis.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3" w:name="page74"/>
    <w:bookmarkEnd w:id="73"/>
    <w:p>
      <w:pPr>
        <w:ind w:right="120"/>
        <w:spacing w:after="0" w:line="271" w:lineRule="auto"/>
        <w:rPr>
          <w:sz w:val="20"/>
          <w:szCs w:val="20"/>
          <w:color w:val="auto"/>
        </w:rPr>
      </w:pPr>
      <w:r>
        <w:rPr>
          <w:rFonts w:ascii="Arial" w:cs="Arial" w:eastAsia="Arial" w:hAnsi="Arial"/>
          <w:sz w:val="14"/>
          <w:szCs w:val="14"/>
          <w:color w:val="auto"/>
        </w:rPr>
        <w:t>We have determined that unrealized losses at December 31, 2024, 2023 and 2022 primarily resulted from fluctuating interest rates, rather than a deterioration of the creditworthiness of the issuers. Further, as of December 31, 2024, we do not intend to sell, and it is not likely that we will be required to sell these investments prior to the recovery of their amortized cost basis. Therefore, we determined that an allowance for credit losses was not necessary.</w:t>
      </w:r>
    </w:p>
    <w:p>
      <w:pPr>
        <w:spacing w:after="0" w:line="4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6"/>
          </w:tcPr>
          <w:p>
            <w:pPr>
              <w:jc w:val="center"/>
              <w:ind w:left="17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940" w:type="dxa"/>
            <w:vAlign w:val="bottom"/>
          </w:tcPr>
          <w:p>
            <w:pPr>
              <w:jc w:val="center"/>
              <w:ind w:left="341"/>
              <w:spacing w:after="0" w:line="112" w:lineRule="exact"/>
              <w:rPr>
                <w:sz w:val="20"/>
                <w:szCs w:val="20"/>
                <w:color w:val="auto"/>
              </w:rPr>
            </w:pPr>
            <w:r>
              <w:rPr>
                <w:rFonts w:ascii="Arial" w:cs="Arial" w:eastAsia="Arial" w:hAnsi="Arial"/>
                <w:sz w:val="11"/>
                <w:szCs w:val="11"/>
                <w:b w:val="1"/>
                <w:bCs w:val="1"/>
                <w:color w:val="auto"/>
              </w:rPr>
              <w:t>Estimated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3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940" w:type="dxa"/>
            <w:vAlign w:val="bottom"/>
          </w:tcPr>
          <w:p>
            <w:pPr>
              <w:jc w:val="center"/>
              <w:ind w:left="341"/>
              <w:spacing w:after="0" w:line="112" w:lineRule="exact"/>
              <w:rPr>
                <w:sz w:val="20"/>
                <w:szCs w:val="20"/>
                <w:color w:val="auto"/>
              </w:rPr>
            </w:pPr>
            <w:r>
              <w:rPr>
                <w:rFonts w:ascii="Arial" w:cs="Arial" w:eastAsia="Arial" w:hAnsi="Arial"/>
                <w:sz w:val="11"/>
                <w:szCs w:val="11"/>
                <w:b w:val="1"/>
                <w:bCs w:val="1"/>
                <w:color w:val="auto"/>
              </w:rPr>
              <w:t>Estimated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940" w:type="dxa"/>
            <w:vAlign w:val="bottom"/>
          </w:tcPr>
          <w:p>
            <w:pPr>
              <w:jc w:val="center"/>
              <w:ind w:left="321"/>
              <w:spacing w:after="0" w:line="113"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40" w:type="dxa"/>
            <w:vAlign w:val="bottom"/>
          </w:tcPr>
          <w:p>
            <w:pPr>
              <w:jc w:val="center"/>
              <w:ind w:left="321"/>
              <w:spacing w:after="0" w:line="113" w:lineRule="exact"/>
              <w:rPr>
                <w:sz w:val="20"/>
                <w:szCs w:val="20"/>
                <w:color w:val="auto"/>
              </w:rPr>
            </w:pPr>
            <w:r>
              <w:rPr>
                <w:rFonts w:ascii="Arial" w:cs="Arial" w:eastAsia="Arial" w:hAnsi="Arial"/>
                <w:sz w:val="11"/>
                <w:szCs w:val="11"/>
                <w:b w:val="1"/>
                <w:bCs w:val="1"/>
                <w:color w:val="auto"/>
                <w:w w:val="98"/>
              </w:rPr>
              <w:t>Fair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5"/>
              </w:rPr>
              <w:t>Value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3"/>
          </w:tcPr>
          <w:p>
            <w:pPr>
              <w:jc w:val="right"/>
              <w:ind w:right="421"/>
              <w:spacing w:after="0"/>
              <w:rPr>
                <w:sz w:val="20"/>
                <w:szCs w:val="20"/>
                <w:color w:val="auto"/>
              </w:rPr>
            </w:pPr>
            <w:r>
              <w:rPr>
                <w:rFonts w:ascii="Arial" w:cs="Arial" w:eastAsia="Arial" w:hAnsi="Arial"/>
                <w:sz w:val="11"/>
                <w:szCs w:val="11"/>
                <w:b w:val="1"/>
                <w:bCs w:val="1"/>
                <w:color w:val="auto"/>
              </w:rPr>
              <w:t>(Dollars 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tcPr>
          <w:p>
            <w:pPr>
              <w:jc w:val="right"/>
              <w:ind w:right="781"/>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1,204</w:t>
            </w:r>
          </w:p>
        </w:tc>
        <w:tc>
          <w:tcPr>
            <w:tcW w:w="380" w:type="dxa"/>
            <w:vAlign w:val="bottom"/>
            <w:gridSpan w:val="3"/>
          </w:tcPr>
          <w:p>
            <w:pPr>
              <w:jc w:val="right"/>
              <w:ind w:right="8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813</w:t>
            </w:r>
          </w:p>
        </w:tc>
        <w:tc>
          <w:tcPr>
            <w:tcW w:w="120" w:type="dxa"/>
            <w:vAlign w:val="bottom"/>
          </w:tcPr>
          <w:p>
            <w:pPr>
              <w:spacing w:after="0"/>
              <w:rPr>
                <w:sz w:val="14"/>
                <w:szCs w:val="14"/>
                <w:color w:val="auto"/>
              </w:rPr>
            </w:pPr>
          </w:p>
        </w:tc>
        <w:tc>
          <w:tcPr>
            <w:tcW w:w="940" w:type="dxa"/>
            <w:vAlign w:val="bottom"/>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1,594</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80" w:type="dxa"/>
            <w:vAlign w:val="bottom"/>
            <w:gridSpan w:val="6"/>
          </w:tcPr>
          <w:p>
            <w:pPr>
              <w:jc w:val="center"/>
              <w:ind w:left="13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40" w:type="dxa"/>
            <w:vAlign w:val="bottom"/>
            <w:gridSpan w:val="6"/>
          </w:tcPr>
          <w:p>
            <w:pPr>
              <w:jc w:val="center"/>
              <w:ind w:left="17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860" w:type="dxa"/>
            <w:vAlign w:val="bottom"/>
          </w:tcPr>
          <w:p>
            <w:pPr>
              <w:spacing w:after="0"/>
              <w:rPr>
                <w:sz w:val="9"/>
                <w:szCs w:val="9"/>
                <w:color w:val="auto"/>
              </w:rPr>
            </w:pPr>
          </w:p>
        </w:tc>
        <w:tc>
          <w:tcPr>
            <w:tcW w:w="980" w:type="dxa"/>
            <w:vAlign w:val="bottom"/>
          </w:tcPr>
          <w:p>
            <w:pPr>
              <w:jc w:val="center"/>
              <w:ind w:left="261"/>
              <w:spacing w:after="0" w:line="107" w:lineRule="exact"/>
              <w:rPr>
                <w:sz w:val="20"/>
                <w:szCs w:val="20"/>
                <w:color w:val="auto"/>
              </w:rPr>
            </w:pPr>
            <w:r>
              <w:rPr>
                <w:rFonts w:ascii="Arial" w:cs="Arial" w:eastAsia="Arial" w:hAnsi="Arial"/>
                <w:sz w:val="11"/>
                <w:szCs w:val="11"/>
                <w:b w:val="1"/>
                <w:bCs w:val="1"/>
                <w:color w:val="auto"/>
              </w:rPr>
              <w:t>Estimated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920" w:type="dxa"/>
            <w:vAlign w:val="bottom"/>
          </w:tcPr>
          <w:p>
            <w:pPr>
              <w:jc w:val="center"/>
              <w:ind w:left="321"/>
              <w:spacing w:after="0" w:line="107" w:lineRule="exact"/>
              <w:rPr>
                <w:sz w:val="20"/>
                <w:szCs w:val="20"/>
                <w:color w:val="auto"/>
              </w:rPr>
            </w:pPr>
            <w:r>
              <w:rPr>
                <w:rFonts w:ascii="Arial" w:cs="Arial" w:eastAsia="Arial" w:hAnsi="Arial"/>
                <w:sz w:val="11"/>
                <w:szCs w:val="11"/>
                <w:b w:val="1"/>
                <w:bCs w:val="1"/>
                <w:color w:val="auto"/>
              </w:rPr>
              <w:t>Estimated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980" w:type="dxa"/>
            <w:vAlign w:val="bottom"/>
          </w:tcPr>
          <w:p>
            <w:pPr>
              <w:jc w:val="center"/>
              <w:ind w:left="281"/>
              <w:spacing w:after="0" w:line="117" w:lineRule="exact"/>
              <w:rPr>
                <w:sz w:val="20"/>
                <w:szCs w:val="20"/>
                <w:color w:val="auto"/>
              </w:rPr>
            </w:pPr>
            <w:r>
              <w:rPr>
                <w:rFonts w:ascii="Arial" w:cs="Arial" w:eastAsia="Arial" w:hAnsi="Arial"/>
                <w:sz w:val="11"/>
                <w:szCs w:val="11"/>
                <w:b w:val="1"/>
                <w:bCs w:val="1"/>
                <w:color w:val="auto"/>
                <w:w w:val="98"/>
              </w:rPr>
              <w:t>Fair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20" w:type="dxa"/>
            <w:vAlign w:val="bottom"/>
          </w:tcPr>
          <w:p>
            <w:pPr>
              <w:jc w:val="center"/>
              <w:ind w:left="321"/>
              <w:spacing w:after="0" w:line="117" w:lineRule="exact"/>
              <w:rPr>
                <w:sz w:val="20"/>
                <w:szCs w:val="20"/>
                <w:color w:val="auto"/>
              </w:rPr>
            </w:pPr>
            <w:r>
              <w:rPr>
                <w:rFonts w:ascii="Arial" w:cs="Arial" w:eastAsia="Arial" w:hAnsi="Arial"/>
                <w:sz w:val="11"/>
                <w:szCs w:val="11"/>
                <w:b w:val="1"/>
                <w:bCs w:val="1"/>
                <w:color w:val="auto"/>
              </w:rPr>
              <w:t>Fair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80" w:type="dxa"/>
            <w:vAlign w:val="bottom"/>
            <w:tcBorders>
              <w:bottom w:val="single" w:sz="8" w:color="auto"/>
            </w:tcBorders>
          </w:tcPr>
          <w:p>
            <w:pPr>
              <w:jc w:val="center"/>
              <w:ind w:left="261"/>
              <w:spacing w:after="0"/>
              <w:rPr>
                <w:sz w:val="20"/>
                <w:szCs w:val="20"/>
                <w:color w:val="auto"/>
              </w:rPr>
            </w:pPr>
            <w:r>
              <w:rPr>
                <w:rFonts w:ascii="Arial" w:cs="Arial" w:eastAsia="Arial" w:hAnsi="Arial"/>
                <w:sz w:val="11"/>
                <w:szCs w:val="11"/>
                <w:b w:val="1"/>
                <w:bCs w:val="1"/>
                <w:color w:val="auto"/>
              </w:rPr>
              <w:t>Value</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rPr>
              <w:t>Value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jc w:val="right"/>
              <w:ind w:right="401"/>
              <w:spacing w:after="0"/>
              <w:rPr>
                <w:sz w:val="20"/>
                <w:szCs w:val="20"/>
                <w:color w:val="auto"/>
              </w:rPr>
            </w:pPr>
            <w:r>
              <w:rPr>
                <w:rFonts w:ascii="Arial" w:cs="Arial" w:eastAsia="Arial" w:hAnsi="Arial"/>
                <w:sz w:val="11"/>
                <w:szCs w:val="11"/>
                <w:b w:val="1"/>
                <w:bCs w:val="1"/>
                <w:color w:val="auto"/>
              </w:rPr>
              <w:t>(Dollars 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80" w:type="dxa"/>
            <w:vAlign w:val="bottom"/>
            <w:shd w:val="clear" w:color="auto" w:fill="CCEEFF"/>
          </w:tcPr>
          <w:p>
            <w:pPr>
              <w:jc w:val="right"/>
              <w:ind w:right="841"/>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1,553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2"/>
        </w:trPr>
        <w:tc>
          <w:tcPr>
            <w:tcW w:w="2860" w:type="dxa"/>
            <w:vAlign w:val="bottom"/>
          </w:tcPr>
          <w:p>
            <w:pPr>
              <w:ind w:left="120"/>
              <w:spacing w:after="0"/>
              <w:rPr>
                <w:sz w:val="20"/>
                <w:szCs w:val="20"/>
                <w:color w:val="auto"/>
              </w:rPr>
            </w:pPr>
            <w:r>
              <w:rPr>
                <w:rFonts w:ascii="Arial" w:cs="Arial" w:eastAsia="Arial" w:hAnsi="Arial"/>
                <w:sz w:val="13"/>
                <w:szCs w:val="13"/>
                <w:color w:val="auto"/>
              </w:rPr>
              <w:t>Total</w:t>
            </w:r>
          </w:p>
        </w:tc>
        <w:tc>
          <w:tcPr>
            <w:tcW w:w="98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2,431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Investments Held-to-Maturity</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53"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We have the intent and ability to hold these restricted investments until maturity, and as a result, we expect to collect the contractual cash flows associated with these investments and do not recognize interim fluctuations in fair value. Accordingly, our held-to-maturity restricted investments are carried at amortized cost, which approximates fair value, of which $139 million will mature in one year or less, $142 million will mature in one through five years, and $5 million will mature after five years.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The following table presents the balances of restricted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0"/>
        </w:trPr>
        <w:tc>
          <w:tcPr>
            <w:tcW w:w="830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r>
      <w:tr>
        <w:trPr>
          <w:trHeight w:val="182"/>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U.S. Treasury notes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and other securities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59"/>
        </w:trPr>
        <w:tc>
          <w:tcPr>
            <w:tcW w:w="8300" w:type="dxa"/>
            <w:vAlign w:val="bottom"/>
          </w:tcPr>
          <w:p>
            <w:pPr>
              <w:ind w:left="120"/>
              <w:spacing w:after="0" w:line="148" w:lineRule="exact"/>
              <w:rPr>
                <w:sz w:val="20"/>
                <w:szCs w:val="20"/>
                <w:color w:val="auto"/>
              </w:rPr>
            </w:pPr>
            <w:r>
              <w:rPr>
                <w:rFonts w:ascii="Arial" w:cs="Arial" w:eastAsia="Arial" w:hAnsi="Arial"/>
                <w:sz w:val="13"/>
                <w:szCs w:val="13"/>
                <w:color w:val="auto"/>
              </w:rPr>
              <w:t>Total restricted investments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7. Property, Equipment, and Capitalized Software, Net</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Property and equipment are stated at historical cost. Replacements and major improvements are capitalized, and repairs and maintenance are charged to expense as incurred. Software developed for internal use is capitalized. Property and equipment are generally depreciated using the straight-line method over estimated useful lives ranging from three to seven years.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5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recognized an impairment on property and equipment of $16 million associated with our reduction in leased space used in our business operations in the year ended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 summary of property, equipment, and capitalized software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0"/>
        </w:trPr>
        <w:tc>
          <w:tcPr>
            <w:tcW w:w="830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2023</w:t>
            </w:r>
          </w:p>
        </w:tc>
      </w:tr>
      <w:tr>
        <w:trPr>
          <w:trHeight w:val="192"/>
        </w:trPr>
        <w:tc>
          <w:tcPr>
            <w:tcW w:w="8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6"/>
                <w:szCs w:val="16"/>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software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Property and equipment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 and improvements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Land</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cost</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w:t>
            </w:r>
          </w:p>
        </w:tc>
      </w:tr>
      <w:tr>
        <w:trPr>
          <w:trHeight w:val="159"/>
        </w:trPr>
        <w:tc>
          <w:tcPr>
            <w:tcW w:w="8300" w:type="dxa"/>
            <w:vAlign w:val="bottom"/>
          </w:tcPr>
          <w:p>
            <w:pPr>
              <w:ind w:left="20"/>
              <w:spacing w:after="0" w:line="148" w:lineRule="exact"/>
              <w:rPr>
                <w:sz w:val="20"/>
                <w:szCs w:val="20"/>
                <w:color w:val="auto"/>
              </w:rPr>
            </w:pPr>
            <w:r>
              <w:rPr>
                <w:rFonts w:ascii="Arial" w:cs="Arial" w:eastAsia="Arial" w:hAnsi="Arial"/>
                <w:sz w:val="13"/>
                <w:szCs w:val="13"/>
                <w:color w:val="auto"/>
              </w:rPr>
              <w:t>Less: accumulated amortization - capitalized software</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(537)</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 and amortization - property, equipment, building, and improvements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59"/>
        </w:trPr>
        <w:tc>
          <w:tcPr>
            <w:tcW w:w="8300" w:type="dxa"/>
            <w:vAlign w:val="bottom"/>
            <w:tcBorders>
              <w:bottom w:val="single" w:sz="8" w:color="CCEEFF"/>
            </w:tcBorders>
          </w:tcPr>
          <w:p>
            <w:pPr>
              <w:ind w:left="120"/>
              <w:spacing w:after="0" w:line="148" w:lineRule="exact"/>
              <w:rPr>
                <w:sz w:val="20"/>
                <w:szCs w:val="20"/>
                <w:color w:val="auto"/>
              </w:rPr>
            </w:pPr>
            <w:r>
              <w:rPr>
                <w:rFonts w:ascii="Arial" w:cs="Arial" w:eastAsia="Arial" w:hAnsi="Arial"/>
                <w:sz w:val="13"/>
                <w:szCs w:val="13"/>
                <w:color w:val="auto"/>
              </w:rPr>
              <w:t>Total accumulated depreciation and amortization</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ROU assets - finance leases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59"/>
        </w:trPr>
        <w:tc>
          <w:tcPr>
            <w:tcW w:w="8300" w:type="dxa"/>
            <w:vAlign w:val="bottom"/>
          </w:tcPr>
          <w:p>
            <w:pPr>
              <w:ind w:left="20"/>
              <w:spacing w:after="0" w:line="148" w:lineRule="exact"/>
              <w:rPr>
                <w:sz w:val="20"/>
                <w:szCs w:val="20"/>
                <w:color w:val="auto"/>
              </w:rPr>
            </w:pPr>
            <w:r>
              <w:rPr>
                <w:rFonts w:ascii="Arial" w:cs="Arial" w:eastAsia="Arial" w:hAnsi="Arial"/>
                <w:sz w:val="13"/>
                <w:szCs w:val="13"/>
                <w:color w:val="auto"/>
              </w:rPr>
              <w:t>Property, equipment, and capitalized software, net</w:t>
            </w:r>
          </w:p>
        </w:tc>
        <w:tc>
          <w:tcPr>
            <w:tcW w:w="96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w:t>
            </w: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all depreciation and amortization recognized in our consolidated statements of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82"/>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Amortization of capitalized software</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finance leases</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Depreciation and amortization of property, equipment, building, and improvements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85"/>
        </w:trPr>
        <w:tc>
          <w:tcPr>
            <w:tcW w:w="6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depreciation and amortization</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828282"/>
        </w:rPr>
        <w:t>8. Leases</w:t>
      </w:r>
    </w:p>
    <w:p>
      <w:pPr>
        <w:spacing w:after="0" w:line="9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are a party to operating and finance leases primarily for our corporate and health plan offices. Our operating leases have remaining lease terms up to 11 years, some of which include options to extend the leases for up to 10 years. As of December 31, 2024, the weighted average remaining operating lease term is 8 years.</w:t>
      </w:r>
    </w:p>
    <w:p>
      <w:pPr>
        <w:spacing w:after="0" w:line="3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Our finance leases have remaining lease terms up to 14 years, some of which include options to extend the leases for up to 25 years. As of December 31, 2024, the weighted average remaining finance lease term is 11 years.</w:t>
      </w:r>
    </w:p>
    <w:p>
      <w:pPr>
        <w:spacing w:after="0" w:line="35"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In the year ended December 31, 2022, the Company recognized $192 million of ROU asset impairments associated with our reduction in leased space used in our business operations to accommodate our move to a remote work environment.</w:t>
      </w:r>
    </w:p>
    <w:p>
      <w:pPr>
        <w:spacing w:after="0" w:line="3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As of December 31, 2024, the weighted-average discount rate used to compute the present value of lease payments was 5.0% for operating lease liabilities, and 6.5% for finance lease liabilities. The components of lease expense for the years ended December 31, 2024, 2023, and 2022 are presented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Operating lease expense</w:t>
            </w:r>
          </w:p>
        </w:tc>
        <w:tc>
          <w:tcPr>
            <w:tcW w:w="110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Finance lease expense:</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Amortization of ROU assets</w:t>
            </w:r>
          </w:p>
        </w:tc>
        <w:tc>
          <w:tcPr>
            <w:tcW w:w="1100" w:type="dxa"/>
            <w:vAlign w:val="bottom"/>
          </w:tcPr>
          <w:p>
            <w:pPr>
              <w:jc w:val="right"/>
              <w:ind w:right="961"/>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on lease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gridSpan w:val="2"/>
          </w:tcPr>
          <w:p>
            <w:pPr>
              <w:ind w:left="160"/>
              <w:spacing w:after="0"/>
              <w:rPr>
                <w:sz w:val="20"/>
                <w:szCs w:val="20"/>
                <w:color w:val="auto"/>
              </w:rPr>
            </w:pPr>
            <w:r>
              <w:rPr>
                <w:rFonts w:ascii="Arial" w:cs="Arial" w:eastAsia="Arial" w:hAnsi="Arial"/>
                <w:sz w:val="13"/>
                <w:szCs w:val="13"/>
                <w:color w:val="auto"/>
              </w:rPr>
              <w:t>Total finance lease expense</w:t>
            </w:r>
          </w:p>
        </w:tc>
        <w:tc>
          <w:tcPr>
            <w:tcW w:w="1100" w:type="dxa"/>
            <w:vAlign w:val="bottom"/>
            <w:tcBorders>
              <w:bottom w:val="single" w:sz="8" w:color="auto"/>
            </w:tcBorders>
          </w:tcPr>
          <w:p>
            <w:pPr>
              <w:jc w:val="right"/>
              <w:ind w:right="96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4"/>
                <w:szCs w:val="14"/>
                <w:color w:val="auto"/>
              </w:rPr>
              <w:t>Supplemental consolidated cash flow information related to leases follows:</w:t>
            </w: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5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1"/>
                <w:szCs w:val="11"/>
                <w:b w:val="1"/>
                <w:bCs w:val="1"/>
                <w:color w:val="auto"/>
                <w:w w:val="97"/>
              </w:rPr>
              <w:t>2023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used in operating activities:</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Operating leases</w:t>
            </w:r>
          </w:p>
        </w:tc>
        <w:tc>
          <w:tcPr>
            <w:tcW w:w="1100" w:type="dxa"/>
            <w:vAlign w:val="bottom"/>
          </w:tcPr>
          <w:p>
            <w:pPr>
              <w:jc w:val="right"/>
              <w:ind w:right="98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ind w:right="24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Cash used in financing activities: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ROU assets recognized in exchange for lease obligations: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ind w:left="100"/>
              <w:spacing w:after="0"/>
              <w:rPr>
                <w:sz w:val="20"/>
                <w:szCs w:val="20"/>
                <w:color w:val="auto"/>
              </w:rPr>
            </w:pPr>
            <w:r>
              <w:rPr>
                <w:rFonts w:ascii="Arial" w:cs="Arial" w:eastAsia="Arial" w:hAnsi="Arial"/>
                <w:sz w:val="13"/>
                <w:szCs w:val="13"/>
                <w:color w:val="auto"/>
              </w:rPr>
              <w:t>Finance leases</w:t>
            </w:r>
          </w:p>
        </w:tc>
        <w:tc>
          <w:tcPr>
            <w:tcW w:w="1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Supplemental information related to leases, including location of amounts reported in the accompanying consolidated balance sheets,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136"/>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Operating leases: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120" w:type="dxa"/>
            <w:vAlign w:val="bottom"/>
            <w:gridSpan w:val="3"/>
          </w:tcPr>
          <w:p>
            <w:pPr>
              <w:spacing w:after="0" w:line="138" w:lineRule="exact"/>
              <w:rPr>
                <w:sz w:val="20"/>
                <w:szCs w:val="20"/>
                <w:color w:val="auto"/>
              </w:rPr>
            </w:pPr>
            <w:r>
              <w:rPr>
                <w:rFonts w:ascii="Arial" w:cs="Arial" w:eastAsia="Arial" w:hAnsi="Arial"/>
                <w:sz w:val="13"/>
                <w:szCs w:val="13"/>
                <w:color w:val="auto"/>
              </w:rPr>
              <w:t>ROU assets</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1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color w:val="auto"/>
              </w:rPr>
              <w:t>Other assets</w:t>
            </w:r>
          </w:p>
        </w:tc>
        <w:tc>
          <w:tcPr>
            <w:tcW w:w="104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20" w:type="dxa"/>
            <w:vAlign w:val="bottom"/>
            <w:tcBorders>
              <w:top w:val="single" w:sz="8" w:color="CCEEFF"/>
              <w:bottom w:val="single" w:sz="8" w:color="CCEEFF"/>
            </w:tcBorders>
            <w:gridSpan w:val="3"/>
            <w:vMerge w:val="restart"/>
          </w:tcPr>
          <w:p>
            <w:pPr>
              <w:spacing w:after="0" w:line="119" w:lineRule="exact"/>
              <w:rPr>
                <w:sz w:val="20"/>
                <w:szCs w:val="20"/>
                <w:color w:val="auto"/>
              </w:rPr>
            </w:pPr>
            <w:r>
              <w:rPr>
                <w:rFonts w:ascii="Arial" w:cs="Arial" w:eastAsia="Arial" w:hAnsi="Arial"/>
                <w:sz w:val="13"/>
                <w:szCs w:val="13"/>
                <w:color w:val="auto"/>
              </w:rPr>
              <w:t>Lease 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continue"/>
          </w:tcPr>
          <w:p>
            <w:pPr>
              <w:spacing w:after="0"/>
              <w:rPr>
                <w:sz w:val="6"/>
                <w:szCs w:val="6"/>
                <w:color w:val="auto"/>
              </w:rPr>
            </w:pPr>
          </w:p>
        </w:tc>
        <w:tc>
          <w:tcPr>
            <w:tcW w:w="812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1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Accounts payable and accrued liabilities (current)</w:t>
            </w: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Other long-term liabilities (non-current)</w:t>
            </w: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3"/>
                <w:szCs w:val="13"/>
                <w:color w:val="auto"/>
              </w:rPr>
              <w:t>Total operating lease liabilities</w:t>
            </w:r>
          </w:p>
        </w:tc>
        <w:tc>
          <w:tcPr>
            <w:tcW w:w="104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81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81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ROU assets</w:t>
            </w:r>
          </w:p>
        </w:tc>
        <w:tc>
          <w:tcPr>
            <w:tcW w:w="10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120" w:type="dxa"/>
            <w:vAlign w:val="bottom"/>
            <w:gridSpan w:val="3"/>
          </w:tcPr>
          <w:p>
            <w:pPr>
              <w:ind w:left="100"/>
              <w:spacing w:after="0"/>
              <w:rPr>
                <w:sz w:val="20"/>
                <w:szCs w:val="20"/>
                <w:color w:val="auto"/>
              </w:rPr>
            </w:pPr>
            <w:r>
              <w:rPr>
                <w:rFonts w:ascii="Arial" w:cs="Arial" w:eastAsia="Arial" w:hAnsi="Arial"/>
                <w:sz w:val="13"/>
                <w:szCs w:val="13"/>
                <w:color w:val="auto"/>
              </w:rPr>
              <w:t>Property, equipment, and capitalized software, net</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8120" w:type="dxa"/>
            <w:vAlign w:val="bottom"/>
            <w:gridSpan w:val="3"/>
            <w:shd w:val="clear" w:color="auto" w:fill="CCEEFF"/>
          </w:tcPr>
          <w:p>
            <w:pPr>
              <w:spacing w:after="0" w:line="100" w:lineRule="exact"/>
              <w:rPr>
                <w:sz w:val="20"/>
                <w:szCs w:val="20"/>
                <w:color w:val="auto"/>
              </w:rPr>
            </w:pPr>
            <w:r>
              <w:rPr>
                <w:rFonts w:ascii="Arial" w:cs="Arial" w:eastAsia="Arial" w:hAnsi="Arial"/>
                <w:sz w:val="11"/>
                <w:szCs w:val="11"/>
                <w:color w:val="auto"/>
              </w:rPr>
              <w:t>Lease liabilities</w:t>
            </w:r>
          </w:p>
        </w:tc>
        <w:tc>
          <w:tcPr>
            <w:tcW w:w="10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120" w:type="dxa"/>
            <w:vAlign w:val="bottom"/>
            <w:gridSpan w:val="3"/>
          </w:tcPr>
          <w:p>
            <w:pPr>
              <w:ind w:left="100"/>
              <w:spacing w:after="0"/>
              <w:rPr>
                <w:sz w:val="20"/>
                <w:szCs w:val="20"/>
                <w:color w:val="auto"/>
              </w:rPr>
            </w:pPr>
            <w:r>
              <w:rPr>
                <w:rFonts w:ascii="Arial" w:cs="Arial" w:eastAsia="Arial" w:hAnsi="Arial"/>
                <w:sz w:val="13"/>
                <w:szCs w:val="13"/>
                <w:color w:val="auto"/>
              </w:rPr>
              <w:t>Accounts payable and accrued liabilities (current)</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1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Finance lease liabilities (non-current)</w:t>
            </w: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20" w:type="dxa"/>
            <w:vAlign w:val="bottom"/>
            <w:gridSpan w:val="3"/>
          </w:tcPr>
          <w:p>
            <w:pPr>
              <w:ind w:left="220"/>
              <w:spacing w:after="0"/>
              <w:rPr>
                <w:sz w:val="20"/>
                <w:szCs w:val="20"/>
                <w:color w:val="auto"/>
              </w:rPr>
            </w:pPr>
            <w:r>
              <w:rPr>
                <w:rFonts w:ascii="Arial" w:cs="Arial" w:eastAsia="Arial" w:hAnsi="Arial"/>
                <w:sz w:val="13"/>
                <w:szCs w:val="13"/>
                <w:color w:val="auto"/>
              </w:rPr>
              <w:t>Total finance lease liabilities</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Maturities of lease liabilities as of December 31,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8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Arial" w:cs="Arial" w:eastAsia="Arial" w:hAnsi="Arial"/>
                <w:sz w:val="11"/>
                <w:szCs w:val="11"/>
                <w:b w:val="1"/>
                <w:bCs w:val="1"/>
                <w:color w:val="auto"/>
              </w:rPr>
              <w:t>Operating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jc w:val="right"/>
              <w:ind w:right="478"/>
              <w:spacing w:after="0"/>
              <w:rPr>
                <w:sz w:val="20"/>
                <w:szCs w:val="20"/>
                <w:color w:val="auto"/>
              </w:rPr>
            </w:pPr>
            <w:r>
              <w:rPr>
                <w:rFonts w:ascii="Arial" w:cs="Arial" w:eastAsia="Arial" w:hAnsi="Arial"/>
                <w:sz w:val="11"/>
                <w:szCs w:val="11"/>
                <w:b w:val="1"/>
                <w:bCs w:val="1"/>
                <w:color w:val="auto"/>
              </w:rPr>
              <w:t>Finance</w:t>
            </w:r>
          </w:p>
        </w:tc>
      </w:tr>
      <w:tr>
        <w:trPr>
          <w:trHeight w:val="159"/>
        </w:trPr>
        <w:tc>
          <w:tcPr>
            <w:tcW w:w="8080" w:type="dxa"/>
            <w:vAlign w:val="bottom"/>
          </w:tcPr>
          <w:p>
            <w:pPr>
              <w:spacing w:after="0"/>
              <w:rPr>
                <w:sz w:val="13"/>
                <w:szCs w:val="13"/>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Leases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Leases</w:t>
            </w:r>
          </w:p>
        </w:tc>
      </w:tr>
      <w:tr>
        <w:trPr>
          <w:trHeight w:val="182"/>
        </w:trPr>
        <w:tc>
          <w:tcPr>
            <w:tcW w:w="8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5"/>
                <w:szCs w:val="15"/>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8080" w:type="dxa"/>
            <w:vAlign w:val="bottom"/>
          </w:tcPr>
          <w:p>
            <w:pPr>
              <w:ind w:left="20"/>
              <w:spacing w:after="0"/>
              <w:rPr>
                <w:sz w:val="20"/>
                <w:szCs w:val="20"/>
                <w:color w:val="auto"/>
              </w:rPr>
            </w:pPr>
            <w:r>
              <w:rPr>
                <w:rFonts w:ascii="Arial" w:cs="Arial" w:eastAsia="Arial" w:hAnsi="Arial"/>
                <w:sz w:val="13"/>
                <w:szCs w:val="13"/>
                <w:color w:val="auto"/>
              </w:rPr>
              <w:t>2026</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8080" w:type="dxa"/>
            <w:vAlign w:val="bottom"/>
          </w:tcPr>
          <w:p>
            <w:pPr>
              <w:ind w:left="20"/>
              <w:spacing w:after="0"/>
              <w:rPr>
                <w:sz w:val="20"/>
                <w:szCs w:val="20"/>
                <w:color w:val="auto"/>
              </w:rPr>
            </w:pPr>
            <w:r>
              <w:rPr>
                <w:rFonts w:ascii="Arial" w:cs="Arial" w:eastAsia="Arial" w:hAnsi="Arial"/>
                <w:sz w:val="13"/>
                <w:szCs w:val="13"/>
                <w:color w:val="auto"/>
              </w:rPr>
              <w:t>2028</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2029</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r>
      <w:tr>
        <w:trPr>
          <w:trHeight w:val="162"/>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Subtotal - undiscounted lease payments</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r>
      <w:tr>
        <w:trPr>
          <w:trHeight w:val="16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r>
      <w:tr>
        <w:trPr>
          <w:trHeight w:val="187"/>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8720" w:firstLine="5"/>
        <w:spacing w:after="0" w:line="379" w:lineRule="auto"/>
        <w:tabs>
          <w:tab w:leader="none" w:pos="157" w:val="left"/>
        </w:tabs>
        <w:numPr>
          <w:ilvl w:val="0"/>
          <w:numId w:val="31"/>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Goodwill and Intangible Assets, Net </w:t>
      </w:r>
      <w:r>
        <w:rPr>
          <w:rFonts w:ascii="Arial" w:cs="Arial" w:eastAsia="Arial" w:hAnsi="Arial"/>
          <w:sz w:val="14"/>
          <w:szCs w:val="14"/>
          <w:b w:val="1"/>
          <w:bCs w:val="1"/>
          <w:i w:val="1"/>
          <w:iCs w:val="1"/>
          <w:color w:val="000000"/>
        </w:rPr>
        <w:t>Goodwill</w:t>
      </w:r>
    </w:p>
    <w:p>
      <w:pPr>
        <w:spacing w:after="0"/>
        <w:rPr>
          <w:rFonts w:ascii="Arial" w:cs="Arial" w:eastAsia="Arial" w:hAnsi="Arial"/>
          <w:sz w:val="14"/>
          <w:szCs w:val="14"/>
          <w:b w:val="1"/>
          <w:bCs w:val="1"/>
          <w:color w:val="828282"/>
        </w:rPr>
      </w:pPr>
      <w:r>
        <w:rPr>
          <w:rFonts w:ascii="Arial" w:cs="Arial" w:eastAsia="Arial" w:hAnsi="Arial"/>
          <w:sz w:val="14"/>
          <w:szCs w:val="14"/>
          <w:color w:val="auto"/>
        </w:rPr>
        <w:t>The following table presents the changes in the carrying amounts of goodwill by segment, for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Medicaid</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Medicare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Other</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Consolidated</w:t>
            </w:r>
          </w:p>
        </w:tc>
      </w:tr>
      <w:tr>
        <w:trPr>
          <w:trHeight w:val="182"/>
        </w:trPr>
        <w:tc>
          <w:tcPr>
            <w:tcW w:w="5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2022</w:t>
            </w:r>
          </w:p>
        </w:tc>
        <w:tc>
          <w:tcPr>
            <w:tcW w:w="106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w:t>
            </w:r>
          </w:p>
        </w:tc>
      </w:tr>
      <w:tr>
        <w:trPr>
          <w:trHeight w:val="169"/>
        </w:trPr>
        <w:tc>
          <w:tcPr>
            <w:tcW w:w="5260" w:type="dxa"/>
            <w:vAlign w:val="bottom"/>
          </w:tcPr>
          <w:p>
            <w:pPr>
              <w:ind w:left="120"/>
              <w:spacing w:after="0"/>
              <w:rPr>
                <w:sz w:val="20"/>
                <w:szCs w:val="20"/>
                <w:color w:val="auto"/>
              </w:rPr>
            </w:pPr>
            <w:r>
              <w:rPr>
                <w:rFonts w:ascii="Arial" w:cs="Arial" w:eastAsia="Arial" w:hAnsi="Arial"/>
                <w:sz w:val="13"/>
                <w:szCs w:val="13"/>
                <w:color w:val="auto"/>
              </w:rPr>
              <w:t>Acquisitions and measurement period adjustments</w:t>
            </w: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6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2023</w:t>
            </w: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w:t>
            </w:r>
          </w:p>
        </w:tc>
      </w:tr>
      <w:tr>
        <w:trPr>
          <w:trHeight w:val="169"/>
        </w:trPr>
        <w:tc>
          <w:tcPr>
            <w:tcW w:w="5260" w:type="dxa"/>
            <w:vAlign w:val="bottom"/>
          </w:tcPr>
          <w:p>
            <w:pPr>
              <w:ind w:left="120"/>
              <w:spacing w:after="0"/>
              <w:rPr>
                <w:sz w:val="20"/>
                <w:szCs w:val="20"/>
                <w:color w:val="auto"/>
              </w:rPr>
            </w:pPr>
            <w:r>
              <w:rPr>
                <w:rFonts w:ascii="Arial" w:cs="Arial" w:eastAsia="Arial" w:hAnsi="Arial"/>
                <w:sz w:val="13"/>
                <w:szCs w:val="13"/>
                <w:color w:val="auto"/>
              </w:rPr>
              <w:t>Acquisitions and measurement period adjustments</w:t>
            </w: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165"/>
        </w:trPr>
        <w:tc>
          <w:tcPr>
            <w:tcW w:w="5260" w:type="dxa"/>
            <w:vAlign w:val="bottom"/>
            <w:tcBorders>
              <w:top w:val="single" w:sz="8" w:color="CCEEFF"/>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December 31, 2024</w:t>
            </w:r>
          </w:p>
        </w:tc>
        <w:tc>
          <w:tcPr>
            <w:tcW w:w="1060" w:type="dxa"/>
            <w:vAlign w:val="bottom"/>
            <w:tcBorders>
              <w:top w:val="single" w:sz="8" w:color="auto"/>
              <w:bottom w:val="single" w:sz="8" w:color="auto"/>
            </w:tcBorders>
            <w:shd w:val="clear" w:color="auto" w:fill="CCEEFF"/>
          </w:tcPr>
          <w:p>
            <w:pPr>
              <w:jc w:val="right"/>
              <w:ind w:right="899"/>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19"/>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633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919"/>
              <w:spacing w:after="0" w:line="141"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6"/>
              <w:spacing w:after="0" w:line="141" w:lineRule="exact"/>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1,671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the carrying amounts of both goodwill and intangible assets, net, in 2024, were due to the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auto"/>
        </w:rPr>
        <w:t>acquisitions described in Note 4, “Business Combinations.”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identified intangible assets, by major class, for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December 31, 2024</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auto"/>
              </w:rPr>
              <w:t>Cost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tcPr>
          <w:p>
            <w:pPr>
              <w:ind w:left="180"/>
              <w:spacing w:after="0" w:line="11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Carrying Amount</w:t>
            </w:r>
          </w:p>
        </w:tc>
        <w:tc>
          <w:tcPr>
            <w:tcW w:w="10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vMerge w:val="restart"/>
          </w:tcPr>
          <w:p>
            <w:pPr>
              <w:jc w:val="right"/>
              <w:ind w:right="458"/>
              <w:spacing w:after="0"/>
              <w:rPr>
                <w:sz w:val="20"/>
                <w:szCs w:val="20"/>
                <w:color w:val="auto"/>
              </w:rPr>
            </w:pPr>
            <w:r>
              <w:rPr>
                <w:rFonts w:ascii="Arial" w:cs="Arial" w:eastAsia="Arial" w:hAnsi="Arial"/>
                <w:sz w:val="11"/>
                <w:szCs w:val="11"/>
                <w:b w:val="1"/>
                <w:bCs w:val="1"/>
                <w:color w:val="auto"/>
              </w:rPr>
              <w:t>Cost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18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Carrying Amount</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right"/>
              <w:ind w:right="36"/>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and licenses</w:t>
            </w:r>
          </w:p>
        </w:tc>
        <w:tc>
          <w:tcPr>
            <w:tcW w:w="860" w:type="dxa"/>
            <w:vAlign w:val="bottom"/>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3"/>
                <w:szCs w:val="13"/>
                <w:color w:val="auto"/>
              </w:rPr>
              <w:t>Provider networks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names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2"/>
        </w:trPr>
        <w:tc>
          <w:tcPr>
            <w:tcW w:w="2740" w:type="dxa"/>
            <w:vAlign w:val="bottom"/>
          </w:tcPr>
          <w:p>
            <w:pPr>
              <w:ind w:left="120"/>
              <w:spacing w:after="0"/>
              <w:rPr>
                <w:sz w:val="20"/>
                <w:szCs w:val="20"/>
                <w:color w:val="auto"/>
              </w:rPr>
            </w:pPr>
            <w:r>
              <w:rPr>
                <w:rFonts w:ascii="Arial" w:cs="Arial" w:eastAsia="Arial" w:hAnsi="Arial"/>
                <w:sz w:val="13"/>
                <w:szCs w:val="13"/>
                <w:color w:val="auto"/>
              </w:rPr>
              <w:t>Total</w:t>
            </w:r>
          </w:p>
        </w:tc>
        <w:tc>
          <w:tcPr>
            <w:tcW w:w="86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As of December 31, 2024, we estimate that our intangible asset amortization will be approximately $80 million in 2025, $40 million in 2026, $29 million in 2027, and $21 million in 2028 and 2029.</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10. Medical Claims and Benefits Payable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our medical claims and benefits payable as of the dates indicated.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r>
      <w:tr>
        <w:trPr>
          <w:trHeight w:val="182"/>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Fee-for-service claims incurred but not paid (“IBNP”)</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w:t>
            </w: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Pharmacy payable</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206</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Capitation payable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6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r>
      <w:tr>
        <w:trPr>
          <w:trHeight w:val="185"/>
        </w:trPr>
        <w:tc>
          <w:tcPr>
            <w:tcW w:w="6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“Other” medical claims and benefits payable mainly includes provider incentives and amounts payable to certain providers for which we act as an intermediary on behalf of various government agencies, including arrangements where we are not assuming financial risk. The receipts and payments related to non-risk arrangements do not impact our consolidated statements of income.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the components of the change in our medical claims and benefits payable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1"/>
                <w:szCs w:val="11"/>
                <w:b w:val="1"/>
                <w:bCs w:val="1"/>
                <w:color w:val="auto"/>
              </w:rPr>
              <w:t>Year Ended December 31, 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2"/>
        </w:trPr>
        <w:tc>
          <w:tcPr>
            <w:tcW w:w="5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28,211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35,103</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27,600</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4,939</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1,889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34,428</w:t>
            </w:r>
          </w:p>
        </w:tc>
      </w:tr>
      <w:tr>
        <w:trPr>
          <w:trHeight w:val="149"/>
        </w:trPr>
        <w:tc>
          <w:tcPr>
            <w:tcW w:w="526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24,950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31,060</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3,239</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27,208</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5,225</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1,866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34,299</w:t>
            </w:r>
          </w:p>
        </w:tc>
      </w:tr>
      <w:tr>
        <w:trPr>
          <w:trHeight w:val="159"/>
        </w:trPr>
        <w:tc>
          <w:tcPr>
            <w:tcW w:w="526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476</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62"/>
        </w:trPr>
        <w:tc>
          <w:tcPr>
            <w:tcW w:w="526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3,667</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722</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4,640</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Molina Healthcare, Inc. 2024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1"/>
                <w:szCs w:val="11"/>
                <w:b w:val="1"/>
                <w:bCs w:val="1"/>
                <w:color w:val="auto"/>
              </w:rPr>
              <w:t>Year Ended December 31, 2023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2"/>
        </w:trPr>
        <w:tc>
          <w:tcPr>
            <w:tcW w:w="5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55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23,749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29,096</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23,354</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3,791</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1,524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28,669</w:t>
            </w:r>
          </w:p>
        </w:tc>
      </w:tr>
      <w:tr>
        <w:trPr>
          <w:trHeight w:val="149"/>
        </w:trPr>
        <w:tc>
          <w:tcPr>
            <w:tcW w:w="526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20,999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25,615</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2,069</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23,068</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3,724</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1,557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28,349</w:t>
            </w:r>
          </w:p>
        </w:tc>
      </w:tr>
      <w:tr>
        <w:trPr>
          <w:trHeight w:val="159"/>
        </w:trPr>
        <w:tc>
          <w:tcPr>
            <w:tcW w:w="526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162"/>
        </w:trPr>
        <w:tc>
          <w:tcPr>
            <w:tcW w:w="526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3,444</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4,204</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3"/>
        </w:trPr>
        <w:tc>
          <w:tcPr>
            <w:tcW w:w="5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1"/>
                <w:szCs w:val="11"/>
                <w:b w:val="1"/>
                <w:bCs w:val="1"/>
                <w:color w:val="auto"/>
              </w:rPr>
              <w:t>Year Ended December 31, 2022</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0"/>
        </w:trPr>
        <w:tc>
          <w:tcPr>
            <w:tcW w:w="5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92"/>
        </w:trPr>
        <w:tc>
          <w:tcPr>
            <w:tcW w:w="5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55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22,097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27,459</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21,846</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3,358</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1,971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27,175</w:t>
            </w:r>
          </w:p>
        </w:tc>
      </w:tr>
      <w:tr>
        <w:trPr>
          <w:trHeight w:val="149"/>
        </w:trPr>
        <w:tc>
          <w:tcPr>
            <w:tcW w:w="526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19,655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24,345</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1,966</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2,670</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21,621</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2,089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27,015</w:t>
            </w:r>
          </w:p>
        </w:tc>
      </w:tr>
      <w:tr>
        <w:trPr>
          <w:trHeight w:val="159"/>
        </w:trPr>
        <w:tc>
          <w:tcPr>
            <w:tcW w:w="526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2"/>
        </w:trPr>
        <w:tc>
          <w:tcPr>
            <w:tcW w:w="526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3,528</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Our estimates of medical claims and benefits payable recorded at December 31, 2023, 2022 and 2021 developed favorably by approximately $675 million, $427 million and</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$284 million in 2024, 2023 and 2022, respectively. The favorable prior year development recognized in 2024 was primarily due to lower than expected utilization of medical services by our members and improved operating performance, including claim payment recoveries related to prior year dates of service, mainly in the Medicaid segment. Consequently, the ultimate costs recognized in 2024, as claims payments were processed, were lower than our estimates in 2023.</w:t>
      </w:r>
    </w:p>
    <w:p>
      <w:pPr>
        <w:spacing w:after="0" w:line="55"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 favorable prior year development recognized in 2023 was primarily due to lower than expected utilization of medical services by our members and improved operating performance, including claim payment recoveries related to prior year dates of service, mainly in the Medicaid segment. Consequently, the ultimate costs recognized in 2023, as claims payments were processed, were lower than our estimates in 2022.</w:t>
      </w:r>
    </w:p>
    <w:p>
      <w:pPr>
        <w:spacing w:after="0" w:line="49"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The favorable prior year development recognized in 2022 was primarily due to lower than expected utilization of medical services by our members and improved operating performance, including claim payment recoveries related to prior year dates of service, mainly in the Medicaid segment. Consequently, the ultimate costs recognized in 2022, as claims payments were processed, were lower than our estimates in 2021, which was not discernible until additional information was provided, and as claims payments were processed.</w:t>
      </w:r>
    </w:p>
    <w:p>
      <w:pPr>
        <w:spacing w:after="0" w:line="200" w:lineRule="exact"/>
        <w:rPr>
          <w:sz w:val="20"/>
          <w:szCs w:val="20"/>
          <w:color w:val="auto"/>
        </w:rPr>
      </w:pPr>
    </w:p>
    <w:p>
      <w:pPr>
        <w:spacing w:after="0" w:line="203"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Molina Healthcare, Inc. 2024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79" w:name="page80"/>
    <w:bookmarkEnd w:id="79"/>
    <w:p>
      <w:pPr>
        <w:jc w:val="both"/>
        <w:ind w:right="240"/>
        <w:spacing w:after="0" w:line="271" w:lineRule="auto"/>
        <w:rPr>
          <w:sz w:val="20"/>
          <w:szCs w:val="20"/>
          <w:color w:val="auto"/>
        </w:rPr>
      </w:pPr>
      <w:r>
        <w:rPr>
          <w:rFonts w:ascii="Arial" w:cs="Arial" w:eastAsia="Arial" w:hAnsi="Arial"/>
          <w:sz w:val="14"/>
          <w:szCs w:val="14"/>
          <w:color w:val="auto"/>
        </w:rPr>
        <w:t>The following tables provide information about our consolidated incurred and paid claims development as of December 31, 2024, as well as cumulative claims frequency and the total of incurred but not paid claims liabilities. The pattern of incurred and paid claims development is consistent across each of our segments. The cumulative claim frequency is measured by claim event, and includes claims covered under capitated arrangements.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Incurred Claims and Allocated Claims Adjustment Expenses</w:t>
            </w:r>
          </w:p>
        </w:tc>
        <w:tc>
          <w:tcPr>
            <w:tcW w:w="2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restart"/>
          </w:tcPr>
          <w:p>
            <w:pPr>
              <w:jc w:val="right"/>
              <w:ind w:right="163"/>
              <w:spacing w:after="0"/>
              <w:rPr>
                <w:sz w:val="20"/>
                <w:szCs w:val="20"/>
                <w:color w:val="auto"/>
              </w:rPr>
            </w:pPr>
            <w:r>
              <w:rPr>
                <w:rFonts w:ascii="Arial" w:cs="Arial" w:eastAsia="Arial" w:hAnsi="Arial"/>
                <w:sz w:val="11"/>
                <w:szCs w:val="11"/>
                <w:b w:val="1"/>
                <w:bCs w:val="1"/>
                <w:color w:val="auto"/>
              </w:rPr>
              <w:t>Cumulative number of</w:t>
            </w:r>
          </w:p>
        </w:tc>
        <w:tc>
          <w:tcPr>
            <w:tcW w:w="0" w:type="dxa"/>
            <w:vAlign w:val="bottom"/>
          </w:tcPr>
          <w:p>
            <w:pPr>
              <w:spacing w:after="0"/>
              <w:rPr>
                <w:sz w:val="1"/>
                <w:szCs w:val="1"/>
                <w:color w:val="auto"/>
              </w:rPr>
            </w:pPr>
          </w:p>
        </w:tc>
      </w:tr>
      <w:tr>
        <w:trPr>
          <w:trHeight w:val="38"/>
        </w:trPr>
        <w:tc>
          <w:tcPr>
            <w:tcW w:w="1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Benefit Year</w:t>
            </w:r>
          </w:p>
        </w:tc>
        <w:tc>
          <w:tcPr>
            <w:tcW w:w="10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1680" w:type="dxa"/>
            <w:vAlign w:val="bottom"/>
            <w:vMerge w:val="restart"/>
          </w:tcPr>
          <w:p>
            <w:pPr>
              <w:jc w:val="right"/>
              <w:ind w:right="762"/>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vMerge w:val="restart"/>
          </w:tcPr>
          <w:p>
            <w:pPr>
              <w:jc w:val="right"/>
              <w:ind w:right="760"/>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40" w:type="dxa"/>
            <w:vAlign w:val="bottom"/>
            <w:vMerge w:val="restart"/>
          </w:tcPr>
          <w:p>
            <w:pPr>
              <w:jc w:val="right"/>
              <w:ind w:right="75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restart"/>
          </w:tcPr>
          <w:p>
            <w:pPr>
              <w:jc w:val="right"/>
              <w:ind w:right="478"/>
              <w:spacing w:after="0"/>
              <w:rPr>
                <w:sz w:val="20"/>
                <w:szCs w:val="20"/>
                <w:color w:val="auto"/>
              </w:rPr>
            </w:pPr>
            <w:r>
              <w:rPr>
                <w:rFonts w:ascii="Arial" w:cs="Arial" w:eastAsia="Arial" w:hAnsi="Arial"/>
                <w:sz w:val="11"/>
                <w:szCs w:val="11"/>
                <w:b w:val="1"/>
                <w:bCs w:val="1"/>
                <w:color w:val="auto"/>
              </w:rPr>
              <w:t>Total IBNP</w:t>
            </w:r>
          </w:p>
        </w:tc>
        <w:tc>
          <w:tcPr>
            <w:tcW w:w="10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8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reported claims</w:t>
            </w:r>
          </w:p>
        </w:tc>
        <w:tc>
          <w:tcPr>
            <w:tcW w:w="0" w:type="dxa"/>
            <w:vAlign w:val="bottom"/>
          </w:tcPr>
          <w:p>
            <w:pPr>
              <w:spacing w:after="0"/>
              <w:rPr>
                <w:sz w:val="1"/>
                <w:szCs w:val="1"/>
                <w:color w:val="auto"/>
              </w:rPr>
            </w:pPr>
          </w:p>
        </w:tc>
      </w:tr>
      <w:tr>
        <w:trPr>
          <w:trHeight w:val="181"/>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(Unaudited)</w:t>
            </w:r>
          </w:p>
        </w:tc>
        <w:tc>
          <w:tcPr>
            <w:tcW w:w="36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(Unaudited)</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ind w:left="1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27,459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27,036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74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69"/>
        </w:trPr>
        <w:tc>
          <w:tcPr>
            <w:tcW w:w="184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29,192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28,634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52</w:t>
            </w:r>
          </w:p>
        </w:tc>
        <w:tc>
          <w:tcPr>
            <w:tcW w:w="1740" w:type="dxa"/>
            <w:vAlign w:val="bottom"/>
            <w:gridSpan w:val="2"/>
          </w:tcPr>
          <w:p>
            <w:pPr>
              <w:jc w:val="right"/>
              <w:ind w:right="3"/>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70"/>
        </w:trPr>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174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90,773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3,083</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Cumulative Paid Claims and Allocated Claims Adjustment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Benefit Year</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center"/>
              <w:ind w:right="301"/>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1"/>
                <w:szCs w:val="11"/>
                <w:b w:val="1"/>
                <w:bCs w:val="1"/>
                <w:color w:val="auto"/>
              </w:rPr>
              <w:t>2024</w:t>
            </w:r>
          </w:p>
        </w:tc>
      </w:tr>
      <w:tr>
        <w:trPr>
          <w:trHeight w:val="181"/>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(Unaudited)</w:t>
            </w:r>
          </w:p>
        </w:tc>
        <w:tc>
          <w:tcPr>
            <w:tcW w:w="360" w:type="dxa"/>
            <w:vAlign w:val="bottom"/>
          </w:tcPr>
          <w:p>
            <w:pPr>
              <w:spacing w:after="0"/>
              <w:rPr>
                <w:sz w:val="15"/>
                <w:szCs w:val="15"/>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(Unaudited)</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59"/>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27,051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27,023</w:t>
            </w:r>
          </w:p>
        </w:tc>
      </w:tr>
      <w:tr>
        <w:trPr>
          <w:trHeight w:val="169"/>
        </w:trPr>
        <w:tc>
          <w:tcPr>
            <w:tcW w:w="188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right"/>
              <w:ind w:right="1"/>
              <w:spacing w:after="0"/>
              <w:rPr>
                <w:sz w:val="20"/>
                <w:szCs w:val="20"/>
                <w:color w:val="auto"/>
              </w:rPr>
            </w:pPr>
            <w:r>
              <w:rPr>
                <w:rFonts w:ascii="Arial" w:cs="Arial" w:eastAsia="Arial" w:hAnsi="Arial"/>
                <w:sz w:val="13"/>
                <w:szCs w:val="13"/>
                <w:color w:val="auto"/>
              </w:rPr>
              <w:t>25,615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28,887</w:t>
            </w:r>
          </w:p>
        </w:tc>
      </w:tr>
      <w:tr>
        <w:trPr>
          <w:trHeight w:val="170"/>
        </w:trPr>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31,060</w:t>
            </w:r>
          </w:p>
        </w:tc>
      </w:tr>
      <w:tr>
        <w:trPr>
          <w:trHeight w:val="160"/>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86,970</w:t>
            </w: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 reconciliation of claims development to the aggregate carrying amount of the liability for medical claims and benefits payable.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58"/>
              <w:spacing w:after="0"/>
              <w:rPr>
                <w:sz w:val="20"/>
                <w:szCs w:val="20"/>
                <w:color w:val="auto"/>
              </w:rPr>
            </w:pPr>
            <w:r>
              <w:rPr>
                <w:rFonts w:ascii="Arial" w:cs="Arial" w:eastAsia="Arial" w:hAnsi="Arial"/>
                <w:sz w:val="11"/>
                <w:szCs w:val="11"/>
                <w:b w:val="1"/>
                <w:bCs w:val="1"/>
                <w:color w:val="auto"/>
              </w:rPr>
              <w:t>2024</w:t>
            </w:r>
          </w:p>
        </w:tc>
      </w:tr>
      <w:tr>
        <w:trPr>
          <w:trHeight w:val="182"/>
        </w:trPr>
        <w:tc>
          <w:tcPr>
            <w:tcW w:w="5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558"/>
              <w:spacing w:after="0"/>
              <w:rPr>
                <w:sz w:val="20"/>
                <w:szCs w:val="20"/>
                <w:color w:val="auto"/>
              </w:rPr>
            </w:pPr>
            <w:r>
              <w:rPr>
                <w:rFonts w:ascii="Arial" w:cs="Arial" w:eastAsia="Arial" w:hAnsi="Arial"/>
                <w:sz w:val="11"/>
                <w:szCs w:val="11"/>
                <w:b w:val="1"/>
                <w:bCs w:val="1"/>
                <w:color w:val="auto"/>
              </w:rPr>
              <w:t>(In millions)</w:t>
            </w:r>
          </w:p>
        </w:tc>
      </w:tr>
      <w:tr>
        <w:trPr>
          <w:trHeight w:val="17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Incurred claims and allocated claims adjustment expenses</w:t>
            </w: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90,773</w:t>
            </w:r>
          </w:p>
        </w:tc>
      </w:tr>
      <w:tr>
        <w:trPr>
          <w:trHeight w:val="169"/>
        </w:trPr>
        <w:tc>
          <w:tcPr>
            <w:tcW w:w="5940" w:type="dxa"/>
            <w:vAlign w:val="bottom"/>
          </w:tcPr>
          <w:p>
            <w:pPr>
              <w:ind w:left="20"/>
              <w:spacing w:after="0"/>
              <w:rPr>
                <w:sz w:val="20"/>
                <w:szCs w:val="20"/>
                <w:color w:val="auto"/>
              </w:rPr>
            </w:pPr>
            <w:r>
              <w:rPr>
                <w:rFonts w:ascii="Arial" w:cs="Arial" w:eastAsia="Arial" w:hAnsi="Arial"/>
                <w:sz w:val="13"/>
                <w:szCs w:val="13"/>
                <w:color w:val="auto"/>
              </w:rPr>
              <w:t>Less: cumulative paid claims and allocated claims adjustment expenses</w:t>
            </w: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(86,970)</w:t>
            </w:r>
          </w:p>
        </w:tc>
      </w:tr>
      <w:tr>
        <w:trPr>
          <w:trHeight w:val="171"/>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 outstanding liabilities before 2022</w:t>
            </w: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5940" w:type="dxa"/>
            <w:vAlign w:val="bottom"/>
          </w:tcPr>
          <w:p>
            <w:pPr>
              <w:ind w:left="20"/>
              <w:spacing w:after="0"/>
              <w:rPr>
                <w:sz w:val="20"/>
                <w:szCs w:val="20"/>
                <w:color w:val="auto"/>
              </w:rPr>
            </w:pPr>
            <w:r>
              <w:rPr>
                <w:rFonts w:ascii="Arial" w:cs="Arial" w:eastAsia="Arial" w:hAnsi="Arial"/>
                <w:sz w:val="13"/>
                <w:szCs w:val="13"/>
                <w:color w:val="auto"/>
              </w:rPr>
              <w:t>Acquired balances</w:t>
            </w:r>
          </w:p>
        </w:tc>
        <w:tc>
          <w:tcPr>
            <w:tcW w:w="3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476</w:t>
            </w:r>
          </w:p>
        </w:tc>
      </w:tr>
      <w:tr>
        <w:trPr>
          <w:trHeight w:val="170"/>
        </w:trPr>
        <w:tc>
          <w:tcPr>
            <w:tcW w:w="5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Non-risk and other provider payables</w:t>
            </w:r>
          </w:p>
        </w:tc>
        <w:tc>
          <w:tcPr>
            <w:tcW w:w="3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62"/>
        </w:trPr>
        <w:tc>
          <w:tcPr>
            <w:tcW w:w="5940" w:type="dxa"/>
            <w:vAlign w:val="bottom"/>
          </w:tcPr>
          <w:p>
            <w:pPr>
              <w:ind w:left="20"/>
              <w:spacing w:after="0"/>
              <w:rPr>
                <w:sz w:val="20"/>
                <w:szCs w:val="20"/>
                <w:color w:val="auto"/>
              </w:rPr>
            </w:pPr>
            <w:r>
              <w:rPr>
                <w:rFonts w:ascii="Arial" w:cs="Arial" w:eastAsia="Arial" w:hAnsi="Arial"/>
                <w:sz w:val="13"/>
                <w:szCs w:val="13"/>
                <w:color w:val="auto"/>
              </w:rPr>
              <w:t>Medical claims and benefits payable</w:t>
            </w:r>
          </w:p>
        </w:tc>
        <w:tc>
          <w:tcPr>
            <w:tcW w:w="3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4,640</w:t>
            </w:r>
          </w:p>
        </w:tc>
      </w:tr>
      <w:tr>
        <w:trPr>
          <w:trHeight w:val="20"/>
        </w:trPr>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11. Debt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debt, as of December 31, 2024, are illustrated in the following table. All amounts represent the principal amounts of the debt instruments outstanding.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2027</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2028</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2029</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Thereafter</w:t>
            </w:r>
          </w:p>
        </w:tc>
      </w:tr>
      <w:tr>
        <w:trPr>
          <w:trHeight w:val="182"/>
        </w:trPr>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0"/>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80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650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171"/>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6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6.250% Notes due 2033</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r>
      <w:tr>
        <w:trPr>
          <w:trHeight w:val="182"/>
        </w:trPr>
        <w:tc>
          <w:tcPr>
            <w:tcW w:w="2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The following table summarizes our outstanding debt obligations, all of which are non-current as of the dates reported below:</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0"/>
        </w:trPr>
        <w:tc>
          <w:tcPr>
            <w:tcW w:w="8300" w:type="dxa"/>
            <w:vAlign w:val="bottom"/>
          </w:tcPr>
          <w:p>
            <w:pPr>
              <w:spacing w:after="0"/>
              <w:rPr>
                <w:sz w:val="13"/>
                <w:szCs w:val="1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2023</w:t>
            </w:r>
          </w:p>
        </w:tc>
      </w:tr>
      <w:tr>
        <w:trPr>
          <w:trHeight w:val="182"/>
        </w:trPr>
        <w:tc>
          <w:tcPr>
            <w:tcW w:w="8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136"/>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70"/>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Non-current long-term debt: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9"/>
        </w:trPr>
        <w:tc>
          <w:tcPr>
            <w:tcW w:w="8300" w:type="dxa"/>
            <w:vAlign w:val="bottom"/>
          </w:tcPr>
          <w:p>
            <w:pPr>
              <w:ind w:left="100"/>
              <w:spacing w:after="0"/>
              <w:rPr>
                <w:sz w:val="20"/>
                <w:szCs w:val="20"/>
                <w:color w:val="auto"/>
              </w:rPr>
            </w:pPr>
            <w:r>
              <w:rPr>
                <w:rFonts w:ascii="Arial" w:cs="Arial" w:eastAsia="Arial" w:hAnsi="Arial"/>
                <w:sz w:val="13"/>
                <w:szCs w:val="13"/>
                <w:color w:val="auto"/>
              </w:rPr>
              <w:t>4.375% Notes due 2028</w:t>
            </w:r>
          </w:p>
        </w:tc>
        <w:tc>
          <w:tcPr>
            <w:tcW w:w="940" w:type="dxa"/>
            <w:vAlign w:val="bottom"/>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1"/>
        </w:trPr>
        <w:tc>
          <w:tcPr>
            <w:tcW w:w="8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3.875% Notes due 2030</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69"/>
        </w:trPr>
        <w:tc>
          <w:tcPr>
            <w:tcW w:w="8300" w:type="dxa"/>
            <w:vAlign w:val="bottom"/>
          </w:tcPr>
          <w:p>
            <w:pPr>
              <w:ind w:left="100"/>
              <w:spacing w:after="0"/>
              <w:rPr>
                <w:sz w:val="20"/>
                <w:szCs w:val="20"/>
                <w:color w:val="auto"/>
              </w:rPr>
            </w:pPr>
            <w:r>
              <w:rPr>
                <w:rFonts w:ascii="Arial" w:cs="Arial" w:eastAsia="Arial" w:hAnsi="Arial"/>
                <w:sz w:val="13"/>
                <w:szCs w:val="13"/>
                <w:color w:val="auto"/>
              </w:rPr>
              <w:t>3.875% Notes due 2032</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71"/>
        </w:trPr>
        <w:tc>
          <w:tcPr>
            <w:tcW w:w="8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6.250% Notes due 2033</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3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Deferred debt issuance costs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7"/>
        </w:trPr>
        <w:tc>
          <w:tcPr>
            <w:tcW w:w="8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9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On September 20, 2024, we entered into a Second Amendment to our credit agreement (as amended, the “Credit Agreement”) which includes an increase in available commitments under the revolving credit facility (“Credit Facility”) to $1.25 billion, among other provisions. The Credit Agreement has a term of five years, and all amounts outstanding will be due and payable on September 20, 2029.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 We have other relationships, including financial advisory and banking, with some parties to the Credit Agreement.</w:t>
      </w:r>
    </w:p>
    <w:p>
      <w:pPr>
        <w:spacing w:after="0" w:line="5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Credit Agreement contains customary non-financial and financial covenants. As of December 31, 2024, we were in compliance with all financial and non-financial covenants under the Credit Agreement. As of December 31, 2024, no amounts were outstanding under the Credit Facility.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December 31, 2024, we were in compliance with all non-financial covenants in the indentures governing the senior notes.</w:t>
      </w:r>
    </w:p>
    <w:p>
      <w:pPr>
        <w:spacing w:after="0" w:line="53"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4.375% Notes due 2028. </w:t>
      </w:r>
      <w:r>
        <w:rPr>
          <w:rFonts w:ascii="Arial" w:cs="Arial" w:eastAsia="Arial" w:hAnsi="Arial"/>
          <w:sz w:val="14"/>
          <w:szCs w:val="14"/>
          <w:color w:val="auto"/>
        </w:rPr>
        <w:t>We have $800 million aggregate principal amount of senior notes (the “4.375% Notes”) outstanding as of December 31, 2024, which are due June 15,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2028, unless earlier redeemed. Interest, at a rate of 4.375% per annum, is payable semiannually in arrears on June 15 and December 15.</w:t>
      </w:r>
    </w:p>
    <w:p>
      <w:pPr>
        <w:spacing w:after="0" w:line="8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i w:val="1"/>
          <w:iCs w:val="1"/>
          <w:color w:val="auto"/>
        </w:rPr>
        <w:t xml:space="preserve">3.875% Notes due 2030. </w:t>
      </w:r>
      <w:r>
        <w:rPr>
          <w:rFonts w:ascii="Arial" w:cs="Arial" w:eastAsia="Arial" w:hAnsi="Arial"/>
          <w:sz w:val="14"/>
          <w:szCs w:val="14"/>
          <w:color w:val="auto"/>
        </w:rPr>
        <w:t>We have $650 million aggregate principal amount of senior notes (the “3.875% Notes due 2030”) outstanding as of December 31, 2024,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15, 2030, unless earlier redeemed. Interest, at a rate of 3.875% per annum, is payable semiannually in arrears on May 15 and November 15.</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i w:val="1"/>
          <w:iCs w:val="1"/>
          <w:color w:val="auto"/>
        </w:rPr>
        <w:t xml:space="preserve">3.875% Notes due 2032. </w:t>
      </w:r>
      <w:r>
        <w:rPr>
          <w:rFonts w:ascii="Arial" w:cs="Arial" w:eastAsia="Arial" w:hAnsi="Arial"/>
          <w:sz w:val="14"/>
          <w:szCs w:val="14"/>
          <w:color w:val="auto"/>
        </w:rPr>
        <w:t>We have $750 million aggregate principal amount of senior notes (the “3.875% Notes due 2032”) outstanding as of December 31, 2024,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May 15, 2032, unless earlier redeemed. Interest, at a rate of 3.875% per annum, is payable semiannually in arrears on May 15 and November 15.</w:t>
      </w:r>
    </w:p>
    <w:p>
      <w:pPr>
        <w:spacing w:after="0" w:line="3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i w:val="1"/>
          <w:iCs w:val="1"/>
          <w:color w:val="auto"/>
        </w:rPr>
        <w:t xml:space="preserve">6.250% Notes due 2033. </w:t>
      </w:r>
      <w:r>
        <w:rPr>
          <w:rFonts w:ascii="Arial" w:cs="Arial" w:eastAsia="Arial" w:hAnsi="Arial"/>
          <w:sz w:val="14"/>
          <w:szCs w:val="14"/>
          <w:color w:val="auto"/>
        </w:rPr>
        <w:t>On November 18, 2024, we completed the private offering of $ 750 million aggregate principal amount of senior notes (the “6.250% Notes due 2033”),</w:t>
      </w:r>
      <w:r>
        <w:rPr>
          <w:rFonts w:ascii="Arial" w:cs="Arial" w:eastAsia="Arial" w:hAnsi="Arial"/>
          <w:sz w:val="14"/>
          <w:szCs w:val="14"/>
          <w:i w:val="1"/>
          <w:iCs w:val="1"/>
          <w:color w:val="auto"/>
        </w:rPr>
        <w:t xml:space="preserve"> </w:t>
      </w:r>
      <w:r>
        <w:rPr>
          <w:rFonts w:ascii="Arial" w:cs="Arial" w:eastAsia="Arial" w:hAnsi="Arial"/>
          <w:sz w:val="14"/>
          <w:szCs w:val="14"/>
          <w:color w:val="auto"/>
        </w:rPr>
        <w:t>which are due January 15, 2033, unless earlier redeemed. The 6.250% Notes due 2033 contain optional early redemption provisions, with redemption prices in excess of par. Interest, at a rate of 6.250% per annum, is payable semiannually in arrears on January 15 and July 15 of each year, commencing July 15, 2025. Deferred issuance costs amounted to $10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828282"/>
        </w:rPr>
        <w:t>12.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for continuing operations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2022</w:t>
            </w:r>
          </w:p>
        </w:tc>
      </w:tr>
      <w:tr>
        <w:trPr>
          <w:trHeight w:val="182"/>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80" w:type="dxa"/>
            <w:vAlign w:val="bottom"/>
          </w:tcPr>
          <w:p>
            <w:pPr>
              <w:ind w:left="180"/>
              <w:spacing w:after="0"/>
              <w:rPr>
                <w:sz w:val="20"/>
                <w:szCs w:val="20"/>
                <w:color w:val="auto"/>
              </w:rPr>
            </w:pPr>
            <w:r>
              <w:rPr>
                <w:rFonts w:ascii="Arial" w:cs="Arial" w:eastAsia="Arial" w:hAnsi="Arial"/>
                <w:sz w:val="13"/>
                <w:szCs w:val="13"/>
                <w:color w:val="auto"/>
              </w:rPr>
              <w:t>Federal</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71"/>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59"/>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current</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r>
      <w:tr>
        <w:trPr>
          <w:trHeight w:val="15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6780" w:type="dxa"/>
            <w:vAlign w:val="bottom"/>
          </w:tcPr>
          <w:p>
            <w:pPr>
              <w:ind w:left="180"/>
              <w:spacing w:after="0"/>
              <w:rPr>
                <w:sz w:val="20"/>
                <w:szCs w:val="20"/>
                <w:color w:val="auto"/>
              </w:rPr>
            </w:pPr>
            <w:r>
              <w:rPr>
                <w:rFonts w:ascii="Arial" w:cs="Arial" w:eastAsia="Arial" w:hAnsi="Arial"/>
                <w:sz w:val="13"/>
                <w:szCs w:val="13"/>
                <w:color w:val="auto"/>
              </w:rPr>
              <w:t>Federal</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71"/>
        </w:trPr>
        <w:tc>
          <w:tcPr>
            <w:tcW w:w="6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State</w:t>
            </w: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67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deferred</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r>
      <w:tr>
        <w:trPr>
          <w:trHeight w:val="18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combined effective income tax rate for continuing operations is as follows:</w:t>
      </w:r>
    </w:p>
    <w:p>
      <w:pPr>
        <w:spacing w:after="0" w:line="134" w:lineRule="exact"/>
        <w:rPr>
          <w:sz w:val="20"/>
          <w:szCs w:val="20"/>
          <w:color w:val="auto"/>
        </w:rPr>
      </w:pPr>
    </w:p>
    <w:p>
      <w:pPr>
        <w:ind w:left="8220"/>
        <w:spacing w:after="0"/>
        <w:rPr>
          <w:sz w:val="20"/>
          <w:szCs w:val="20"/>
          <w:color w:val="auto"/>
        </w:rPr>
      </w:pPr>
      <w:r>
        <w:rPr>
          <w:rFonts w:ascii="Arial" w:cs="Arial" w:eastAsia="Arial" w:hAnsi="Arial"/>
          <w:sz w:val="11"/>
          <w:szCs w:val="11"/>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6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2022</w:t>
            </w:r>
          </w:p>
        </w:tc>
      </w:tr>
      <w:tr>
        <w:trPr>
          <w:trHeight w:val="16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Statutory federal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7540" w:type="dxa"/>
            <w:vAlign w:val="bottom"/>
            <w:gridSpan w:val="2"/>
          </w:tcPr>
          <w:p>
            <w:pPr>
              <w:ind w:left="20"/>
              <w:spacing w:after="0"/>
              <w:rPr>
                <w:sz w:val="20"/>
                <w:szCs w:val="20"/>
                <w:color w:val="auto"/>
              </w:rPr>
            </w:pPr>
            <w:r>
              <w:rPr>
                <w:rFonts w:ascii="Arial" w:cs="Arial" w:eastAsia="Arial" w:hAnsi="Arial"/>
                <w:sz w:val="13"/>
                <w:szCs w:val="13"/>
                <w:color w:val="auto"/>
              </w:rPr>
              <w:t>State income provision, net of federal benefit</w:t>
            </w: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500" w:type="dxa"/>
            <w:vAlign w:val="bottom"/>
          </w:tcPr>
          <w:p>
            <w:pPr>
              <w:jc w:val="right"/>
              <w:ind w:right="98"/>
              <w:spacing w:after="0"/>
              <w:rPr>
                <w:sz w:val="20"/>
                <w:szCs w:val="20"/>
                <w:color w:val="auto"/>
              </w:rPr>
            </w:pPr>
            <w:r>
              <w:rPr>
                <w:rFonts w:ascii="Arial" w:cs="Arial" w:eastAsia="Arial" w:hAnsi="Arial"/>
                <w:sz w:val="13"/>
                <w:szCs w:val="13"/>
                <w:color w:val="auto"/>
              </w:rPr>
              <w:t>3.0</w:t>
            </w:r>
          </w:p>
        </w:tc>
      </w:tr>
      <w:tr>
        <w:trPr>
          <w:trHeight w:val="171"/>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Nondeductible compensation</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1.8</w:t>
            </w:r>
          </w:p>
        </w:tc>
      </w:tr>
      <w:tr>
        <w:trPr>
          <w:trHeight w:val="16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(0.3)</w:t>
            </w:r>
          </w:p>
        </w:tc>
      </w:tr>
      <w:tr>
        <w:trPr>
          <w:trHeight w:val="182"/>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25.8 %</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and liabilities are classified as non-current. Significant components of our deferred tax assets and liabilities as of December 31, 2024 and 2023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0"/>
        </w:trPr>
        <w:tc>
          <w:tcPr>
            <w:tcW w:w="830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2023</w:t>
            </w:r>
          </w:p>
        </w:tc>
      </w:tr>
      <w:tr>
        <w:trPr>
          <w:trHeight w:val="182"/>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r>
      <w:tr>
        <w:trPr>
          <w:trHeight w:val="17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 and reserve liabilities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Other accrued medical costs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operating losses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Unearned premiums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Unrealized losses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assets and intangibles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Tax credit carryover</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Valuation allowance</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62"/>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deferred income tax assets, net of valuation allowance</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r>
      <w:tr>
        <w:trPr>
          <w:trHeight w:val="159"/>
        </w:trPr>
        <w:tc>
          <w:tcPr>
            <w:tcW w:w="830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deferred income tax liabilities</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r>
      <w:tr>
        <w:trPr>
          <w:trHeight w:val="18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deferred income tax asset</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At December 31, 2024, we had state net operating loss carryforwards of $39 million, which begin expiring in 2037 with some having an indefinite carryforward period, and foreign net operating loss carryforwards of $6 million, which</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begin expiring in 2032. Additionally, as of December 31, 2024, we had foreign tax credit carryovers of $5 million, which expire in 2030.</w:t>
      </w:r>
    </w:p>
    <w:p>
      <w:pPr>
        <w:spacing w:after="0" w:line="94"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2024, $19 million of deferred tax assets did not satisfy the recognition criteria. Therefore, we decreased our valuation allowance by $5 million, from $24 million at December 31, 2023, to $19 million as of December 31, 2024.</w:t>
      </w:r>
    </w:p>
    <w:p>
      <w:pPr>
        <w:spacing w:after="0" w:line="4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The roll forward of our unrecognized tax benefits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80" w:type="dxa"/>
            <w:vAlign w:val="bottom"/>
          </w:tcPr>
          <w:p>
            <w:pPr>
              <w:spacing w:after="0"/>
              <w:rPr>
                <w:sz w:val="13"/>
                <w:szCs w:val="13"/>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2022</w:t>
            </w:r>
          </w:p>
        </w:tc>
      </w:tr>
      <w:tr>
        <w:trPr>
          <w:trHeight w:val="182"/>
        </w:trPr>
        <w:tc>
          <w:tcPr>
            <w:tcW w:w="6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unrecognized tax benefits at beginning of period</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Lapse in statute of limitations</w:t>
            </w:r>
          </w:p>
        </w:tc>
        <w:tc>
          <w:tcPr>
            <w:tcW w:w="104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85"/>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Gross unrecognized tax benefits at end of period</w:t>
            </w: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The total amount of unrecognized tax benefits that, if recognized, would affect the effective tax rates is $5 million at December 31, 2024, 2023 and 2022. We expect that during the next 12 months it is reasonably possible that unrecognized tax benefit liabilities may decrease by $5 million due to resolution of a state refund claim. The state refund claim will not result in a cash payment for income taxes if our claim is denied.</w:t>
      </w:r>
    </w:p>
    <w:p>
      <w:pPr>
        <w:spacing w:after="0" w:line="49"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continuing practice is to recognize interest and/or penalties related to unrecognized tax benefits in income tax expense. Amounts accrued for the payment of interest and penalties as of December 31, 2024, 2023 and 2022 were insignificant.</w:t>
      </w:r>
    </w:p>
    <w:p>
      <w:pPr>
        <w:spacing w:after="0" w:line="3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We may be subject to examination by the IRS for calendar years after 2020. With a few exceptions, which are immaterial in the aggregate, we no longer are subject to state, local, and Puerto Rico tax examinations for years before 2019.</w:t>
      </w:r>
    </w:p>
    <w:p>
      <w:pPr>
        <w:spacing w:after="0" w:line="311" w:lineRule="exact"/>
        <w:rPr>
          <w:sz w:val="20"/>
          <w:szCs w:val="20"/>
          <w:color w:val="auto"/>
        </w:rPr>
      </w:pPr>
    </w:p>
    <w:p>
      <w:pPr>
        <w:ind w:right="9520" w:firstLine="5"/>
        <w:spacing w:after="0" w:line="379" w:lineRule="auto"/>
        <w:tabs>
          <w:tab w:leader="none" w:pos="236" w:val="left"/>
        </w:tabs>
        <w:numPr>
          <w:ilvl w:val="0"/>
          <w:numId w:val="32"/>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Stockholders' Equity </w:t>
      </w:r>
      <w:r>
        <w:rPr>
          <w:rFonts w:ascii="Arial" w:cs="Arial" w:eastAsia="Arial" w:hAnsi="Arial"/>
          <w:sz w:val="14"/>
          <w:szCs w:val="14"/>
          <w:b w:val="1"/>
          <w:bCs w:val="1"/>
          <w:i w:val="1"/>
          <w:iCs w:val="1"/>
          <w:color w:val="000000"/>
        </w:rPr>
        <w:t>Stock Purchase Programs</w:t>
      </w:r>
    </w:p>
    <w:p>
      <w:pPr>
        <w:spacing w:after="0" w:line="1"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In September 2023, our board of directors authorized the purchase of up to $750 million of our common stock. Under this program, pursuant to a Rule 10b5-1 trading plan, we purchased approximately 1,465,000 shares for $500 million in the third quarter of 2024 (average cost of $341.25 per share).</w:t>
      </w:r>
    </w:p>
    <w:p>
      <w:pPr>
        <w:spacing w:after="0" w:line="35"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In October 2024, our board of directors authorized the purchase of up to $1 billion of our common stock. This new program extends through December 31, 2025 and supersedes the stock purchase program previously approved by our board of directors in September 2023. Under this program, pursuant to a Rule 10b5-1 trading plan, we purchased approximately 1,666,000 shares for $500 million in the fourth quarter of 2024 (average cost of $300.04 per share). No shares were purchased in 2025 through February 11, 2025.</w:t>
      </w:r>
    </w:p>
    <w:p>
      <w:pPr>
        <w:spacing w:after="0" w:line="4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We have accrued a stock repurchase excise tax of $8 million related to the share repurchase programs as of December 31, 2024, located in “Accounts payable, accrued liabilities and other” and “Additional paid-in capital” in the accompanying consolidated balance sheets.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2"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In connection with our employee stock plans, approximately 360,000 shares and 442,000 shares of common stock were issued, net of shares used to settle employees’ income tax obligations, during the years ended December 31, 2024, and 2023, respectively. Total share-based compensation expense is reported in “General and administrative expenses” in the accompanying consolidated statements of income, and summarized below.</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0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0"/>
        </w:trPr>
        <w:tc>
          <w:tcPr>
            <w:tcW w:w="40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2024</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81"/>
        </w:trPr>
        <w:tc>
          <w:tcPr>
            <w:tcW w:w="4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22"/>
        </w:trPr>
        <w:tc>
          <w:tcPr>
            <w:tcW w:w="4020" w:type="dxa"/>
            <w:vAlign w:val="bottom"/>
          </w:tcPr>
          <w:p>
            <w:pPr>
              <w:spacing w:after="0"/>
              <w:rPr>
                <w:sz w:val="10"/>
                <w:szCs w:val="10"/>
                <w:color w:val="auto"/>
              </w:rPr>
            </w:pPr>
          </w:p>
        </w:tc>
        <w:tc>
          <w:tcPr>
            <w:tcW w:w="780" w:type="dxa"/>
            <w:vAlign w:val="bottom"/>
          </w:tcPr>
          <w:p>
            <w:pPr>
              <w:jc w:val="right"/>
              <w:ind w:right="20"/>
              <w:spacing w:after="0" w:line="122" w:lineRule="exact"/>
              <w:rPr>
                <w:sz w:val="20"/>
                <w:szCs w:val="20"/>
                <w:color w:val="auto"/>
              </w:rPr>
            </w:pPr>
            <w:r>
              <w:rPr>
                <w:rFonts w:ascii="Arial" w:cs="Arial" w:eastAsia="Arial" w:hAnsi="Arial"/>
                <w:sz w:val="11"/>
                <w:szCs w:val="11"/>
                <w:b w:val="1"/>
                <w:bCs w:val="1"/>
                <w:color w:val="auto"/>
              </w:rPr>
              <w:t>Pretax</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rPr>
              <w:t>Net-of-Tax</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rPr>
              <w:t>Pretax</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9"/>
              </w:rPr>
              <w:t>Net-of-Tax</w:t>
            </w: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rPr>
              <w:t>Pretax</w:t>
            </w:r>
          </w:p>
        </w:tc>
        <w:tc>
          <w:tcPr>
            <w:tcW w:w="180" w:type="dxa"/>
            <w:vAlign w:val="bottom"/>
          </w:tcPr>
          <w:p>
            <w:pPr>
              <w:spacing w:after="0"/>
              <w:rPr>
                <w:sz w:val="10"/>
                <w:szCs w:val="10"/>
                <w:color w:val="auto"/>
              </w:rPr>
            </w:pPr>
          </w:p>
        </w:tc>
        <w:tc>
          <w:tcPr>
            <w:tcW w:w="920" w:type="dxa"/>
            <w:vAlign w:val="bottom"/>
          </w:tcPr>
          <w:p>
            <w:pPr>
              <w:jc w:val="right"/>
              <w:ind w:right="219"/>
              <w:spacing w:after="0" w:line="122" w:lineRule="exact"/>
              <w:rPr>
                <w:sz w:val="20"/>
                <w:szCs w:val="20"/>
                <w:color w:val="auto"/>
              </w:rPr>
            </w:pPr>
            <w:r>
              <w:rPr>
                <w:rFonts w:ascii="Arial" w:cs="Arial" w:eastAsia="Arial" w:hAnsi="Arial"/>
                <w:sz w:val="11"/>
                <w:szCs w:val="11"/>
                <w:b w:val="1"/>
                <w:bCs w:val="1"/>
                <w:color w:val="auto"/>
              </w:rPr>
              <w:t>Net-of-Tax</w:t>
            </w:r>
          </w:p>
        </w:tc>
      </w:tr>
      <w:tr>
        <w:trPr>
          <w:trHeight w:val="144"/>
        </w:trPr>
        <w:tc>
          <w:tcPr>
            <w:tcW w:w="40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Charges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Charges</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Charges</w:t>
            </w:r>
          </w:p>
        </w:tc>
        <w:tc>
          <w:tcPr>
            <w:tcW w:w="180" w:type="dxa"/>
            <w:vAlign w:val="bottom"/>
          </w:tcPr>
          <w:p>
            <w:pPr>
              <w:spacing w:after="0"/>
              <w:rPr>
                <w:sz w:val="12"/>
                <w:szCs w:val="12"/>
                <w:color w:val="auto"/>
              </w:rPr>
            </w:pPr>
          </w:p>
        </w:tc>
        <w:tc>
          <w:tcPr>
            <w:tcW w:w="920" w:type="dxa"/>
            <w:vAlign w:val="bottom"/>
          </w:tcPr>
          <w:p>
            <w:pPr>
              <w:jc w:val="right"/>
              <w:ind w:right="279"/>
              <w:spacing w:after="0"/>
              <w:rPr>
                <w:sz w:val="20"/>
                <w:szCs w:val="20"/>
                <w:color w:val="auto"/>
              </w:rPr>
            </w:pPr>
            <w:r>
              <w:rPr>
                <w:rFonts w:ascii="Arial" w:cs="Arial" w:eastAsia="Arial" w:hAnsi="Arial"/>
                <w:sz w:val="11"/>
                <w:szCs w:val="11"/>
                <w:b w:val="1"/>
                <w:bCs w:val="1"/>
                <w:color w:val="auto"/>
              </w:rPr>
              <w:t>Amount</w:t>
            </w:r>
          </w:p>
        </w:tc>
      </w:tr>
      <w:tr>
        <w:trPr>
          <w:trHeight w:val="16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RSAs and PSUs (defined below)</w:t>
            </w:r>
          </w:p>
        </w:tc>
        <w:tc>
          <w:tcPr>
            <w:tcW w:w="78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108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Employee stock purchase plan</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87"/>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w:t>
      </w:r>
    </w:p>
    <w:p>
      <w:pPr>
        <w:spacing w:after="0" w:line="94"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At December 31, 2024, we had employee equity incentives outstanding under our 2019 Equity Incentive Plan (the “2019 EIP”). The 2019 EIP provides for awards, in the form of restricted stock awards (“RSAs”), performance stock units (“PSUs”), stock options, and other stock– or cash–based awards, to eligible persons who perform services for us. The 2019 EIP provides for the issuance of up to 2.9 million shares of our common stock.</w:t>
      </w:r>
    </w:p>
    <w:p>
      <w:pPr>
        <w:spacing w:after="0" w:line="49"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i w:val="1"/>
          <w:iCs w:val="1"/>
          <w:color w:val="auto"/>
        </w:rPr>
        <w:t>Stock-based awards</w:t>
      </w:r>
      <w:r>
        <w:rPr>
          <w:rFonts w:ascii="Arial" w:cs="Arial" w:eastAsia="Arial" w:hAnsi="Arial"/>
          <w:sz w:val="14"/>
          <w:szCs w:val="14"/>
          <w:color w:val="auto"/>
        </w:rPr>
        <w:t>. RSAs and PSUs are granted with a fair value equal to the market price of our common stock on the date of grant, and generally vest in equal annual</w:t>
      </w:r>
      <w:r>
        <w:rPr>
          <w:rFonts w:ascii="Arial" w:cs="Arial" w:eastAsia="Arial" w:hAnsi="Arial"/>
          <w:sz w:val="14"/>
          <w:szCs w:val="14"/>
          <w:i w:val="1"/>
          <w:iCs w:val="1"/>
          <w:color w:val="auto"/>
        </w:rPr>
        <w:t xml:space="preserve"> </w:t>
      </w:r>
      <w:r>
        <w:rPr>
          <w:rFonts w:ascii="Arial" w:cs="Arial" w:eastAsia="Arial" w:hAnsi="Arial"/>
          <w:sz w:val="14"/>
          <w:szCs w:val="14"/>
          <w:color w:val="auto"/>
        </w:rPr>
        <w:t>installments over periods up to four years from the date of grant. PSUs vest in their entirety at the end of three-year performance periods, if their performance conditions are met. We generally recognize expense for RSAs and PSUs on a straight-line basis. The weighted-average grant date fair value of our RSAs was $382.23 in 2024, $277.37 in 2023, and $312.27 in 2022. The weighted-average grant date fair value of our PSUs was $353.44 in 2024, $233.50 in 2023, and $214.94 in 2022. Activity for stock-based awards in the year ended December 31, 2024, is summarized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Weighted</w:t>
            </w: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4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0"/>
        </w:trPr>
        <w:tc>
          <w:tcPr>
            <w:tcW w:w="4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rPr>
              <w:t>Average</w:t>
            </w: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jc w:val="center"/>
              <w:ind w:right="260"/>
              <w:spacing w:after="0" w:line="111"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98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RSAs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rPr>
              <w:t>Grant Date</w:t>
            </w:r>
          </w:p>
        </w:tc>
        <w:tc>
          <w:tcPr>
            <w:tcW w:w="1580" w:type="dxa"/>
            <w:vAlign w:val="bottom"/>
            <w:vMerge w:val="restart"/>
          </w:tcPr>
          <w:p>
            <w:pPr>
              <w:jc w:val="right"/>
              <w:ind w:right="578"/>
              <w:spacing w:after="0"/>
              <w:rPr>
                <w:sz w:val="20"/>
                <w:szCs w:val="20"/>
                <w:color w:val="auto"/>
              </w:rPr>
            </w:pPr>
            <w:r>
              <w:rPr>
                <w:rFonts w:ascii="Arial" w:cs="Arial" w:eastAsia="Arial" w:hAnsi="Arial"/>
                <w:sz w:val="11"/>
                <w:szCs w:val="11"/>
                <w:b w:val="1"/>
                <w:bCs w:val="1"/>
                <w:color w:val="auto"/>
              </w:rPr>
              <w:t>PSUs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40"/>
              <w:spacing w:after="0" w:line="117" w:lineRule="exact"/>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55"/>
        </w:trPr>
        <w:tc>
          <w:tcPr>
            <w:tcW w:w="45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6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balance, December 31, 2023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535,447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268.41</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410,374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286.77</w:t>
            </w:r>
          </w:p>
        </w:tc>
        <w:tc>
          <w:tcPr>
            <w:tcW w:w="0" w:type="dxa"/>
            <w:vAlign w:val="bottom"/>
          </w:tcPr>
          <w:p>
            <w:pPr>
              <w:spacing w:after="0"/>
              <w:rPr>
                <w:sz w:val="1"/>
                <w:szCs w:val="1"/>
                <w:color w:val="auto"/>
              </w:rPr>
            </w:pPr>
          </w:p>
        </w:tc>
      </w:tr>
      <w:tr>
        <w:trPr>
          <w:trHeight w:val="169"/>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232,162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382.23</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307,226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353.44</w:t>
            </w: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251.45</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276.30</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(55,515)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307.84</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293.64</w:t>
            </w:r>
          </w:p>
        </w:tc>
        <w:tc>
          <w:tcPr>
            <w:tcW w:w="0" w:type="dxa"/>
            <w:vAlign w:val="bottom"/>
          </w:tcPr>
          <w:p>
            <w:pPr>
              <w:spacing w:after="0"/>
              <w:rPr>
                <w:sz w:val="1"/>
                <w:szCs w:val="1"/>
                <w:color w:val="auto"/>
              </w:rPr>
            </w:pPr>
          </w:p>
        </w:tc>
      </w:tr>
      <w:tr>
        <w:trPr>
          <w:trHeight w:val="18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balance, December 31, 2024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487,647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325.91</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529,082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As of December 31, 2024, total unrecognized compensation expense related to unvested RSAs and PSUs was $96 million, and $98 million, respectively, which we expect to recognize over a remaining weighted-average period of 2.0 years, and 1.9 years, respectively. This unrecognized compensation cost assumes an estimated forfeiture rate of 8% for non-executive employees as of December 31, 2024, based on actual forfeitures over the last 4 years.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total fair value of awards vested is presented in the following table.</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3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0"/>
        </w:trPr>
        <w:tc>
          <w:tcPr>
            <w:tcW w:w="7360" w:type="dxa"/>
            <w:vAlign w:val="bottom"/>
          </w:tcPr>
          <w:p>
            <w:pPr>
              <w:spacing w:after="0"/>
              <w:rPr>
                <w:sz w:val="13"/>
                <w:szCs w:val="1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2022</w:t>
            </w:r>
          </w:p>
        </w:tc>
      </w:tr>
      <w:tr>
        <w:trPr>
          <w:trHeight w:val="182"/>
        </w:trPr>
        <w:tc>
          <w:tcPr>
            <w:tcW w:w="7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0"/>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RSAs</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PSUs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r>
      <w:tr>
        <w:trPr>
          <w:trHeight w:val="182"/>
        </w:trPr>
        <w:tc>
          <w:tcPr>
            <w:tcW w:w="7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vested</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auto"/>
        </w:rPr>
        <w:t>Employee Stock Purchase Plans (“ESPP”)</w:t>
      </w:r>
    </w:p>
    <w:p>
      <w:pPr>
        <w:spacing w:after="0" w:line="9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Under our ESPP,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a standard option pricing model. For the years ended December 31, 2024, 2023, and 2022, the inputs to this model were as follows: risk-free interest rates of approximately 0.2% to 5.4%; expected volatility of approximately 25% to 31%, dividend yields of 0%, and an average expected life of 0.5 years.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14. Employee Benefit Plans</w:t>
      </w:r>
    </w:p>
    <w:p>
      <w:pPr>
        <w:spacing w:after="0" w:line="94"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We sponsor defined contribution 401(k) plans that cover substantially all employees of our company and its subsidiaries. Eligible employees are permitted to contribute up to the maximum amount allowed by law. We match up to the first 4% of compensation contributed by employees. Expense recognized in connection with our contributions to the 401(k) plans amounted to $61 million, $54 million, and $45 million in the years ended December 31, 2024, 2023, and 2022, respectively.</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We also have a non-qualified deferred compensation plan for certain key employees. Under this plan, eligible participants may defer portions of their base salary and bonus to provide tax-deferred growth. The deferrals are distributable based upon termination of employment or other periods, as elected under the plan and were $50 million and $39 million as of December 31, 2024 and 2023, respectively.</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15.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 and Dividend Restrictions</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health plans, which are generally operated by our respective wholly owned subsidiaries in those states in which our health plans operate, are subject to state laws and regulations that, among other things, require the maintenance of minimum levels of statutory capital, as defined by each state. The National Association of Insurance Commissioners (“NAIC”), has adopted model rules which, if implemented by the states, set minimum capitalization requirements for insurance companies, HMOs, and other entities bearing risk for healthcare coverage. The requirements take the form of risk-based capital (“RBC”) rules which may vary from state to state. Regulators in some states may also enforce capital requirements that require the retention of net worth in excess of amounts formally required by statute or regulation.</w:t>
      </w:r>
    </w:p>
    <w:p>
      <w:pPr>
        <w:spacing w:after="0" w:line="5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All of our health plans except California, Florida, Massachusetts and New York, are subject to the RBC rules. The minimum statutory capital requirements in these states are based on a percentage of annualized premium revenue, a percentage of annualized health care costs, a percentage of certain liabilities, or other financial ratios. If our California, Florida, Massachusetts or New York health plans became subject to RBC rules, minimum capital required for those states could increase. Our Massachusetts health plan maintains a $35 million performance bond, effective through December 31, 2025, to partially satisfy minimum net worth requirements in that state.</w:t>
      </w:r>
    </w:p>
    <w:p>
      <w:pPr>
        <w:spacing w:after="0" w:line="5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which may not be transferable to us in the form of loans, advances, or cash dividends was approximately $4.2 billion at December 31, 2024.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$445 million and $742 million as of December 31, 2024 and 2023, respectively.</w:t>
      </w:r>
    </w:p>
    <w:p>
      <w:pPr>
        <w:spacing w:after="0" w:line="57"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As of December 31, 2024, our health plans had aggregate statutory capital and surplus of approximately $4.6 billion, which was in excess of the required minimum aggregate statutory capital and surplus of approximately $2.6 billion. We have the ability and commitment to provide additional capital to each of our health plans when necessary to ensure that statutory capital and surplus continues to meet regulatory requirements.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5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i w:val="1"/>
          <w:iCs w:val="1"/>
          <w:color w:val="auto"/>
        </w:rPr>
        <w:t xml:space="preserve">Kentucky RFP. </w:t>
      </w:r>
      <w:r>
        <w:rPr>
          <w:rFonts w:ascii="Arial" w:cs="Arial" w:eastAsia="Arial" w:hAnsi="Arial"/>
          <w:sz w:val="14"/>
          <w:szCs w:val="14"/>
          <w:color w:val="auto"/>
        </w:rPr>
        <w:t>On September 4, 2020, Anthem Kentucky Managed Care Plan, Inc. (“Anthem”) brought an action in Franklin County Circuit Court against the Kentucky Finance and</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March 14, 2024, the KSC entered an Order affirming the Kentucky Court of Appeals. On April 3, 2024, Anthem filed a motion for reconsideration of the KSC Order, which the KSC denied on October 24, 2024. On November 1, 2024, the trial judge lifted the existing injunction that had allowed Anthem to participate as a sixth managed care organization in the Kentucky Medicaid Program. On November 4, 2024, Anthem sought an evidentiary hearing on other alleged scoring errors in the 2020 RFP. On November 26, 2024, the trial court judge denied Anthem’s motion for evidentiary hearing. Anthem did not appeal, thereby concluding this case.</w:t>
      </w:r>
    </w:p>
    <w:p>
      <w:pPr>
        <w:spacing w:after="0" w:line="58"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i w:val="1"/>
          <w:iCs w:val="1"/>
          <w:color w:val="auto"/>
        </w:rPr>
        <w:t xml:space="preserve">Puerto Rico. </w:t>
      </w:r>
      <w:r>
        <w:rPr>
          <w:rFonts w:ascii="Arial" w:cs="Arial" w:eastAsia="Arial" w:hAnsi="Arial"/>
          <w:sz w:val="14"/>
          <w:szCs w:val="14"/>
          <w:color w:val="auto"/>
        </w:rPr>
        <w:t>In August 2021, Molina Healthcare of Puerto Rico, Inc. (“MHPR”) filed a complaint with the Commonwealth of Puerto Rico, Court of First Instance, San Juan (State</w:t>
      </w:r>
      <w:r>
        <w:rPr>
          <w:rFonts w:ascii="Arial" w:cs="Arial" w:eastAsia="Arial" w:hAnsi="Arial"/>
          <w:sz w:val="14"/>
          <w:szCs w:val="14"/>
          <w:i w:val="1"/>
          <w:iCs w:val="1"/>
          <w:color w:val="auto"/>
        </w:rPr>
        <w:t xml:space="preserve"> </w:t>
      </w:r>
      <w:r>
        <w:rPr>
          <w:rFonts w:ascii="Arial" w:cs="Arial" w:eastAsia="Arial" w:hAnsi="Arial"/>
          <w:sz w:val="14"/>
          <w:szCs w:val="14"/>
          <w:color w:val="auto"/>
        </w:rPr>
        <w:t>Court) asserting breach of contract against Puerto Rico Health Insurance Administration (“ASES”). In September 2021, ASES filed a counterclaim and a third-party complaint against MHPR and the Company. In October 2024, the parties finalized a settlement of all outstanding claims, the terms of which are not a material impact on the Company’s business, financial condition, cash flows, or results of operations.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4"/>
          <w:szCs w:val="14"/>
          <w:i w:val="1"/>
          <w:iCs w:val="1"/>
          <w:color w:val="auto"/>
        </w:rPr>
        <w:t xml:space="preserve">Texas Qui Tam Litigation. </w:t>
      </w:r>
      <w:r>
        <w:rPr>
          <w:rFonts w:ascii="Arial" w:cs="Arial" w:eastAsia="Arial" w:hAnsi="Arial"/>
          <w:sz w:val="14"/>
          <w:szCs w:val="14"/>
          <w:color w:val="auto"/>
        </w:rPr>
        <w:t>On May 7, 2013, a relator filed under seal a</w:t>
      </w:r>
      <w:r>
        <w:rPr>
          <w:rFonts w:ascii="Arial" w:cs="Arial" w:eastAsia="Arial" w:hAnsi="Arial"/>
          <w:sz w:val="14"/>
          <w:szCs w:val="14"/>
          <w:i w:val="1"/>
          <w:iCs w:val="1"/>
          <w:color w:val="auto"/>
        </w:rPr>
        <w:t xml:space="preserve"> qui tam </w:t>
      </w:r>
      <w:r>
        <w:rPr>
          <w:rFonts w:ascii="Arial" w:cs="Arial" w:eastAsia="Arial" w:hAnsi="Arial"/>
          <w:sz w:val="14"/>
          <w:szCs w:val="14"/>
          <w:color w:val="auto"/>
        </w:rPr>
        <w:t>action in Texas state court against Molina Healthcare, Inc. and Molina Healthcare of Texas, Inc.,</w:t>
      </w:r>
      <w:r>
        <w:rPr>
          <w:rFonts w:ascii="Arial" w:cs="Arial" w:eastAsia="Arial" w:hAnsi="Arial"/>
          <w:sz w:val="14"/>
          <w:szCs w:val="14"/>
          <w:i w:val="1"/>
          <w:iCs w:val="1"/>
          <w:color w:val="auto"/>
        </w:rPr>
        <w:t xml:space="preserve"> </w:t>
      </w:r>
      <w:r>
        <w:rPr>
          <w:rFonts w:ascii="Arial" w:cs="Arial" w:eastAsia="Arial" w:hAnsi="Arial"/>
          <w:sz w:val="14"/>
          <w:szCs w:val="14"/>
          <w:color w:val="auto"/>
        </w:rPr>
        <w:t>asserting claims under the Texas Medicaid Fraud Prevention Act (“TMFPA”) on behalf of the State of Texas. As required by the TMFPA, the original petition was filed in camera and under seal, and without Molina’s awareness, to permit the State to decide whether to intervene. In 2019, the State declined to intervene. In June 2019, as a result of the State’s election to decline intervention, the trial court unsealed the original petition, at which time Molina became aware of the lawsuit. The relator’s third amended petition was filed on January 19, 2024. The petition alleged that, during the periods in question some ten years ago, Molina failed to assess STAR+PLUS members for personal attendant services, failed to provide those members with contractually required health care benefits, and misrepresented to the State Molina’s capacity to perform the assessments and the status of the assessments. Based on these allegations, the relator contended that Molina is liable to the State under the TMFPA for statutorily defined civil remedies, disgorgement of previous capitation payments, and interest. Molina denied the relator’s allegations as well as any liability in the lawsuit. In January 2025, the parties entered into a final settlement agreement in order to avoid the delay and expense of litigation. This matter is therefore concluded, and will not have a material effect on our business, financial condition, cash flows,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Professional Liability Insurance</w:t>
      </w:r>
    </w:p>
    <w:p>
      <w:pPr>
        <w:spacing w:after="0" w:line="92"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We carry medical professional liability insurance for healthcare services rendered in our primary care locations and throughout the communities we serve. In addition, we carry managed care errors and omissions insurance for all managed care services that we provide.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6"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828282"/>
        </w:rPr>
        <w:t>16. Segments</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currently have four reportable segments consisting of: 1) Medicaid; 2) Medicare; 3) Marketplace; and 4) Other. Our reportable segments are consistent with how we currently manage the business and view the markets we serve.</w:t>
      </w:r>
    </w:p>
    <w:p>
      <w:pPr>
        <w:spacing w:after="0" w:line="35"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35"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1"/>
                <w:szCs w:val="11"/>
                <w:b w:val="1"/>
                <w:bCs w:val="1"/>
                <w:color w:val="auto"/>
              </w:rPr>
              <w:t>Year Ended December 31, 2024</w:t>
            </w: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37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30,579</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5,542</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2,506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38,627</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30,579</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5,542</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2,506</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38,708</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40,650</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27,600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4,939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34,428</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27,600</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4,939</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34,501</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4,442</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1,707</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1,589</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2,979</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603</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4,199</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bl>
    <w:p>
      <w:pPr>
        <w:spacing w:after="0" w:line="200" w:lineRule="exact"/>
        <w:rPr>
          <w:sz w:val="20"/>
          <w:szCs w:val="20"/>
          <w:color w:val="auto"/>
        </w:rPr>
      </w:pPr>
    </w:p>
    <w:p>
      <w:pPr>
        <w:spacing w:after="0" w:line="295"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Molina Healthcare, Inc. 2024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1"/>
                <w:szCs w:val="11"/>
                <w:b w:val="1"/>
                <w:bCs w:val="1"/>
                <w:color w:val="auto"/>
              </w:rPr>
              <w:t>Year Ended December 31, 2023</w:t>
            </w: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37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26,327</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4,179</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32,529</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26,327</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4,179</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2,023</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32,605</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34,072</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23,354</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3,791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28,669</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23,354</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3,791</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1,524</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28,736</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1,573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1,464</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2,973</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388</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3,860</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339"/>
        </w:trPr>
        <w:tc>
          <w:tcPr>
            <w:tcW w:w="3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right="216"/>
              <w:spacing w:after="0"/>
              <w:rPr>
                <w:sz w:val="20"/>
                <w:szCs w:val="20"/>
                <w:color w:val="auto"/>
              </w:rPr>
            </w:pPr>
            <w:r>
              <w:rPr>
                <w:rFonts w:ascii="Arial" w:cs="Arial" w:eastAsia="Arial" w:hAnsi="Arial"/>
                <w:sz w:val="11"/>
                <w:szCs w:val="11"/>
                <w:b w:val="1"/>
                <w:bCs w:val="1"/>
                <w:color w:val="auto"/>
              </w:rPr>
              <w:t>Year Ended December 31, 2022</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37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24,827</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3,795</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2,261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30,883</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24,827</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3,795</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2,261</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30,954</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31,974</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21,846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3,358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27,175</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21,846</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3,358</w:t>
            </w: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27,235</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3,566</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1,063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2,981</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437</w:t>
            </w:r>
          </w:p>
        </w:tc>
        <w:tc>
          <w:tcPr>
            <w:tcW w:w="3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3,708</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55"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investment income and certain other revenue.</w:t>
      </w:r>
    </w:p>
    <w:p>
      <w:pPr>
        <w:spacing w:after="0" w:line="17" w:lineRule="exact"/>
        <w:rPr>
          <w:rFonts w:ascii="Arial" w:cs="Arial" w:eastAsia="Arial" w:hAnsi="Arial"/>
          <w:sz w:val="13"/>
          <w:szCs w:val="13"/>
          <w:color w:val="auto"/>
        </w:rPr>
      </w:pPr>
    </w:p>
    <w:p>
      <w:pPr>
        <w:ind w:left="260" w:hanging="255"/>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depreciation and amortization, impairment, and certain other operating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828282"/>
        </w:rPr>
        <w:t>17. Condensed Financial Information of Registrant</w:t>
      </w:r>
    </w:p>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condensed balance sheets as of December 31, 2024 and 2023, and the related condensed statements of income, comprehensive income and cash flows for each of the three years in the period ended December 31, 2024 for our parent company Molina Healthcare, Inc. (the “Registrant”), are presented below.</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Balance Sheets</w:t>
      </w:r>
    </w:p>
    <w:p>
      <w:pPr>
        <w:sectPr>
          <w:pgSz w:w="11900" w:h="16838" w:orient="portrait"/>
          <w:cols w:equalWidth="0" w:num="1">
            <w:col w:w="11280"/>
          </w:cols>
          <w:pgMar w:left="300" w:top="8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Receivables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Due from affiliates</w:t>
      </w:r>
    </w:p>
    <w:p>
      <w:pPr>
        <w:spacing w:after="0" w:line="20" w:lineRule="exact"/>
        <w:rPr>
          <w:sz w:val="20"/>
          <w:szCs w:val="20"/>
          <w:color w:val="auto"/>
        </w:rPr>
      </w:pPr>
    </w:p>
    <w:p>
      <w:pPr>
        <w:ind w:left="360" w:right="960" w:hanging="190"/>
        <w:spacing w:after="0" w:line="281" w:lineRule="auto"/>
        <w:rPr>
          <w:sz w:val="20"/>
          <w:szCs w:val="20"/>
          <w:color w:val="auto"/>
        </w:rPr>
      </w:pPr>
      <w:r>
        <w:rPr>
          <w:rFonts w:ascii="Arial" w:cs="Arial" w:eastAsia="Arial" w:hAnsi="Arial"/>
          <w:sz w:val="13"/>
          <w:szCs w:val="13"/>
          <w:color w:val="auto"/>
        </w:rPr>
        <w:t>Prepaid expenses and other current assets Total current assets</w:t>
      </w: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Investments in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Advances to related parties and other 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December 31,</w:t>
      </w:r>
    </w:p>
    <w:p>
      <w:pPr>
        <w:spacing w:after="0" w:line="28" w:lineRule="exact"/>
        <w:rPr>
          <w:sz w:val="20"/>
          <w:szCs w:val="20"/>
          <w:color w:val="auto"/>
        </w:rPr>
      </w:pPr>
    </w:p>
    <w:tbl>
      <w:tblPr>
        <w:tblLayout w:type="fixed"/>
        <w:tblInd w:w="1080" w:type="dxa"/>
        <w:tblCellMar>
          <w:top w:w="0" w:type="dxa"/>
          <w:left w:w="0" w:type="dxa"/>
          <w:bottom w:w="0" w:type="dxa"/>
          <w:right w:w="0" w:type="dxa"/>
        </w:tblCellMar>
      </w:tblPr>
      <w:tr>
        <w:trPr>
          <w:trHeight w:val="150"/>
        </w:trPr>
        <w:tc>
          <w:tcPr>
            <w:tcW w:w="29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2023</w:t>
            </w:r>
          </w:p>
        </w:tc>
      </w:tr>
      <w:tr>
        <w:trPr>
          <w:trHeight w:val="255"/>
        </w:trPr>
        <w:tc>
          <w:tcPr>
            <w:tcW w:w="2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jc w:val="right"/>
              <w:ind w:right="477"/>
              <w:spacing w:after="0"/>
              <w:rPr>
                <w:sz w:val="20"/>
                <w:szCs w:val="20"/>
                <w:color w:val="auto"/>
              </w:rPr>
            </w:pPr>
            <w:r>
              <w:rPr>
                <w:rFonts w:ascii="Arial" w:cs="Arial" w:eastAsia="Arial" w:hAnsi="Arial"/>
                <w:sz w:val="11"/>
                <w:szCs w:val="11"/>
                <w:b w:val="1"/>
                <w:bCs w:val="1"/>
                <w:color w:val="auto"/>
              </w:rPr>
              <w:t>(In millions, except per-share data)</w:t>
            </w:r>
          </w:p>
        </w:tc>
      </w:tr>
      <w:tr>
        <w:trPr>
          <w:trHeight w:val="237"/>
        </w:trPr>
        <w:tc>
          <w:tcPr>
            <w:tcW w:w="3260" w:type="dxa"/>
            <w:vAlign w:val="bottom"/>
            <w:gridSpan w:val="2"/>
          </w:tcPr>
          <w:p>
            <w:pPr>
              <w:jc w:val="right"/>
              <w:ind w:right="2740"/>
              <w:spacing w:after="0"/>
              <w:rPr>
                <w:sz w:val="20"/>
                <w:szCs w:val="20"/>
                <w:color w:val="auto"/>
              </w:rPr>
            </w:pPr>
            <w:r>
              <w:rPr>
                <w:rFonts w:ascii="Arial" w:cs="Arial" w:eastAsia="Arial" w:hAnsi="Arial"/>
                <w:sz w:val="13"/>
                <w:szCs w:val="13"/>
                <w:b w:val="1"/>
                <w:bCs w:val="1"/>
                <w:color w:val="auto"/>
                <w:w w:val="96"/>
              </w:rPr>
              <w:t>ASSETS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4"/>
        </w:trPr>
        <w:tc>
          <w:tcPr>
            <w:tcW w:w="3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24"/>
                <w:szCs w:val="2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694</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171"/>
        </w:trPr>
        <w:tc>
          <w:tcPr>
            <w:tcW w:w="2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159"/>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1,049</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825</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4,911</w:t>
            </w:r>
          </w:p>
        </w:tc>
      </w:tr>
      <w:tr>
        <w:trPr>
          <w:trHeight w:val="170"/>
        </w:trPr>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71"/>
        </w:trPr>
        <w:tc>
          <w:tcPr>
            <w:tcW w:w="2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r>
      <w:tr>
        <w:trPr>
          <w:trHeight w:val="159"/>
        </w:trPr>
        <w:tc>
          <w:tcPr>
            <w:tcW w:w="3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8,175</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-1520190</wp:posOffset>
            </wp:positionV>
            <wp:extent cx="713486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-1304925</wp:posOffset>
            </wp:positionV>
            <wp:extent cx="7134860"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-1089025</wp:posOffset>
            </wp:positionV>
            <wp:extent cx="7134860"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-873760</wp:posOffset>
            </wp:positionV>
            <wp:extent cx="7134860" cy="1079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-651510</wp:posOffset>
            </wp:positionV>
            <wp:extent cx="7134860" cy="1079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-435610</wp:posOffset>
            </wp:positionV>
            <wp:extent cx="7134860" cy="107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-220345</wp:posOffset>
            </wp:positionV>
            <wp:extent cx="7134860" cy="107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1270</wp:posOffset>
            </wp:positionV>
            <wp:extent cx="7134860" cy="121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4" w:lineRule="exact"/>
        <w:rPr>
          <w:sz w:val="20"/>
          <w:szCs w:val="20"/>
          <w:color w:val="auto"/>
        </w:rPr>
      </w:pPr>
    </w:p>
    <w:p>
      <w:pPr>
        <w:sectPr>
          <w:pgSz w:w="11900" w:h="16838" w:orient="portrait"/>
          <w:cols w:equalWidth="0" w:num="2">
            <w:col w:w="3560" w:space="720"/>
            <w:col w:w="7000"/>
          </w:cols>
          <w:pgMar w:left="30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83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59"/>
        </w:trPr>
        <w:tc>
          <w:tcPr>
            <w:tcW w:w="832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5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w:t>
            </w:r>
          </w:p>
        </w:tc>
        <w:tc>
          <w:tcPr>
            <w:tcW w:w="0" w:type="dxa"/>
            <w:vAlign w:val="bottom"/>
          </w:tcPr>
          <w:p>
            <w:pPr>
              <w:spacing w:after="0"/>
              <w:rPr>
                <w:sz w:val="1"/>
                <w:szCs w:val="1"/>
                <w:color w:val="auto"/>
              </w:rPr>
            </w:pPr>
          </w:p>
        </w:tc>
      </w:tr>
      <w:tr>
        <w:trPr>
          <w:trHeight w:val="169"/>
        </w:trPr>
        <w:tc>
          <w:tcPr>
            <w:tcW w:w="8320" w:type="dxa"/>
            <w:vAlign w:val="bottom"/>
          </w:tcPr>
          <w:p>
            <w:pPr>
              <w:ind w:left="20"/>
              <w:spacing w:after="0"/>
              <w:rPr>
                <w:sz w:val="20"/>
                <w:szCs w:val="20"/>
                <w:color w:val="auto"/>
              </w:rPr>
            </w:pPr>
            <w:r>
              <w:rPr>
                <w:rFonts w:ascii="Arial" w:cs="Arial" w:eastAsia="Arial" w:hAnsi="Arial"/>
                <w:sz w:val="13"/>
                <w:szCs w:val="13"/>
                <w:color w:val="auto"/>
              </w:rPr>
              <w:t>Finance lease liabilities</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 net</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3,679</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0" w:type="dxa"/>
            <w:vAlign w:val="bottom"/>
          </w:tcPr>
          <w:p>
            <w:pPr>
              <w:spacing w:after="0"/>
              <w:rPr>
                <w:sz w:val="1"/>
                <w:szCs w:val="1"/>
                <w:color w:val="auto"/>
              </w:rPr>
            </w:pPr>
          </w:p>
        </w:tc>
      </w:tr>
      <w:tr>
        <w:trPr>
          <w:trHeight w:val="149"/>
        </w:trPr>
        <w:tc>
          <w:tcPr>
            <w:tcW w:w="8320" w:type="dxa"/>
            <w:vAlign w:val="bottom"/>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32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Common stock, $0.001 par value; 150 million shares authorized; outstanding: 56 million shares at December 31, 2024 and 58 million at</w:t>
            </w:r>
          </w:p>
        </w:tc>
        <w:tc>
          <w:tcPr>
            <w:tcW w:w="5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2023</w:t>
            </w:r>
          </w:p>
        </w:tc>
        <w:tc>
          <w:tcPr>
            <w:tcW w:w="5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5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69"/>
        </w:trPr>
        <w:tc>
          <w:tcPr>
            <w:tcW w:w="832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5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89" w:name="page90"/>
    <w:bookmarkEnd w:id="89"/>
    <w:p>
      <w:pPr>
        <w:jc w:val="center"/>
        <w:ind w:right="20"/>
        <w:spacing w:after="0"/>
        <w:rPr>
          <w:sz w:val="20"/>
          <w:szCs w:val="20"/>
          <w:color w:val="auto"/>
        </w:rPr>
      </w:pPr>
      <w:r>
        <w:rPr>
          <w:rFonts w:ascii="Arial" w:cs="Arial" w:eastAsia="Arial" w:hAnsi="Arial"/>
          <w:sz w:val="14"/>
          <w:szCs w:val="14"/>
          <w:b w:val="1"/>
          <w:bCs w:val="1"/>
          <w:color w:val="auto"/>
        </w:rPr>
        <w:t>Condensed Statements of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r>
      <w:tr>
        <w:trPr>
          <w:trHeight w:val="192"/>
        </w:trPr>
        <w:tc>
          <w:tcPr>
            <w:tcW w:w="6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Administrative services fees</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2,145</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1,826</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income and other revenue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59"/>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1,834</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General and administrative expenses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1,721</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Impairment</w:t>
            </w:r>
          </w:p>
        </w:tc>
        <w:tc>
          <w:tcPr>
            <w:tcW w:w="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138</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59"/>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 expense</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 benefit and equity in net earnings of subsidiaries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6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 (benefit)</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loss before equity in net earnings of subsidiaries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6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 net earnings of subsidiaries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w:t>
            </w:r>
          </w:p>
        </w:tc>
      </w:tr>
      <w:tr>
        <w:trPr>
          <w:trHeight w:val="187"/>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Statements of Comprehensive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r>
      <w:tr>
        <w:trPr>
          <w:trHeight w:val="182"/>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investment income (loss)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69"/>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Less: effect of income taxes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160"/>
        </w:trPr>
        <w:tc>
          <w:tcPr>
            <w:tcW w:w="67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62"/>
        </w:trPr>
        <w:tc>
          <w:tcPr>
            <w:tcW w:w="6760" w:type="dxa"/>
            <w:vAlign w:val="bottom"/>
          </w:tcPr>
          <w:p>
            <w:pPr>
              <w:spacing w:after="0"/>
              <w:rPr>
                <w:sz w:val="20"/>
                <w:szCs w:val="20"/>
                <w:color w:val="auto"/>
              </w:rPr>
            </w:pPr>
            <w:r>
              <w:rPr>
                <w:rFonts w:ascii="Arial" w:cs="Arial" w:eastAsia="Arial" w:hAnsi="Arial"/>
                <w:sz w:val="13"/>
                <w:szCs w:val="13"/>
                <w:color w:val="auto"/>
              </w:rPr>
              <w:t>Comprehensive income</w:t>
            </w:r>
          </w:p>
        </w:tc>
        <w:tc>
          <w:tcPr>
            <w:tcW w:w="960" w:type="dxa"/>
            <w:vAlign w:val="bottom"/>
            <w:tcBorders>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Condensed Statements of Cash Flows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r>
      <w:tr>
        <w:trPr>
          <w:trHeight w:val="192"/>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Capital contributions to subsidiaries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Dividends received from subsidiaries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Purchases of investments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sales and maturities of investments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Purchases of property, equipment and capitalized software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cash paid in business combinations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Change in amounts due to/from affiliates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cash provided by investing activities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Common stock purchases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senior notes offering, net of issuance costs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Proceeds from borrowings under credit facility</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Repayment of credit facility</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60" w:type="dxa"/>
            <w:vAlign w:val="bottom"/>
          </w:tcPr>
          <w:p>
            <w:pPr>
              <w:ind w:left="100"/>
              <w:spacing w:after="0"/>
              <w:rPr>
                <w:sz w:val="20"/>
                <w:szCs w:val="20"/>
                <w:color w:val="auto"/>
              </w:rPr>
            </w:pPr>
            <w:r>
              <w:rPr>
                <w:rFonts w:ascii="Arial" w:cs="Arial" w:eastAsia="Arial" w:hAnsi="Arial"/>
                <w:sz w:val="13"/>
                <w:szCs w:val="13"/>
                <w:color w:val="auto"/>
              </w:rPr>
              <w:t>Common stock withheld to settle employee tax obligations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6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Contingent consideration liabilities settled</w:t>
            </w:r>
          </w:p>
        </w:tc>
        <w:tc>
          <w:tcPr>
            <w:tcW w:w="9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67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net</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r>
      <w:tr>
        <w:trPr>
          <w:trHeight w:val="159"/>
        </w:trPr>
        <w:tc>
          <w:tcPr>
            <w:tcW w:w="6760" w:type="dxa"/>
            <w:vAlign w:val="bottom"/>
          </w:tcPr>
          <w:p>
            <w:pPr>
              <w:spacing w:after="0"/>
              <w:rPr>
                <w:sz w:val="20"/>
                <w:szCs w:val="20"/>
                <w:color w:val="auto"/>
              </w:rPr>
            </w:pPr>
            <w:r>
              <w:rPr>
                <w:rFonts w:ascii="Arial" w:cs="Arial" w:eastAsia="Arial" w:hAnsi="Arial"/>
                <w:sz w:val="13"/>
                <w:szCs w:val="13"/>
                <w:color w:val="auto"/>
              </w:rPr>
              <w:t>Net (decrease) increase in cash and cash equivalents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r>
      <w:tr>
        <w:trPr>
          <w:trHeight w:val="162"/>
        </w:trPr>
        <w:tc>
          <w:tcPr>
            <w:tcW w:w="6760" w:type="dxa"/>
            <w:vAlign w:val="bottom"/>
          </w:tcPr>
          <w:p>
            <w:pPr>
              <w:spacing w:after="0"/>
              <w:rPr>
                <w:sz w:val="20"/>
                <w:szCs w:val="20"/>
                <w:color w:val="auto"/>
              </w:rPr>
            </w:pPr>
            <w:r>
              <w:rPr>
                <w:rFonts w:ascii="Arial" w:cs="Arial" w:eastAsia="Arial" w:hAnsi="Arial"/>
                <w:sz w:val="13"/>
                <w:szCs w:val="13"/>
                <w:color w:val="auto"/>
              </w:rPr>
              <w:t>Cash and cash equivalents at end of period</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Financial Information of Registrant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A - Basis of Presentation</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49"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B - Transactions with Subsidiaries</w:t>
      </w:r>
    </w:p>
    <w:p>
      <w:pPr>
        <w:spacing w:after="0" w:line="94"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The Registrant provides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2024, 2023, and 2022 for these services amounted to $2,145 million, $2,038 million, and $1,826 million, respectively, and are included in operating revenue.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1" w:name="page92"/>
    <w:bookmarkEnd w:id="91"/>
    <w:p>
      <w:pPr>
        <w:ind w:right="180"/>
        <w:spacing w:after="0" w:line="265" w:lineRule="auto"/>
        <w:rPr>
          <w:sz w:val="20"/>
          <w:szCs w:val="20"/>
          <w:color w:val="auto"/>
        </w:rPr>
      </w:pPr>
      <w:r>
        <w:rPr>
          <w:rFonts w:ascii="Arial" w:cs="Arial" w:eastAsia="Arial" w:hAnsi="Arial"/>
          <w:sz w:val="14"/>
          <w:szCs w:val="14"/>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 - Dividends and Capital Contributions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When the Registrant receives dividends from its subsidiaries, such amounts are recorded as a reduction to the investments in the respective subsidiaries.</w:t>
      </w:r>
    </w:p>
    <w:p>
      <w:pPr>
        <w:spacing w:after="0" w:line="94" w:lineRule="exact"/>
        <w:rPr>
          <w:sz w:val="20"/>
          <w:szCs w:val="20"/>
          <w:color w:val="auto"/>
        </w:rPr>
      </w:pPr>
    </w:p>
    <w:p>
      <w:pPr>
        <w:ind w:right="720"/>
        <w:spacing w:after="0" w:line="290" w:lineRule="auto"/>
        <w:rPr>
          <w:sz w:val="20"/>
          <w:szCs w:val="20"/>
          <w:color w:val="auto"/>
        </w:rPr>
      </w:pPr>
      <w:r>
        <w:rPr>
          <w:rFonts w:ascii="Arial" w:cs="Arial" w:eastAsia="Arial" w:hAnsi="Arial"/>
          <w:sz w:val="14"/>
          <w:szCs w:val="14"/>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0F7C7F"/>
        </w:rPr>
        <w:t>Item 9A. CONTROLS AND PROCEDURES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MANAGEMENT’S EVALUATION OF DISCLOSURE CONTROLS AND PROCEDURES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maintain disclosure controls and procedures, as defined in Rule 13a-15(e) and Rule 15d-15(e)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5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as of the end of the period covered by this Form 10-K, the effectiveness of our disclosure controls and procedures (as defined in Rule 13a-15(e) and Rule 15d-15(e) of the Exchange Act). Based on this evaluation, our chief executive officer and our chief financial officer concluded that our disclosure controls and procedures were effective as of December 31, 2024,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MANAGEMENT’S REPORT ON INTERNAL CONTROL OVER FINANCIAL REPORTING</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5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 xml:space="preserve">Management concluded that we maintained effective internal control over financial reporting as of December 31, 2024, based on criteria described in </w:t>
      </w:r>
      <w:r>
        <w:rPr>
          <w:rFonts w:ascii="Arial" w:cs="Arial" w:eastAsia="Arial" w:hAnsi="Arial"/>
          <w:sz w:val="14"/>
          <w:szCs w:val="14"/>
          <w:i w:val="1"/>
          <w:iCs w:val="1"/>
          <w:color w:val="auto"/>
        </w:rPr>
        <w:t>Internal Control-Integrated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(2013) issued by the Committee of Sponsoring Organizations of the Treadway Commission (“COSO”).</w:t>
      </w:r>
    </w:p>
    <w:p>
      <w:pPr>
        <w:spacing w:after="0" w:line="3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Effective January 1, 2024, we completed our acquisition of Brand New Day and Central Health Plan of California (“Bright Health Medicare”). We are in the process of evaluating the existing controls and procedures of Bright Health Medicare, and integrating them into our internal controls over financial reporting. In accordance with SEC Staff guidance permitting a company to exclude an acquired business from management’s assessment of effectiveness of internal control over financial reporting for the year in which the acquisition is completed, we have excluded the business that we acquired in the Bright Health Medicare acquisition from our assessment of the effectiveness of internal control over financial reporting as of December 31, 2024. The business that we acquired in the Bright Health Medicare acquisition constituted 3% and 5% of total and net assets, respectively, as of December 31, 2024, and 3% and 1% of revenues and net income, respectively, for the year ended December 31, 2024. The scope of management’s assessment of the effectiveness of the design and operation of our disclosure controls and procedures as of December 31, 2024, includes all of our consolidated operations except for those disclosure controls and procedures of Bright Health Medicare that are subsumed by internal control over financial reporting.</w:t>
      </w:r>
    </w:p>
    <w:p>
      <w:pPr>
        <w:spacing w:after="0" w:line="58"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2"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There were no changes in our internal control over financial reporting (as defined in Rule 13a-15(f) of the Exchange Act)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color w:val="828282"/>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Stockholders and the Board of Directors of Molina Healthcare, Inc.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audited Molina Healthcare, Inc.’s internal control over financial reporting as of December 31, 2024,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2024, based on the COSO criteria.</w:t>
      </w:r>
    </w:p>
    <w:p>
      <w:pPr>
        <w:spacing w:after="0" w:line="4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Bright Health Medicare, which is included in the 2024 consolidated financial statements of the Company and constituted 3% and 5% of total and net assets, respectively, as of December 31, 2024, and 3% and 1% of revenues and net income, respectively, for the year then ended. Our audit of internal control over financial reporting of the Company also did not include an evaluation of the internal control over financial reporting of Bright Health Medicare.</w:t>
      </w:r>
    </w:p>
    <w:p>
      <w:pPr>
        <w:spacing w:after="0" w:line="53" w:lineRule="exact"/>
        <w:rPr>
          <w:sz w:val="20"/>
          <w:szCs w:val="20"/>
          <w:color w:val="auto"/>
        </w:rPr>
      </w:pPr>
    </w:p>
    <w:p>
      <w:pPr>
        <w:jc w:val="both"/>
        <w:ind w:right="320"/>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our report dated February 11, 2025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60" w:firstLine="5"/>
        <w:spacing w:after="0" w:line="258" w:lineRule="auto"/>
        <w:tabs>
          <w:tab w:leader="none" w:pos="2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4" w:name="page95"/>
    <w:bookmarkEnd w:id="94"/>
    <w:p>
      <w:pPr>
        <w:ind w:right="300"/>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0F7C7F"/>
        </w:rPr>
        <w:t>Item 9B. OTHER INFORMATION</w:t>
      </w:r>
    </w:p>
    <w:p>
      <w:pPr>
        <w:spacing w:after="0" w:line="87" w:lineRule="exact"/>
        <w:rPr>
          <w:sz w:val="20"/>
          <w:szCs w:val="20"/>
          <w:color w:val="auto"/>
        </w:rPr>
      </w:pPr>
    </w:p>
    <w:p>
      <w:pPr>
        <w:ind w:left="340" w:hanging="335"/>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None.</w:t>
      </w:r>
    </w:p>
    <w:p>
      <w:pPr>
        <w:spacing w:after="0" w:line="51" w:lineRule="exact"/>
        <w:rPr>
          <w:rFonts w:ascii="Arial" w:cs="Arial" w:eastAsia="Arial" w:hAnsi="Arial"/>
          <w:sz w:val="14"/>
          <w:szCs w:val="14"/>
          <w:color w:val="auto"/>
        </w:rPr>
      </w:pPr>
    </w:p>
    <w:p>
      <w:pPr>
        <w:ind w:left="260" w:right="240" w:hanging="255"/>
        <w:spacing w:after="0" w:line="271" w:lineRule="auto"/>
        <w:tabs>
          <w:tab w:leader="none" w:pos="335"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December 31, 2024.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10. DIRECTORS, EXECUTIVE OFFICERS, AND CORPORATE GOVERNANCE</w:t>
      </w:r>
    </w:p>
    <w:p>
      <w:pPr>
        <w:spacing w:after="0" w:line="87"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Information required by Item 10 of Part III will be included in our Proxy Statement relating to our 2025 Annual Meeting of Stockholders (the “2025 Proxy Statement”), and is incorporated herein by reference. This information will be included in the following sections of the 2025 Proxy Statement:</w:t>
      </w:r>
    </w:p>
    <w:p>
      <w:pPr>
        <w:spacing w:after="0" w:line="35"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PROPOSAL 1 - Election of Directors</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Director Nominees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Directors Continuing in Office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Additional Information About Directors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Corporate Governance and Board of Directors Matters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Information About the Executive Officers of the Company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Section 16(a) Beneficial Ownership Reporting Compliance</w:t>
      </w:r>
    </w:p>
    <w:p>
      <w:pPr>
        <w:spacing w:after="0" w:line="80" w:lineRule="exact"/>
        <w:rPr>
          <w:sz w:val="20"/>
          <w:szCs w:val="20"/>
          <w:color w:val="auto"/>
        </w:rPr>
      </w:pPr>
    </w:p>
    <w:p>
      <w:pPr>
        <w:jc w:val="both"/>
        <w:ind w:right="340"/>
        <w:spacing w:after="0" w:line="271" w:lineRule="auto"/>
        <w:rPr>
          <w:sz w:val="20"/>
          <w:szCs w:val="20"/>
          <w:color w:val="auto"/>
        </w:rPr>
      </w:pPr>
      <w:r>
        <w:rPr>
          <w:rFonts w:ascii="Arial" w:cs="Arial" w:eastAsia="Arial" w:hAnsi="Arial"/>
          <w:sz w:val="14"/>
          <w:szCs w:val="14"/>
          <w:color w:val="auto"/>
        </w:rPr>
        <w:t>Information relating to our Code of Business Conduct and Ethics, our Insider Trading Policy and compliance with Section 16(a) of the Exchange Act will be set forth in the 2025 Proxy Statement and is incorporated herein by reference. We intend to disclose on our website any amendments to or waivers of our Code of Business Conduct and Ethics as required by law or NYSE rules, under the heading “Investor Information—Corporate Governance” at molinahealthcare.com.</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11. EXECUTIVE 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Information required by Item 11 of Part III will be included in the 2025 Proxy Statement in the section entitled “Executive Compensation,” and is incorporated herein by reference.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12. SECURITY OWNERSHIP OF CERTAIN BENEFICIAL OWNERS AND MANAGEMENT AND RELATED SHAREHOLDER MATTERS</w:t>
      </w:r>
    </w:p>
    <w:p>
      <w:pPr>
        <w:spacing w:after="0" w:line="87"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Information required by Item 12 of Part III will be included in the 2025 Proxy Statement in the section entitled “Security Ownership of Certain Beneficial Owners and Management,” and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13. CERTAIN RELATIONSHIPS AND RELATED TRANSACTIONS, AND DIRECTOR INDEPENDENCE</w:t>
      </w:r>
    </w:p>
    <w:p>
      <w:pPr>
        <w:spacing w:after="0" w:line="8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Information required by Item 13 of Part III will be included in the 2025 Proxy Statement in the sections entitled “Related Party Transactions,” and “Corporate Governance and Board of Directors Matters—Director Independence,” and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14. PRINCIPAL ACCOUNTANT FEES AND SERVICES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Our independent registered public accounting firm is Ernst &amp; Young LLP, Los Angeles, CA, Auditor Firm ID: 42.</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Information required by Item 14 of Part III will be included in the 2025 Proxy Statement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PART IV</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Item 15. EXHIBITS AND FINANCIAL STATEMENT SCHEDULES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STATEMENTS AND SUPPLEMENTARY DATA</w:t>
      </w:r>
    </w:p>
    <w:p>
      <w:pPr>
        <w:spacing w:after="0" w:line="115" w:lineRule="exact"/>
        <w:rPr>
          <w:sz w:val="20"/>
          <w:szCs w:val="20"/>
          <w:color w:val="auto"/>
        </w:rPr>
      </w:pPr>
    </w:p>
    <w:p>
      <w:pPr>
        <w:ind w:left="680" w:hanging="325"/>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consolidated financial statements are included in this report in the section entitled “Financial Statements and Supplementary Data.”</w:t>
      </w:r>
    </w:p>
    <w:p>
      <w:pPr>
        <w:spacing w:after="0" w:line="114" w:lineRule="exact"/>
        <w:rPr>
          <w:rFonts w:ascii="Arial" w:cs="Arial" w:eastAsia="Arial" w:hAnsi="Arial"/>
          <w:sz w:val="14"/>
          <w:szCs w:val="14"/>
          <w:color w:val="auto"/>
        </w:rPr>
      </w:pPr>
    </w:p>
    <w:p>
      <w:pPr>
        <w:ind w:left="680" w:hanging="325"/>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94" w:lineRule="exact"/>
        <w:rPr>
          <w:sz w:val="20"/>
          <w:szCs w:val="20"/>
          <w:color w:val="auto"/>
        </w:rPr>
      </w:pPr>
    </w:p>
    <w:p>
      <w:pPr>
        <w:ind w:left="700" w:right="520"/>
        <w:spacing w:after="0" w:line="290" w:lineRule="auto"/>
        <w:rPr>
          <w:sz w:val="20"/>
          <w:szCs w:val="20"/>
          <w:color w:val="auto"/>
        </w:rPr>
      </w:pPr>
      <w:r>
        <w:rPr>
          <w:rFonts w:ascii="Arial" w:cs="Arial" w:eastAsia="Arial" w:hAnsi="Arial"/>
          <w:sz w:val="14"/>
          <w:szCs w:val="14"/>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EXHIBITS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color w:val="0F7C7F"/>
        </w:rPr>
        <w:t>SIGNATURES</w:t>
      </w:r>
    </w:p>
    <w:p>
      <w:pPr>
        <w:spacing w:after="0" w:line="119"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Pursuant to the requirements of Section 13 or 15(d) of the Securities Exchange Act of 1934, the undersigned registrant has duly caused this report to be signed on its behalf by the undersigned, thereunto duly authorized, on the 11th day of February, 2025.</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MOLINA HEALTHCARE, INC.</w:t>
      </w:r>
    </w:p>
    <w:p>
      <w:pPr>
        <w:spacing w:after="0" w:line="94" w:lineRule="exact"/>
        <w:rPr>
          <w:sz w:val="20"/>
          <w:szCs w:val="20"/>
          <w:color w:val="auto"/>
        </w:rPr>
      </w:pPr>
    </w:p>
    <w:p>
      <w:pPr>
        <w:ind w:left="4740"/>
        <w:spacing w:after="0"/>
        <w:tabs>
          <w:tab w:leader="none" w:pos="5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14605</wp:posOffset>
            </wp:positionV>
            <wp:extent cx="382651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26510" cy="6985"/>
                    </a:xfrm>
                    <a:prstGeom prst="rect">
                      <a:avLst/>
                    </a:prstGeom>
                    <a:noFill/>
                  </pic:spPr>
                </pic:pic>
              </a:graphicData>
            </a:graphic>
          </wp:anchor>
        </w:drawing>
      </w:r>
    </w:p>
    <w:p>
      <w:pPr>
        <w:spacing w:after="0" w:line="10"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Joseph M. Zubretsky</w:t>
      </w:r>
    </w:p>
    <w:p>
      <w:pPr>
        <w:spacing w:after="0" w:line="10"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Chief Executive Officer</w:t>
      </w:r>
    </w:p>
    <w:p>
      <w:pPr>
        <w:ind w:left="5340"/>
        <w:spacing w:after="0"/>
        <w:rPr>
          <w:sz w:val="20"/>
          <w:szCs w:val="20"/>
          <w:color w:val="auto"/>
        </w:rPr>
      </w:pPr>
      <w:r>
        <w:rPr>
          <w:rFonts w:ascii="Arial" w:cs="Arial" w:eastAsia="Arial" w:hAnsi="Arial"/>
          <w:sz w:val="14"/>
          <w:szCs w:val="14"/>
          <w:b w:val="1"/>
          <w:bCs w:val="1"/>
          <w:color w:val="auto"/>
        </w:rPr>
        <w:t>(Principal Executive Officer)</w:t>
      </w:r>
    </w:p>
    <w:p>
      <w:pPr>
        <w:spacing w:after="0" w:line="111"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as indicated, as of February 11, 2025.</w:t>
      </w:r>
    </w:p>
    <w:tbl>
      <w:tblPr>
        <w:tblLayout w:type="fixed"/>
        <w:tblInd w:w="0" w:type="dxa"/>
        <w:tblCellMar>
          <w:top w:w="0" w:type="dxa"/>
          <w:left w:w="0" w:type="dxa"/>
          <w:bottom w:w="0" w:type="dxa"/>
          <w:right w:w="0" w:type="dxa"/>
        </w:tblCellMar>
      </w:tblPr>
      <w:tr>
        <w:trPr>
          <w:trHeight w:val="15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3"/>
                <w:szCs w:val="13"/>
                <w:color w:val="auto"/>
              </w:rPr>
            </w:pPr>
          </w:p>
        </w:tc>
        <w:tc>
          <w:tcPr>
            <w:tcW w:w="7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w:t>
            </w:r>
          </w:p>
        </w:tc>
      </w:tr>
      <w:tr>
        <w:trPr>
          <w:trHeight w:val="33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M. Zubretsky</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Chief Executive Officer, President and 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Joseph M. Zubretsky</w:t>
            </w:r>
          </w:p>
        </w:tc>
        <w:tc>
          <w:tcPr>
            <w:tcW w:w="100" w:type="dxa"/>
            <w:vAlign w:val="bottom"/>
          </w:tcPr>
          <w:p>
            <w:pPr>
              <w:spacing w:after="0"/>
              <w:rPr>
                <w:sz w:val="16"/>
                <w:szCs w:val="16"/>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(Principal Executive Officer)</w:t>
            </w: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L. Keim</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Mark L. Keim</w:t>
            </w:r>
          </w:p>
        </w:tc>
        <w:tc>
          <w:tcPr>
            <w:tcW w:w="100" w:type="dxa"/>
            <w:vAlign w:val="bottom"/>
          </w:tcPr>
          <w:p>
            <w:pPr>
              <w:spacing w:after="0"/>
              <w:rPr>
                <w:sz w:val="16"/>
                <w:szCs w:val="16"/>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9"/>
              </w:rPr>
              <w:t>(Principal Financial Officer)</w:t>
            </w: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Maurice S. Hebert</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Chief Accounting Officer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Maurice S. Hebert</w:t>
            </w:r>
          </w:p>
        </w:tc>
        <w:tc>
          <w:tcPr>
            <w:tcW w:w="100" w:type="dxa"/>
            <w:vAlign w:val="bottom"/>
          </w:tcPr>
          <w:p>
            <w:pPr>
              <w:spacing w:after="0"/>
              <w:rPr>
                <w:sz w:val="16"/>
                <w:szCs w:val="16"/>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rPr>
              <w:t>(Principal Accounting Officer)</w:t>
            </w: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Barbara L. Brasier</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Barbara L. Brasier</w:t>
            </w:r>
          </w:p>
        </w:tc>
        <w:tc>
          <w:tcPr>
            <w:tcW w:w="10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Daniel Cooperman</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Daniel Cooperman</w:t>
            </w:r>
          </w:p>
        </w:tc>
        <w:tc>
          <w:tcPr>
            <w:tcW w:w="10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H. Lockhart</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Stephen H. Lockhart</w:t>
            </w:r>
          </w:p>
        </w:tc>
        <w:tc>
          <w:tcPr>
            <w:tcW w:w="10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Steven J. Orlando</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Steven J. Orlando</w:t>
            </w:r>
          </w:p>
        </w:tc>
        <w:tc>
          <w:tcPr>
            <w:tcW w:w="10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3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Ronna E. Romney</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85"/>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Ronna E. Romney</w:t>
            </w:r>
          </w:p>
        </w:tc>
        <w:tc>
          <w:tcPr>
            <w:tcW w:w="10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338"/>
        </w:trPr>
        <w:tc>
          <w:tcPr>
            <w:tcW w:w="4100" w:type="dxa"/>
            <w:vAlign w:val="bottom"/>
          </w:tcPr>
          <w:p>
            <w:pPr>
              <w:ind w:left="20"/>
              <w:spacing w:after="0"/>
              <w:rPr>
                <w:sz w:val="20"/>
                <w:szCs w:val="20"/>
                <w:color w:val="auto"/>
              </w:rPr>
            </w:pPr>
            <w:r>
              <w:rPr>
                <w:rFonts w:ascii="Arial" w:cs="Arial" w:eastAsia="Arial" w:hAnsi="Arial"/>
                <w:sz w:val="14"/>
                <w:szCs w:val="14"/>
                <w:color w:val="auto"/>
              </w:rPr>
              <w:t>/s/ Richard M. Schapiro</w:t>
            </w:r>
          </w:p>
        </w:tc>
        <w:tc>
          <w:tcPr>
            <w:tcW w:w="100" w:type="dxa"/>
            <w:vAlign w:val="bottom"/>
          </w:tcPr>
          <w:p>
            <w:pPr>
              <w:spacing w:after="0"/>
              <w:rPr>
                <w:sz w:val="24"/>
                <w:szCs w:val="24"/>
                <w:color w:val="auto"/>
              </w:rPr>
            </w:pPr>
          </w:p>
        </w:tc>
        <w:tc>
          <w:tcPr>
            <w:tcW w:w="7040" w:type="dxa"/>
            <w:vAlign w:val="bottom"/>
          </w:tcPr>
          <w:p>
            <w:pPr>
              <w:jc w:val="center"/>
              <w:spacing w:after="0"/>
              <w:rPr>
                <w:sz w:val="20"/>
                <w:szCs w:val="20"/>
                <w:color w:val="auto"/>
              </w:rPr>
            </w:pPr>
            <w:r>
              <w:rPr>
                <w:rFonts w:ascii="Arial" w:cs="Arial" w:eastAsia="Arial" w:hAnsi="Arial"/>
                <w:sz w:val="14"/>
                <w:szCs w:val="14"/>
                <w:color w:val="auto"/>
                <w:w w:val="97"/>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26003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Richard M. Schapiro</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003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Dale B. Wolf</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6003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w:t>
      </w:r>
    </w:p>
    <w:p>
      <w:pPr>
        <w:spacing w:after="0" w:line="38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Director</w:t>
      </w:r>
    </w:p>
    <w:p>
      <w:pPr>
        <w:spacing w:after="0" w:line="30" w:lineRule="exact"/>
        <w:rPr>
          <w:sz w:val="20"/>
          <w:szCs w:val="20"/>
          <w:color w:val="auto"/>
        </w:rPr>
      </w:pPr>
    </w:p>
    <w:p>
      <w:pPr>
        <w:sectPr>
          <w:pgSz w:w="11900" w:h="16838" w:orient="portrait"/>
          <w:cols w:equalWidth="0" w:num="2">
            <w:col w:w="6280" w:space="720"/>
            <w:col w:w="4280"/>
          </w:cols>
          <w:pgMar w:left="300" w:top="819" w:right="3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Richard C. Zoretic</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0F7C7F"/>
        </w:rPr>
        <w:t>INDEX TO EXHIBITS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are filed or furnished, as applicable, with this Annual Report on Form 10-K (this “Form 10-K”) or incorporated herein by reference.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color w:val="auto"/>
              </w:rPr>
              <w:t>Description</w:t>
            </w:r>
          </w:p>
        </w:tc>
        <w:tc>
          <w:tcPr>
            <w:tcW w:w="100" w:type="dxa"/>
            <w:vAlign w:val="bottom"/>
          </w:tcPr>
          <w:p>
            <w:pPr>
              <w:spacing w:after="0"/>
              <w:rPr>
                <w:sz w:val="14"/>
                <w:szCs w:val="14"/>
                <w:color w:val="auto"/>
              </w:rPr>
            </w:pPr>
          </w:p>
        </w:tc>
        <w:tc>
          <w:tcPr>
            <w:tcW w:w="4460" w:type="dxa"/>
            <w:vAlign w:val="bottom"/>
            <w:tcBorders>
              <w:bottom w:val="single" w:sz="8" w:color="auto"/>
            </w:tcBorders>
          </w:tcPr>
          <w:p>
            <w:pPr>
              <w:ind w:left="1780"/>
              <w:spacing w:after="0"/>
              <w:rPr>
                <w:sz w:val="20"/>
                <w:szCs w:val="20"/>
                <w:color w:val="auto"/>
              </w:rPr>
            </w:pPr>
            <w:r>
              <w:rPr>
                <w:rFonts w:ascii="Arial" w:cs="Arial" w:eastAsia="Arial" w:hAnsi="Arial"/>
                <w:sz w:val="13"/>
                <w:szCs w:val="13"/>
                <w:color w:val="auto"/>
              </w:rPr>
              <w:t>Method of Filing</w:t>
            </w:r>
          </w:p>
        </w:tc>
      </w:tr>
      <w:tr>
        <w:trPr>
          <w:trHeight w:val="130"/>
        </w:trPr>
        <w:tc>
          <w:tcPr>
            <w:tcW w:w="1040" w:type="dxa"/>
            <w:vAlign w:val="bottom"/>
          </w:tcPr>
          <w:p>
            <w:pPr>
              <w:ind w:left="20"/>
              <w:spacing w:after="0" w:line="130"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9"/>
          </w:tcPr>
          <w:p>
            <w:pPr>
              <w:spacing w:after="0" w:line="130" w:lineRule="exact"/>
              <w:rPr>
                <w:rFonts w:ascii="Arial" w:cs="Arial" w:eastAsia="Arial" w:hAnsi="Arial"/>
                <w:sz w:val="13"/>
                <w:szCs w:val="13"/>
                <w:color w:val="0F7C7F"/>
              </w:rPr>
            </w:pPr>
            <w:hyperlink r:id="rId135">
              <w:r>
                <w:rPr>
                  <w:rFonts w:ascii="Arial" w:cs="Arial" w:eastAsia="Arial" w:hAnsi="Arial"/>
                  <w:sz w:val="13"/>
                  <w:szCs w:val="13"/>
                  <w:color w:val="0F7C7F"/>
                </w:rPr>
                <w:t>Certificate of Incorporation</w:t>
              </w:r>
            </w:hyperlink>
          </w:p>
        </w:tc>
        <w:tc>
          <w:tcPr>
            <w:tcW w:w="4460" w:type="dxa"/>
            <w:vAlign w:val="bottom"/>
          </w:tcPr>
          <w:p>
            <w:pPr>
              <w:ind w:left="20"/>
              <w:spacing w:after="0" w:line="130" w:lineRule="exact"/>
              <w:rPr>
                <w:sz w:val="20"/>
                <w:szCs w:val="20"/>
                <w:color w:val="auto"/>
              </w:rPr>
            </w:pPr>
            <w:r>
              <w:rPr>
                <w:rFonts w:ascii="Arial" w:cs="Arial" w:eastAsia="Arial" w:hAnsi="Arial"/>
                <w:sz w:val="13"/>
                <w:szCs w:val="13"/>
                <w:color w:val="auto"/>
              </w:rPr>
              <w:t>Filed as Exhibit 3.2 to registrant’s Registration Statement on Form S-1 filed</w:t>
            </w: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F7C7F"/>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tcPr>
          <w:p>
            <w:pPr>
              <w:ind w:left="20"/>
              <w:spacing w:after="0" w:line="139" w:lineRule="exact"/>
              <w:rPr>
                <w:sz w:val="20"/>
                <w:szCs w:val="20"/>
                <w:color w:val="auto"/>
              </w:rPr>
            </w:pPr>
            <w:r>
              <w:rPr>
                <w:rFonts w:ascii="Arial" w:cs="Arial" w:eastAsia="Arial" w:hAnsi="Arial"/>
                <w:sz w:val="13"/>
                <w:szCs w:val="13"/>
                <w:color w:val="auto"/>
              </w:rPr>
              <w:t>December 30, 2002</w:t>
            </w: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tcBorders>
              <w:bottom w:val="single" w:sz="8" w:color="0F7C7F"/>
            </w:tcBorders>
            <w:gridSpan w:val="4"/>
          </w:tcPr>
          <w:p>
            <w:pPr>
              <w:spacing w:after="0" w:line="138" w:lineRule="exact"/>
              <w:rPr>
                <w:rFonts w:ascii="Arial" w:cs="Arial" w:eastAsia="Arial" w:hAnsi="Arial"/>
                <w:sz w:val="13"/>
                <w:szCs w:val="13"/>
                <w:color w:val="0F7C7F"/>
                <w:w w:val="97"/>
              </w:rPr>
            </w:pPr>
            <w:hyperlink r:id="rId136">
              <w:r>
                <w:rPr>
                  <w:rFonts w:ascii="Arial" w:cs="Arial" w:eastAsia="Arial" w:hAnsi="Arial"/>
                  <w:sz w:val="13"/>
                  <w:szCs w:val="13"/>
                  <w:color w:val="0F7C7F"/>
                  <w:w w:val="97"/>
                </w:rPr>
                <w:t>Certificate of Amendment to Certificate of Incorporation</w:t>
              </w:r>
            </w:hyperlink>
          </w:p>
        </w:tc>
        <w:tc>
          <w:tcPr>
            <w:tcW w:w="2560" w:type="dxa"/>
            <w:vAlign w:val="bottom"/>
            <w:gridSpan w:val="5"/>
          </w:tcPr>
          <w:p>
            <w:pPr>
              <w:spacing w:after="0"/>
              <w:rPr>
                <w:sz w:val="11"/>
                <w:szCs w:val="11"/>
                <w:color w:val="auto"/>
              </w:rPr>
            </w:pPr>
          </w:p>
        </w:tc>
        <w:tc>
          <w:tcPr>
            <w:tcW w:w="4460" w:type="dxa"/>
            <w:vAlign w:val="bottom"/>
          </w:tcPr>
          <w:p>
            <w:pPr>
              <w:ind w:left="20"/>
              <w:spacing w:after="0" w:line="138" w:lineRule="exact"/>
              <w:rPr>
                <w:sz w:val="20"/>
                <w:szCs w:val="20"/>
                <w:color w:val="auto"/>
              </w:rPr>
            </w:pPr>
            <w:r>
              <w:rPr>
                <w:rFonts w:ascii="Arial" w:cs="Arial" w:eastAsia="Arial" w:hAnsi="Arial"/>
                <w:sz w:val="13"/>
                <w:szCs w:val="13"/>
                <w:color w:val="auto"/>
              </w:rPr>
              <w:t>Filed as Exhibit 3.2 to registrant’s Form 10-K filed February 13, 2024</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bottom w:val="single" w:sz="8" w:color="0F7C7F"/>
            </w:tcBorders>
            <w:gridSpan w:val="4"/>
          </w:tcPr>
          <w:p>
            <w:pPr>
              <w:spacing w:after="0"/>
              <w:rPr>
                <w:rFonts w:ascii="Arial" w:cs="Arial" w:eastAsia="Arial" w:hAnsi="Arial"/>
                <w:sz w:val="13"/>
                <w:szCs w:val="13"/>
                <w:color w:val="0F7C7F"/>
                <w:w w:val="97"/>
              </w:rPr>
            </w:pPr>
            <w:hyperlink r:id="rId137">
              <w:r>
                <w:rPr>
                  <w:rFonts w:ascii="Arial" w:cs="Arial" w:eastAsia="Arial" w:hAnsi="Arial"/>
                  <w:sz w:val="13"/>
                  <w:szCs w:val="13"/>
                  <w:color w:val="0F7C7F"/>
                  <w:w w:val="97"/>
                </w:rPr>
                <w:t>Certificate of Amendment to Certificate of Incorporation</w:t>
              </w:r>
            </w:hyperlink>
          </w:p>
        </w:tc>
        <w:tc>
          <w:tcPr>
            <w:tcW w:w="2560" w:type="dxa"/>
            <w:vAlign w:val="bottom"/>
            <w:gridSpan w:val="5"/>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3.3 to registrant’s Form 10-K filed February 13, 2024</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bottom w:val="single" w:sz="8" w:color="0F7C7F"/>
            </w:tcBorders>
            <w:gridSpan w:val="5"/>
          </w:tcPr>
          <w:p>
            <w:pPr>
              <w:spacing w:after="0"/>
              <w:rPr>
                <w:rFonts w:ascii="Arial" w:cs="Arial" w:eastAsia="Arial" w:hAnsi="Arial"/>
                <w:sz w:val="13"/>
                <w:szCs w:val="13"/>
                <w:color w:val="0F7C7F"/>
                <w:w w:val="97"/>
              </w:rPr>
            </w:pPr>
            <w:hyperlink r:id="rId138">
              <w:r>
                <w:rPr>
                  <w:rFonts w:ascii="Arial" w:cs="Arial" w:eastAsia="Arial" w:hAnsi="Arial"/>
                  <w:sz w:val="13"/>
                  <w:szCs w:val="13"/>
                  <w:color w:val="0F7C7F"/>
                  <w:w w:val="97"/>
                </w:rPr>
                <w:t>Amended and Restated Bylaws of Molina Healthcare, Inc.</w:t>
              </w:r>
            </w:hyperlink>
          </w:p>
        </w:tc>
        <w:tc>
          <w:tcPr>
            <w:tcW w:w="2420" w:type="dxa"/>
            <w:vAlign w:val="bottom"/>
            <w:gridSpan w:val="4"/>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3.1 to registrant’s Form 8-K filed December 26, 2023</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9"/>
          </w:tcPr>
          <w:p>
            <w:pPr>
              <w:spacing w:after="0"/>
              <w:rPr>
                <w:rFonts w:ascii="Arial" w:cs="Arial" w:eastAsia="Arial" w:hAnsi="Arial"/>
                <w:sz w:val="13"/>
                <w:szCs w:val="13"/>
                <w:color w:val="0F7C7F"/>
              </w:rPr>
            </w:pPr>
            <w:hyperlink r:id="rId139">
              <w:r>
                <w:rPr>
                  <w:rFonts w:ascii="Arial" w:cs="Arial" w:eastAsia="Arial" w:hAnsi="Arial"/>
                  <w:sz w:val="13"/>
                  <w:szCs w:val="13"/>
                  <w:color w:val="0F7C7F"/>
                </w:rPr>
                <w:t>Indenture, dated as of June 2, 2020, by and between Molina Healthcare, Inc. and U.S. Bank</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4.1 to registrant’s Form 8-K filed June 2, 2020</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180" w:type="dxa"/>
            <w:vAlign w:val="bottom"/>
            <w:tcBorders>
              <w:top w:val="single" w:sz="8" w:color="0F7C7F"/>
            </w:tcBorders>
            <w:gridSpan w:val="6"/>
          </w:tcPr>
          <w:p>
            <w:pPr>
              <w:spacing w:after="0" w:line="107" w:lineRule="exact"/>
              <w:rPr>
                <w:rFonts w:ascii="Arial" w:cs="Arial" w:eastAsia="Arial" w:hAnsi="Arial"/>
                <w:sz w:val="12"/>
                <w:szCs w:val="12"/>
                <w:color w:val="0F7C7F"/>
              </w:rPr>
            </w:pPr>
            <w:hyperlink r:id="rId139">
              <w:r>
                <w:rPr>
                  <w:rFonts w:ascii="Arial" w:cs="Arial" w:eastAsia="Arial" w:hAnsi="Arial"/>
                  <w:sz w:val="12"/>
                  <w:szCs w:val="12"/>
                  <w:color w:val="0F7C7F"/>
                </w:rPr>
                <w:t>National Association, as Trustee</w:t>
              </w:r>
            </w:hyperlink>
          </w:p>
        </w:tc>
        <w:tc>
          <w:tcPr>
            <w:tcW w:w="3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F7C7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9"/>
          </w:tcPr>
          <w:p>
            <w:pPr>
              <w:spacing w:after="0"/>
              <w:rPr>
                <w:rFonts w:ascii="Arial" w:cs="Arial" w:eastAsia="Arial" w:hAnsi="Arial"/>
                <w:sz w:val="13"/>
                <w:szCs w:val="13"/>
                <w:color w:val="0F7C7F"/>
              </w:rPr>
            </w:pPr>
            <w:hyperlink r:id="rId139">
              <w:r>
                <w:rPr>
                  <w:rFonts w:ascii="Arial" w:cs="Arial" w:eastAsia="Arial" w:hAnsi="Arial"/>
                  <w:sz w:val="13"/>
                  <w:szCs w:val="13"/>
                  <w:color w:val="0F7C7F"/>
                </w:rPr>
                <w:t>Form of 4.375% Notes (included in Exhibit 4.1).</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4.2 to registrant’s Form 8-K filed June 2, 2020 (Included in</w:t>
            </w: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F7C7F"/>
            </w:tcBorders>
          </w:tcPr>
          <w:p>
            <w:pPr>
              <w:spacing w:after="0"/>
              <w:rPr>
                <w:sz w:val="12"/>
                <w:szCs w:val="12"/>
                <w:color w:val="auto"/>
              </w:rPr>
            </w:pPr>
          </w:p>
        </w:tc>
        <w:tc>
          <w:tcPr>
            <w:tcW w:w="320" w:type="dxa"/>
            <w:vAlign w:val="bottom"/>
            <w:tcBorders>
              <w:top w:val="single" w:sz="8" w:color="0F7C7F"/>
            </w:tcBorders>
          </w:tcPr>
          <w:p>
            <w:pPr>
              <w:spacing w:after="0"/>
              <w:rPr>
                <w:sz w:val="12"/>
                <w:szCs w:val="12"/>
                <w:color w:val="auto"/>
              </w:rPr>
            </w:pPr>
          </w:p>
        </w:tc>
        <w:tc>
          <w:tcPr>
            <w:tcW w:w="860" w:type="dxa"/>
            <w:vAlign w:val="bottom"/>
            <w:tcBorders>
              <w:top w:val="single" w:sz="8" w:color="0F7C7F"/>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tcPr>
          <w:p>
            <w:pPr>
              <w:ind w:left="20"/>
              <w:spacing w:after="0" w:line="139" w:lineRule="exact"/>
              <w:rPr>
                <w:sz w:val="20"/>
                <w:szCs w:val="20"/>
                <w:color w:val="auto"/>
              </w:rPr>
            </w:pPr>
            <w:r>
              <w:rPr>
                <w:rFonts w:ascii="Arial" w:cs="Arial" w:eastAsia="Arial" w:hAnsi="Arial"/>
                <w:sz w:val="13"/>
                <w:szCs w:val="13"/>
                <w:color w:val="auto"/>
              </w:rPr>
              <w:t>Exhibit 4.1 to registrant’s Form 8-K filed June 2, 2020)</w:t>
            </w:r>
          </w:p>
        </w:tc>
      </w:tr>
      <w:tr>
        <w:trPr>
          <w:trHeight w:val="138"/>
        </w:trPr>
        <w:tc>
          <w:tcPr>
            <w:tcW w:w="1040" w:type="dxa"/>
            <w:vAlign w:val="bottom"/>
          </w:tcPr>
          <w:p>
            <w:pPr>
              <w:ind w:left="20"/>
              <w:spacing w:after="0" w:line="138" w:lineRule="exact"/>
              <w:rPr>
                <w:sz w:val="20"/>
                <w:szCs w:val="20"/>
                <w:color w:val="auto"/>
              </w:rPr>
            </w:pPr>
            <w:r>
              <w:rPr>
                <w:rFonts w:ascii="Arial" w:cs="Arial" w:eastAsia="Arial" w:hAnsi="Arial"/>
                <w:sz w:val="13"/>
                <w:szCs w:val="13"/>
                <w:color w:val="auto"/>
              </w:rPr>
              <w:t>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9"/>
          </w:tcPr>
          <w:p>
            <w:pPr>
              <w:spacing w:after="0" w:line="138" w:lineRule="exact"/>
              <w:rPr>
                <w:rFonts w:ascii="Arial" w:cs="Arial" w:eastAsia="Arial" w:hAnsi="Arial"/>
                <w:sz w:val="13"/>
                <w:szCs w:val="13"/>
                <w:color w:val="0F7C7F"/>
                <w:w w:val="99"/>
              </w:rPr>
            </w:pPr>
            <w:hyperlink r:id="rId140">
              <w:r>
                <w:rPr>
                  <w:rFonts w:ascii="Arial" w:cs="Arial" w:eastAsia="Arial" w:hAnsi="Arial"/>
                  <w:sz w:val="13"/>
                  <w:szCs w:val="13"/>
                  <w:color w:val="0F7C7F"/>
                  <w:w w:val="99"/>
                </w:rPr>
                <w:t>Indenture, dated as of November 17, 2020, by and between Molina Healthcare, Inc. and U.S. Bank</w:t>
              </w:r>
            </w:hyperlink>
          </w:p>
        </w:tc>
        <w:tc>
          <w:tcPr>
            <w:tcW w:w="4460" w:type="dxa"/>
            <w:vAlign w:val="bottom"/>
          </w:tcPr>
          <w:p>
            <w:pPr>
              <w:ind w:left="20"/>
              <w:spacing w:after="0" w:line="138" w:lineRule="exact"/>
              <w:rPr>
                <w:sz w:val="20"/>
                <w:szCs w:val="20"/>
                <w:color w:val="auto"/>
              </w:rPr>
            </w:pPr>
            <w:r>
              <w:rPr>
                <w:rFonts w:ascii="Arial" w:cs="Arial" w:eastAsia="Arial" w:hAnsi="Arial"/>
                <w:sz w:val="13"/>
                <w:szCs w:val="13"/>
                <w:color w:val="auto"/>
              </w:rPr>
              <w:t>Filed as Exhibit 4.1 to registrant’s Form 8-K filed November 17, 2020</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60" w:type="dxa"/>
            <w:vAlign w:val="bottom"/>
            <w:tcBorders>
              <w:top w:val="single" w:sz="8" w:color="0F7C7F"/>
            </w:tcBorders>
            <w:gridSpan w:val="7"/>
          </w:tcPr>
          <w:p>
            <w:pPr>
              <w:spacing w:after="0" w:line="107" w:lineRule="exact"/>
              <w:rPr>
                <w:rFonts w:ascii="Arial" w:cs="Arial" w:eastAsia="Arial" w:hAnsi="Arial"/>
                <w:sz w:val="12"/>
                <w:szCs w:val="12"/>
                <w:color w:val="0F7C7F"/>
              </w:rPr>
            </w:pPr>
            <w:hyperlink r:id="rId140">
              <w:r>
                <w:rPr>
                  <w:rFonts w:ascii="Arial" w:cs="Arial" w:eastAsia="Arial" w:hAnsi="Arial"/>
                  <w:sz w:val="12"/>
                  <w:szCs w:val="12"/>
                  <w:color w:val="0F7C7F"/>
                </w:rPr>
                <w:t>National Association, as Trustee</w:t>
              </w:r>
            </w:hyperlink>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1">
            <w:col w:w="11280"/>
          </w:cols>
          <w:pgMar w:left="300" w:top="818" w:right="319" w:bottom="1440" w:gutter="0" w:footer="0" w:header="0"/>
        </w:sectPr>
      </w:pPr>
    </w:p>
    <w:p>
      <w:pPr>
        <w:ind w:left="20"/>
        <w:spacing w:after="0"/>
        <w:tabs>
          <w:tab w:leader="none" w:pos="1120" w:val="left"/>
        </w:tabs>
        <w:rPr>
          <w:rFonts w:ascii="Arial" w:cs="Arial" w:eastAsia="Arial" w:hAnsi="Arial"/>
          <w:sz w:val="12"/>
          <w:szCs w:val="12"/>
          <w:u w:val="single" w:color="auto"/>
          <w:color w:val="0F7C7F"/>
        </w:rPr>
      </w:pPr>
      <w:r>
        <w:rPr>
          <w:rFonts w:ascii="Arial" w:cs="Arial" w:eastAsia="Arial" w:hAnsi="Arial"/>
          <w:sz w:val="13"/>
          <w:szCs w:val="13"/>
          <w:color w:val="auto"/>
        </w:rPr>
        <w:t>4.4</w:t>
      </w:r>
      <w:r>
        <w:rPr>
          <w:sz w:val="20"/>
          <w:szCs w:val="20"/>
          <w:color w:val="auto"/>
        </w:rPr>
        <w:tab/>
      </w:r>
      <w:hyperlink r:id="rId140">
        <w:r>
          <w:rPr>
            <w:rFonts w:ascii="Arial" w:cs="Arial" w:eastAsia="Arial" w:hAnsi="Arial"/>
            <w:sz w:val="12"/>
            <w:szCs w:val="12"/>
            <w:u w:val="single" w:color="auto"/>
            <w:color w:val="0F7C7F"/>
          </w:rPr>
          <w:t>Form of 3.875% Notes due 2030 (included in Exhibit 4.3)</w:t>
        </w:r>
      </w:hyperlink>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3"/>
          <w:szCs w:val="13"/>
          <w:color w:val="auto"/>
        </w:rPr>
        <w:t>Filed as Exhibit 4.2 to registrant’s Form 8-K filed November 17, 2020 (Included in Exhibit 4.1 to registrant’s Form 8-K filed November 17, 2020)</w:t>
      </w:r>
    </w:p>
    <w:p>
      <w:pPr>
        <w:spacing w:after="0" w:line="1" w:lineRule="exact"/>
        <w:rPr>
          <w:sz w:val="20"/>
          <w:szCs w:val="20"/>
          <w:color w:val="auto"/>
        </w:rPr>
      </w:pPr>
    </w:p>
    <w:p>
      <w:pPr>
        <w:sectPr>
          <w:pgSz w:w="11900" w:h="16838" w:orient="portrait"/>
          <w:cols w:equalWidth="0" w:num="2">
            <w:col w:w="6120" w:space="720"/>
            <w:col w:w="4440"/>
          </w:cols>
          <w:pgMar w:left="300" w:top="818" w:right="319" w:bottom="1440" w:gutter="0" w:footer="0" w:header="0"/>
          <w:type w:val="continuous"/>
        </w:sectPr>
      </w:pPr>
    </w:p>
    <w:tbl>
      <w:tblPr>
        <w:tblLayout w:type="fixed"/>
        <w:tblInd w:w="20" w:type="dxa"/>
        <w:tblCellMar>
          <w:top w:w="0" w:type="dxa"/>
          <w:left w:w="0" w:type="dxa"/>
          <w:bottom w:w="0" w:type="dxa"/>
          <w:right w:w="0" w:type="dxa"/>
        </w:tblCellMar>
      </w:tblPr>
      <w:tr>
        <w:trPr>
          <w:trHeight w:val="141"/>
        </w:trPr>
        <w:tc>
          <w:tcPr>
            <w:tcW w:w="1120" w:type="dxa"/>
            <w:vAlign w:val="bottom"/>
          </w:tcPr>
          <w:p>
            <w:pPr>
              <w:spacing w:after="0" w:line="141" w:lineRule="exact"/>
              <w:rPr>
                <w:sz w:val="20"/>
                <w:szCs w:val="20"/>
                <w:color w:val="auto"/>
              </w:rPr>
            </w:pPr>
            <w:r>
              <w:rPr>
                <w:rFonts w:ascii="Arial" w:cs="Arial" w:eastAsia="Arial" w:hAnsi="Arial"/>
                <w:sz w:val="13"/>
                <w:szCs w:val="13"/>
                <w:color w:val="auto"/>
              </w:rPr>
              <w:t>4.5</w:t>
            </w:r>
          </w:p>
        </w:tc>
        <w:tc>
          <w:tcPr>
            <w:tcW w:w="5560" w:type="dxa"/>
            <w:vAlign w:val="bottom"/>
            <w:tcBorders>
              <w:bottom w:val="single" w:sz="8" w:color="0F7C7F"/>
            </w:tcBorders>
            <w:gridSpan w:val="13"/>
          </w:tcPr>
          <w:p>
            <w:pPr>
              <w:spacing w:after="0" w:line="141" w:lineRule="exact"/>
              <w:rPr>
                <w:rFonts w:ascii="Arial" w:cs="Arial" w:eastAsia="Arial" w:hAnsi="Arial"/>
                <w:sz w:val="13"/>
                <w:szCs w:val="13"/>
                <w:color w:val="0F7C7F"/>
                <w:w w:val="97"/>
              </w:rPr>
            </w:pPr>
            <w:hyperlink r:id="rId141">
              <w:r>
                <w:rPr>
                  <w:rFonts w:ascii="Arial" w:cs="Arial" w:eastAsia="Arial" w:hAnsi="Arial"/>
                  <w:sz w:val="13"/>
                  <w:szCs w:val="13"/>
                  <w:color w:val="0F7C7F"/>
                  <w:w w:val="97"/>
                </w:rPr>
                <w:t>Indenture, dated as of November 16, 2021, by and between Molina Healthcare, Inc. and U.S. Bank</w:t>
              </w:r>
            </w:hyperlink>
          </w:p>
        </w:tc>
        <w:tc>
          <w:tcPr>
            <w:tcW w:w="4560" w:type="dxa"/>
            <w:vAlign w:val="bottom"/>
          </w:tcPr>
          <w:p>
            <w:pPr>
              <w:ind w:left="140"/>
              <w:spacing w:after="0" w:line="141" w:lineRule="exact"/>
              <w:rPr>
                <w:sz w:val="20"/>
                <w:szCs w:val="20"/>
                <w:color w:val="auto"/>
              </w:rPr>
            </w:pPr>
            <w:r>
              <w:rPr>
                <w:rFonts w:ascii="Arial" w:cs="Arial" w:eastAsia="Arial" w:hAnsi="Arial"/>
                <w:sz w:val="13"/>
                <w:szCs w:val="13"/>
                <w:color w:val="auto"/>
              </w:rPr>
              <w:t>Filed as Exhibit 4.1 to registrant’s Form 8-K filed November 16, 2021</w:t>
            </w:r>
          </w:p>
        </w:tc>
      </w:tr>
      <w:tr>
        <w:trPr>
          <w:trHeight w:val="107"/>
        </w:trPr>
        <w:tc>
          <w:tcPr>
            <w:tcW w:w="1120" w:type="dxa"/>
            <w:vAlign w:val="bottom"/>
          </w:tcPr>
          <w:p>
            <w:pPr>
              <w:spacing w:after="0"/>
              <w:rPr>
                <w:sz w:val="9"/>
                <w:szCs w:val="9"/>
                <w:color w:val="auto"/>
              </w:rPr>
            </w:pPr>
          </w:p>
        </w:tc>
        <w:tc>
          <w:tcPr>
            <w:tcW w:w="5560" w:type="dxa"/>
            <w:vAlign w:val="bottom"/>
            <w:gridSpan w:val="13"/>
          </w:tcPr>
          <w:p>
            <w:pPr>
              <w:spacing w:after="0" w:line="107" w:lineRule="exact"/>
              <w:rPr>
                <w:rFonts w:ascii="Arial" w:cs="Arial" w:eastAsia="Arial" w:hAnsi="Arial"/>
                <w:sz w:val="12"/>
                <w:szCs w:val="12"/>
                <w:color w:val="0F7C7F"/>
              </w:rPr>
            </w:pPr>
            <w:hyperlink r:id="rId141">
              <w:r>
                <w:rPr>
                  <w:rFonts w:ascii="Arial" w:cs="Arial" w:eastAsia="Arial" w:hAnsi="Arial"/>
                  <w:sz w:val="12"/>
                  <w:szCs w:val="12"/>
                  <w:color w:val="0F7C7F"/>
                </w:rPr>
                <w:t>National Association, as Trustee</w:t>
              </w:r>
            </w:hyperlink>
          </w:p>
        </w:tc>
        <w:tc>
          <w:tcPr>
            <w:tcW w:w="4560" w:type="dxa"/>
            <w:vAlign w:val="bottom"/>
          </w:tcPr>
          <w:p>
            <w:pPr>
              <w:spacing w:after="0"/>
              <w:rPr>
                <w:sz w:val="9"/>
                <w:szCs w:val="9"/>
                <w:color w:val="auto"/>
              </w:rPr>
            </w:pP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6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4.6</w:t>
            </w:r>
          </w:p>
        </w:tc>
        <w:tc>
          <w:tcPr>
            <w:tcW w:w="5560" w:type="dxa"/>
            <w:vAlign w:val="bottom"/>
            <w:gridSpan w:val="13"/>
          </w:tcPr>
          <w:p>
            <w:pPr>
              <w:spacing w:after="0"/>
              <w:rPr>
                <w:rFonts w:ascii="Arial" w:cs="Arial" w:eastAsia="Arial" w:hAnsi="Arial"/>
                <w:sz w:val="13"/>
                <w:szCs w:val="13"/>
                <w:color w:val="0F7C7F"/>
              </w:rPr>
            </w:pPr>
            <w:hyperlink r:id="rId141">
              <w:r>
                <w:rPr>
                  <w:rFonts w:ascii="Arial" w:cs="Arial" w:eastAsia="Arial" w:hAnsi="Arial"/>
                  <w:sz w:val="13"/>
                  <w:szCs w:val="13"/>
                  <w:color w:val="0F7C7F"/>
                </w:rPr>
                <w:t>Form of 3.875% Notes due 2032 (included in Exhibit 4.5)</w:t>
              </w:r>
            </w:hyperlink>
          </w:p>
        </w:tc>
        <w:tc>
          <w:tcPr>
            <w:tcW w:w="4560" w:type="dxa"/>
            <w:vAlign w:val="bottom"/>
          </w:tcPr>
          <w:p>
            <w:pPr>
              <w:ind w:left="140"/>
              <w:spacing w:after="0"/>
              <w:rPr>
                <w:sz w:val="20"/>
                <w:szCs w:val="20"/>
                <w:color w:val="auto"/>
              </w:rPr>
            </w:pPr>
            <w:r>
              <w:rPr>
                <w:rFonts w:ascii="Arial" w:cs="Arial" w:eastAsia="Arial" w:hAnsi="Arial"/>
                <w:sz w:val="13"/>
                <w:szCs w:val="13"/>
                <w:color w:val="auto"/>
                <w:w w:val="97"/>
              </w:rPr>
              <w:t>Filed as Exhibit 4.2 to registrant’s Form 8-K filed November 16, 2021 (Included</w:t>
            </w:r>
          </w:p>
        </w:tc>
      </w:tr>
      <w:tr>
        <w:trPr>
          <w:trHeight w:val="158"/>
        </w:trPr>
        <w:tc>
          <w:tcPr>
            <w:tcW w:w="1120" w:type="dxa"/>
            <w:vAlign w:val="bottom"/>
          </w:tcPr>
          <w:p>
            <w:pPr>
              <w:spacing w:after="0"/>
              <w:rPr>
                <w:sz w:val="13"/>
                <w:szCs w:val="13"/>
                <w:color w:val="auto"/>
              </w:rPr>
            </w:pPr>
          </w:p>
        </w:tc>
        <w:tc>
          <w:tcPr>
            <w:tcW w:w="980" w:type="dxa"/>
            <w:vAlign w:val="bottom"/>
            <w:tcBorders>
              <w:top w:val="single" w:sz="8" w:color="0F7C7F"/>
            </w:tcBorders>
          </w:tcPr>
          <w:p>
            <w:pPr>
              <w:spacing w:after="0"/>
              <w:rPr>
                <w:sz w:val="13"/>
                <w:szCs w:val="13"/>
                <w:color w:val="auto"/>
              </w:rPr>
            </w:pPr>
          </w:p>
        </w:tc>
        <w:tc>
          <w:tcPr>
            <w:tcW w:w="240" w:type="dxa"/>
            <w:vAlign w:val="bottom"/>
            <w:tcBorders>
              <w:top w:val="single" w:sz="8" w:color="0F7C7F"/>
            </w:tcBorders>
          </w:tcPr>
          <w:p>
            <w:pPr>
              <w:spacing w:after="0"/>
              <w:rPr>
                <w:sz w:val="13"/>
                <w:szCs w:val="13"/>
                <w:color w:val="auto"/>
              </w:rPr>
            </w:pPr>
          </w:p>
        </w:tc>
        <w:tc>
          <w:tcPr>
            <w:tcW w:w="600" w:type="dxa"/>
            <w:vAlign w:val="bottom"/>
            <w:tcBorders>
              <w:top w:val="single" w:sz="8" w:color="0F7C7F"/>
            </w:tcBorders>
          </w:tcPr>
          <w:p>
            <w:pPr>
              <w:spacing w:after="0"/>
              <w:rPr>
                <w:sz w:val="13"/>
                <w:szCs w:val="13"/>
                <w:color w:val="auto"/>
              </w:rPr>
            </w:pPr>
          </w:p>
        </w:tc>
        <w:tc>
          <w:tcPr>
            <w:tcW w:w="20" w:type="dxa"/>
            <w:vAlign w:val="bottom"/>
            <w:tcBorders>
              <w:top w:val="single" w:sz="8" w:color="0F7C7F"/>
            </w:tcBorders>
          </w:tcPr>
          <w:p>
            <w:pPr>
              <w:spacing w:after="0"/>
              <w:rPr>
                <w:sz w:val="13"/>
                <w:szCs w:val="13"/>
                <w:color w:val="auto"/>
              </w:rPr>
            </w:pPr>
          </w:p>
        </w:tc>
        <w:tc>
          <w:tcPr>
            <w:tcW w:w="240" w:type="dxa"/>
            <w:vAlign w:val="bottom"/>
            <w:tcBorders>
              <w:top w:val="single" w:sz="8" w:color="0F7C7F"/>
            </w:tcBorders>
          </w:tcPr>
          <w:p>
            <w:pPr>
              <w:spacing w:after="0"/>
              <w:rPr>
                <w:sz w:val="13"/>
                <w:szCs w:val="13"/>
                <w:color w:val="auto"/>
              </w:rPr>
            </w:pPr>
          </w:p>
        </w:tc>
        <w:tc>
          <w:tcPr>
            <w:tcW w:w="1120" w:type="dxa"/>
            <w:vAlign w:val="bottom"/>
            <w:tcBorders>
              <w:top w:val="single" w:sz="8" w:color="0F7C7F"/>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in Exhibit 4.1 to registrant’s Form 8-K filed November 16, 2021)</w:t>
            </w:r>
          </w:p>
        </w:tc>
      </w:tr>
      <w:tr>
        <w:trPr>
          <w:trHeight w:val="151"/>
        </w:trPr>
        <w:tc>
          <w:tcPr>
            <w:tcW w:w="1120" w:type="dxa"/>
            <w:vAlign w:val="bottom"/>
          </w:tcPr>
          <w:p>
            <w:pPr>
              <w:spacing w:after="0"/>
              <w:rPr>
                <w:sz w:val="20"/>
                <w:szCs w:val="20"/>
                <w:color w:val="auto"/>
              </w:rPr>
            </w:pPr>
            <w:r>
              <w:rPr>
                <w:rFonts w:ascii="Arial" w:cs="Arial" w:eastAsia="Arial" w:hAnsi="Arial"/>
                <w:sz w:val="13"/>
                <w:szCs w:val="13"/>
                <w:color w:val="auto"/>
              </w:rPr>
              <w:t>4.7</w:t>
            </w:r>
          </w:p>
        </w:tc>
        <w:tc>
          <w:tcPr>
            <w:tcW w:w="5560" w:type="dxa"/>
            <w:vAlign w:val="bottom"/>
            <w:gridSpan w:val="13"/>
          </w:tcPr>
          <w:p>
            <w:pPr>
              <w:spacing w:after="0"/>
              <w:rPr>
                <w:sz w:val="20"/>
                <w:szCs w:val="20"/>
                <w:color w:val="auto"/>
              </w:rPr>
            </w:pPr>
            <w:r>
              <w:rPr>
                <w:rFonts w:ascii="Arial" w:cs="Arial" w:eastAsia="Arial" w:hAnsi="Arial"/>
                <w:sz w:val="13"/>
                <w:szCs w:val="13"/>
                <w:color w:val="0F7C7F"/>
              </w:rPr>
              <w:t>Description of Registrant’s Securities</w:t>
            </w:r>
          </w:p>
        </w:tc>
        <w:tc>
          <w:tcPr>
            <w:tcW w:w="4560" w:type="dxa"/>
            <w:vAlign w:val="bottom"/>
          </w:tcPr>
          <w:p>
            <w:pPr>
              <w:ind w:left="140"/>
              <w:spacing w:after="0"/>
              <w:rPr>
                <w:sz w:val="20"/>
                <w:szCs w:val="20"/>
                <w:color w:val="auto"/>
              </w:rPr>
            </w:pPr>
            <w:r>
              <w:rPr>
                <w:rFonts w:ascii="Arial" w:cs="Arial" w:eastAsia="Arial" w:hAnsi="Arial"/>
                <w:sz w:val="13"/>
                <w:szCs w:val="13"/>
                <w:color w:val="auto"/>
              </w:rPr>
              <w:t>Filed herewith</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620" w:type="dxa"/>
            <w:vAlign w:val="bottom"/>
            <w:gridSpan w:val="2"/>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4.8</w:t>
            </w:r>
          </w:p>
        </w:tc>
        <w:tc>
          <w:tcPr>
            <w:tcW w:w="5560" w:type="dxa"/>
            <w:vAlign w:val="bottom"/>
            <w:tcBorders>
              <w:bottom w:val="single" w:sz="8" w:color="0F7C7F"/>
            </w:tcBorders>
            <w:gridSpan w:val="13"/>
          </w:tcPr>
          <w:p>
            <w:pPr>
              <w:spacing w:after="0"/>
              <w:rPr>
                <w:rFonts w:ascii="Arial" w:cs="Arial" w:eastAsia="Arial" w:hAnsi="Arial"/>
                <w:sz w:val="13"/>
                <w:szCs w:val="13"/>
                <w:color w:val="0F7C7F"/>
                <w:w w:val="97"/>
              </w:rPr>
            </w:pPr>
            <w:hyperlink r:id="rId142">
              <w:r>
                <w:rPr>
                  <w:rFonts w:ascii="Arial" w:cs="Arial" w:eastAsia="Arial" w:hAnsi="Arial"/>
                  <w:sz w:val="13"/>
                  <w:szCs w:val="13"/>
                  <w:color w:val="0F7C7F"/>
                  <w:w w:val="97"/>
                </w:rPr>
                <w:t>Indenture, dated as of November 18, 2024, by and between Molina Healthcare, Inc. and U.S. Bank</w:t>
              </w:r>
            </w:hyperlink>
          </w:p>
        </w:tc>
        <w:tc>
          <w:tcPr>
            <w:tcW w:w="4560" w:type="dxa"/>
            <w:vAlign w:val="bottom"/>
          </w:tcPr>
          <w:p>
            <w:pPr>
              <w:ind w:left="140"/>
              <w:spacing w:after="0"/>
              <w:rPr>
                <w:sz w:val="20"/>
                <w:szCs w:val="20"/>
                <w:color w:val="auto"/>
              </w:rPr>
            </w:pPr>
            <w:r>
              <w:rPr>
                <w:rFonts w:ascii="Arial" w:cs="Arial" w:eastAsia="Arial" w:hAnsi="Arial"/>
                <w:sz w:val="13"/>
                <w:szCs w:val="13"/>
                <w:color w:val="auto"/>
              </w:rPr>
              <w:t>Filed as Exhibit 4.1 to registrant’s Form 8-K filed November 18, 2024</w:t>
            </w:r>
          </w:p>
        </w:tc>
      </w:tr>
      <w:tr>
        <w:trPr>
          <w:trHeight w:val="107"/>
        </w:trPr>
        <w:tc>
          <w:tcPr>
            <w:tcW w:w="1120" w:type="dxa"/>
            <w:vAlign w:val="bottom"/>
          </w:tcPr>
          <w:p>
            <w:pPr>
              <w:spacing w:after="0"/>
              <w:rPr>
                <w:sz w:val="9"/>
                <w:szCs w:val="9"/>
                <w:color w:val="auto"/>
              </w:rPr>
            </w:pPr>
          </w:p>
        </w:tc>
        <w:tc>
          <w:tcPr>
            <w:tcW w:w="3340" w:type="dxa"/>
            <w:vAlign w:val="bottom"/>
            <w:tcBorders>
              <w:bottom w:val="single" w:sz="8" w:color="0F7C7F"/>
            </w:tcBorders>
            <w:gridSpan w:val="7"/>
          </w:tcPr>
          <w:p>
            <w:pPr>
              <w:spacing w:after="0" w:line="107" w:lineRule="exact"/>
              <w:rPr>
                <w:rFonts w:ascii="Arial" w:cs="Arial" w:eastAsia="Arial" w:hAnsi="Arial"/>
                <w:sz w:val="12"/>
                <w:szCs w:val="12"/>
                <w:color w:val="0F7C7F"/>
              </w:rPr>
            </w:pPr>
            <w:hyperlink r:id="rId142">
              <w:r>
                <w:rPr>
                  <w:rFonts w:ascii="Arial" w:cs="Arial" w:eastAsia="Arial" w:hAnsi="Arial"/>
                  <w:sz w:val="12"/>
                  <w:szCs w:val="12"/>
                  <w:color w:val="0F7C7F"/>
                </w:rPr>
                <w:t>Company Trust Company, National Association, as Trustee</w:t>
              </w:r>
            </w:hyperlink>
          </w:p>
        </w:tc>
        <w:tc>
          <w:tcPr>
            <w:tcW w:w="2220" w:type="dxa"/>
            <w:vAlign w:val="bottom"/>
            <w:gridSpan w:val="6"/>
          </w:tcPr>
          <w:p>
            <w:pPr>
              <w:spacing w:after="0"/>
              <w:rPr>
                <w:sz w:val="9"/>
                <w:szCs w:val="9"/>
                <w:color w:val="auto"/>
              </w:rPr>
            </w:pPr>
          </w:p>
        </w:tc>
        <w:tc>
          <w:tcPr>
            <w:tcW w:w="4560" w:type="dxa"/>
            <w:vAlign w:val="bottom"/>
          </w:tcPr>
          <w:p>
            <w:pPr>
              <w:spacing w:after="0"/>
              <w:rPr>
                <w:sz w:val="9"/>
                <w:szCs w:val="9"/>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4.9</w:t>
            </w:r>
          </w:p>
        </w:tc>
        <w:tc>
          <w:tcPr>
            <w:tcW w:w="5560" w:type="dxa"/>
            <w:vAlign w:val="bottom"/>
            <w:gridSpan w:val="13"/>
          </w:tcPr>
          <w:p>
            <w:pPr>
              <w:spacing w:after="0"/>
              <w:rPr>
                <w:rFonts w:ascii="Arial" w:cs="Arial" w:eastAsia="Arial" w:hAnsi="Arial"/>
                <w:sz w:val="13"/>
                <w:szCs w:val="13"/>
                <w:color w:val="0F7C7F"/>
              </w:rPr>
            </w:pPr>
            <w:hyperlink r:id="rId142">
              <w:r>
                <w:rPr>
                  <w:rFonts w:ascii="Arial" w:cs="Arial" w:eastAsia="Arial" w:hAnsi="Arial"/>
                  <w:sz w:val="13"/>
                  <w:szCs w:val="13"/>
                  <w:color w:val="0F7C7F"/>
                </w:rPr>
                <w:t>Form of 6.250% Notes due 2033</w:t>
              </w:r>
            </w:hyperlink>
          </w:p>
        </w:tc>
        <w:tc>
          <w:tcPr>
            <w:tcW w:w="4560" w:type="dxa"/>
            <w:vAlign w:val="bottom"/>
          </w:tcPr>
          <w:p>
            <w:pPr>
              <w:ind w:left="140"/>
              <w:spacing w:after="0"/>
              <w:rPr>
                <w:sz w:val="20"/>
                <w:szCs w:val="20"/>
                <w:color w:val="auto"/>
              </w:rPr>
            </w:pPr>
            <w:r>
              <w:rPr>
                <w:rFonts w:ascii="Arial" w:cs="Arial" w:eastAsia="Arial" w:hAnsi="Arial"/>
                <w:sz w:val="13"/>
                <w:szCs w:val="13"/>
                <w:color w:val="auto"/>
                <w:w w:val="97"/>
              </w:rPr>
              <w:t>Filed as Exhibit 4.2 to registrant’s Form 8-K filed November 18, 2024 (Included</w:t>
            </w:r>
          </w:p>
        </w:tc>
      </w:tr>
      <w:tr>
        <w:trPr>
          <w:trHeight w:val="139"/>
        </w:trPr>
        <w:tc>
          <w:tcPr>
            <w:tcW w:w="1120" w:type="dxa"/>
            <w:vAlign w:val="bottom"/>
          </w:tcPr>
          <w:p>
            <w:pPr>
              <w:spacing w:after="0"/>
              <w:rPr>
                <w:sz w:val="12"/>
                <w:szCs w:val="12"/>
                <w:color w:val="auto"/>
              </w:rPr>
            </w:pPr>
          </w:p>
        </w:tc>
        <w:tc>
          <w:tcPr>
            <w:tcW w:w="980" w:type="dxa"/>
            <w:vAlign w:val="bottom"/>
            <w:tcBorders>
              <w:top w:val="single" w:sz="8" w:color="0F7C7F"/>
            </w:tcBorders>
          </w:tcPr>
          <w:p>
            <w:pPr>
              <w:spacing w:after="0"/>
              <w:rPr>
                <w:sz w:val="12"/>
                <w:szCs w:val="12"/>
                <w:color w:val="auto"/>
              </w:rPr>
            </w:pPr>
          </w:p>
        </w:tc>
        <w:tc>
          <w:tcPr>
            <w:tcW w:w="240" w:type="dxa"/>
            <w:vAlign w:val="bottom"/>
            <w:tcBorders>
              <w:top w:val="single" w:sz="8" w:color="0F7C7F"/>
            </w:tcBorders>
          </w:tcPr>
          <w:p>
            <w:pPr>
              <w:spacing w:after="0"/>
              <w:rPr>
                <w:sz w:val="12"/>
                <w:szCs w:val="12"/>
                <w:color w:val="auto"/>
              </w:rPr>
            </w:pPr>
          </w:p>
        </w:tc>
        <w:tc>
          <w:tcPr>
            <w:tcW w:w="60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60" w:type="dxa"/>
            <w:vAlign w:val="bottom"/>
          </w:tcPr>
          <w:p>
            <w:pPr>
              <w:ind w:left="140"/>
              <w:spacing w:after="0" w:line="139" w:lineRule="exact"/>
              <w:rPr>
                <w:sz w:val="20"/>
                <w:szCs w:val="20"/>
                <w:color w:val="auto"/>
              </w:rPr>
            </w:pPr>
            <w:r>
              <w:rPr>
                <w:rFonts w:ascii="Arial" w:cs="Arial" w:eastAsia="Arial" w:hAnsi="Arial"/>
                <w:sz w:val="13"/>
                <w:szCs w:val="13"/>
                <w:color w:val="auto"/>
              </w:rPr>
              <w:t>in Exhibit 4.1 to registrant’s Form 8-K filed November 18, 2024)</w:t>
            </w:r>
          </w:p>
        </w:tc>
      </w:tr>
      <w:tr>
        <w:trPr>
          <w:trHeight w:val="138"/>
        </w:trPr>
        <w:tc>
          <w:tcPr>
            <w:tcW w:w="1120" w:type="dxa"/>
            <w:vAlign w:val="bottom"/>
          </w:tcPr>
          <w:p>
            <w:pPr>
              <w:spacing w:after="0" w:line="138" w:lineRule="exact"/>
              <w:rPr>
                <w:sz w:val="20"/>
                <w:szCs w:val="20"/>
                <w:color w:val="auto"/>
              </w:rPr>
            </w:pPr>
            <w:r>
              <w:rPr>
                <w:rFonts w:ascii="Arial" w:cs="Arial" w:eastAsia="Arial" w:hAnsi="Arial"/>
                <w:sz w:val="13"/>
                <w:szCs w:val="13"/>
                <w:color w:val="auto"/>
              </w:rPr>
              <w:t>***10.1</w:t>
            </w:r>
          </w:p>
        </w:tc>
        <w:tc>
          <w:tcPr>
            <w:tcW w:w="5560" w:type="dxa"/>
            <w:vAlign w:val="bottom"/>
            <w:gridSpan w:val="13"/>
          </w:tcPr>
          <w:p>
            <w:pPr>
              <w:spacing w:after="0" w:line="138" w:lineRule="exact"/>
              <w:rPr>
                <w:rFonts w:ascii="Arial" w:cs="Arial" w:eastAsia="Arial" w:hAnsi="Arial"/>
                <w:sz w:val="13"/>
                <w:szCs w:val="13"/>
                <w:color w:val="0F7C7F"/>
              </w:rPr>
            </w:pPr>
            <w:hyperlink r:id="rId143">
              <w:r>
                <w:rPr>
                  <w:rFonts w:ascii="Arial" w:cs="Arial" w:eastAsia="Arial" w:hAnsi="Arial"/>
                  <w:sz w:val="13"/>
                  <w:szCs w:val="13"/>
                  <w:color w:val="0F7C7F"/>
                </w:rPr>
                <w:t>Credit Agreement, dated as of June 8, 2020, by and among Molina Healthcare, Inc., as the</w:t>
              </w:r>
            </w:hyperlink>
          </w:p>
        </w:tc>
        <w:tc>
          <w:tcPr>
            <w:tcW w:w="4560" w:type="dxa"/>
            <w:vAlign w:val="bottom"/>
          </w:tcPr>
          <w:p>
            <w:pPr>
              <w:ind w:left="140"/>
              <w:spacing w:after="0" w:line="138" w:lineRule="exact"/>
              <w:rPr>
                <w:sz w:val="20"/>
                <w:szCs w:val="20"/>
                <w:color w:val="auto"/>
              </w:rPr>
            </w:pPr>
            <w:r>
              <w:rPr>
                <w:rFonts w:ascii="Arial" w:cs="Arial" w:eastAsia="Arial" w:hAnsi="Arial"/>
                <w:sz w:val="13"/>
                <w:szCs w:val="13"/>
                <w:color w:val="auto"/>
              </w:rPr>
              <w:t>Filed as Exhibit 10.1 to registrant’s Form 8-K filed June 8, 2020</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2800" w:type="dxa"/>
            <w:vAlign w:val="bottom"/>
            <w:gridSpan w:val="6"/>
            <w:shd w:val="clear" w:color="auto" w:fill="0F7C7F"/>
          </w:tcPr>
          <w:p>
            <w:pPr>
              <w:spacing w:after="0" w:line="20" w:lineRule="exact"/>
              <w:rPr>
                <w:sz w:val="1"/>
                <w:szCs w:val="1"/>
                <w:color w:val="auto"/>
              </w:rPr>
            </w:pPr>
          </w:p>
        </w:tc>
        <w:tc>
          <w:tcPr>
            <w:tcW w:w="1080" w:type="dxa"/>
            <w:vAlign w:val="bottom"/>
            <w:tcBorders>
              <w:right w:val="single" w:sz="8" w:color="0F7C7F"/>
            </w:tcBorders>
            <w:shd w:val="clear" w:color="auto" w:fill="0F7C7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5560" w:type="dxa"/>
            <w:vAlign w:val="bottom"/>
            <w:gridSpan w:val="13"/>
          </w:tcPr>
          <w:p>
            <w:pPr>
              <w:spacing w:after="0" w:line="107" w:lineRule="exact"/>
              <w:rPr>
                <w:rFonts w:ascii="Arial" w:cs="Arial" w:eastAsia="Arial" w:hAnsi="Arial"/>
                <w:sz w:val="12"/>
                <w:szCs w:val="12"/>
                <w:color w:val="0F7C7F"/>
              </w:rPr>
            </w:pPr>
            <w:hyperlink r:id="rId143">
              <w:r>
                <w:rPr>
                  <w:rFonts w:ascii="Arial" w:cs="Arial" w:eastAsia="Arial" w:hAnsi="Arial"/>
                  <w:sz w:val="12"/>
                  <w:szCs w:val="12"/>
                  <w:color w:val="0F7C7F"/>
                </w:rPr>
                <w:t>Borrower, Truist Bank, as Administrative Agent, Issuing Bank and Swingline Lender, and the</w:t>
              </w:r>
            </w:hyperlink>
          </w:p>
        </w:tc>
        <w:tc>
          <w:tcPr>
            <w:tcW w:w="4560" w:type="dxa"/>
            <w:vAlign w:val="bottom"/>
          </w:tcPr>
          <w:p>
            <w:pPr>
              <w:spacing w:after="0"/>
              <w:rPr>
                <w:sz w:val="9"/>
                <w:szCs w:val="9"/>
                <w:color w:val="auto"/>
              </w:rPr>
            </w:pPr>
          </w:p>
        </w:tc>
      </w:tr>
      <w:tr>
        <w:trPr>
          <w:trHeight w:val="107"/>
        </w:trPr>
        <w:tc>
          <w:tcPr>
            <w:tcW w:w="1120" w:type="dxa"/>
            <w:vAlign w:val="bottom"/>
          </w:tcPr>
          <w:p>
            <w:pPr>
              <w:spacing w:after="0"/>
              <w:rPr>
                <w:sz w:val="9"/>
                <w:szCs w:val="9"/>
                <w:color w:val="auto"/>
              </w:rPr>
            </w:pPr>
          </w:p>
        </w:tc>
        <w:tc>
          <w:tcPr>
            <w:tcW w:w="1220" w:type="dxa"/>
            <w:vAlign w:val="bottom"/>
            <w:tcBorders>
              <w:top w:val="single" w:sz="8" w:color="0F7C7F"/>
              <w:bottom w:val="single" w:sz="8" w:color="0F7C7F"/>
            </w:tcBorders>
            <w:gridSpan w:val="2"/>
          </w:tcPr>
          <w:p>
            <w:pPr>
              <w:spacing w:after="0" w:line="107" w:lineRule="exact"/>
              <w:rPr>
                <w:rFonts w:ascii="Arial" w:cs="Arial" w:eastAsia="Arial" w:hAnsi="Arial"/>
                <w:sz w:val="12"/>
                <w:szCs w:val="12"/>
                <w:color w:val="0F7C7F"/>
              </w:rPr>
            </w:pPr>
            <w:hyperlink r:id="rId143">
              <w:r>
                <w:rPr>
                  <w:rFonts w:ascii="Arial" w:cs="Arial" w:eastAsia="Arial" w:hAnsi="Arial"/>
                  <w:sz w:val="12"/>
                  <w:szCs w:val="12"/>
                  <w:color w:val="0F7C7F"/>
                </w:rPr>
                <w:t>Lenders party thereto</w:t>
              </w:r>
            </w:hyperlink>
          </w:p>
        </w:tc>
        <w:tc>
          <w:tcPr>
            <w:tcW w:w="3960" w:type="dxa"/>
            <w:vAlign w:val="bottom"/>
            <w:tcBorders>
              <w:top w:val="single" w:sz="8" w:color="0F7C7F"/>
            </w:tcBorders>
            <w:gridSpan w:val="8"/>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10.2</w:t>
            </w:r>
          </w:p>
        </w:tc>
        <w:tc>
          <w:tcPr>
            <w:tcW w:w="5560" w:type="dxa"/>
            <w:vAlign w:val="bottom"/>
            <w:gridSpan w:val="13"/>
          </w:tcPr>
          <w:p>
            <w:pPr>
              <w:spacing w:after="0"/>
              <w:rPr>
                <w:rFonts w:ascii="Arial" w:cs="Arial" w:eastAsia="Arial" w:hAnsi="Arial"/>
                <w:sz w:val="13"/>
                <w:szCs w:val="13"/>
                <w:color w:val="0F7C7F"/>
              </w:rPr>
            </w:pPr>
            <w:hyperlink r:id="rId144">
              <w:r>
                <w:rPr>
                  <w:rFonts w:ascii="Arial" w:cs="Arial" w:eastAsia="Arial" w:hAnsi="Arial"/>
                  <w:sz w:val="13"/>
                  <w:szCs w:val="13"/>
                  <w:color w:val="0F7C7F"/>
                </w:rPr>
                <w:t>First Amendment to Credit Agreement, dated as of April 26, 2023, by and between Molina</w:t>
              </w:r>
            </w:hyperlink>
          </w:p>
        </w:tc>
        <w:tc>
          <w:tcPr>
            <w:tcW w:w="4560" w:type="dxa"/>
            <w:vAlign w:val="bottom"/>
          </w:tcPr>
          <w:p>
            <w:pPr>
              <w:ind w:left="140"/>
              <w:spacing w:after="0"/>
              <w:rPr>
                <w:sz w:val="20"/>
                <w:szCs w:val="20"/>
                <w:color w:val="auto"/>
              </w:rPr>
            </w:pPr>
            <w:r>
              <w:rPr>
                <w:rFonts w:ascii="Arial" w:cs="Arial" w:eastAsia="Arial" w:hAnsi="Arial"/>
                <w:sz w:val="13"/>
                <w:szCs w:val="13"/>
                <w:color w:val="auto"/>
              </w:rPr>
              <w:t>Filed as Exhibit 10.1 to registrant’s Form 10-Q filed April 27, 2023</w:t>
            </w:r>
          </w:p>
        </w:tc>
      </w:tr>
      <w:tr>
        <w:trPr>
          <w:trHeight w:val="107"/>
        </w:trPr>
        <w:tc>
          <w:tcPr>
            <w:tcW w:w="1120" w:type="dxa"/>
            <w:vAlign w:val="bottom"/>
          </w:tcPr>
          <w:p>
            <w:pPr>
              <w:spacing w:after="0"/>
              <w:rPr>
                <w:sz w:val="9"/>
                <w:szCs w:val="9"/>
                <w:color w:val="auto"/>
              </w:rPr>
            </w:pPr>
          </w:p>
        </w:tc>
        <w:tc>
          <w:tcPr>
            <w:tcW w:w="5100" w:type="dxa"/>
            <w:vAlign w:val="bottom"/>
            <w:tcBorders>
              <w:top w:val="single" w:sz="8" w:color="0F7C7F"/>
            </w:tcBorders>
            <w:gridSpan w:val="9"/>
          </w:tcPr>
          <w:p>
            <w:pPr>
              <w:spacing w:after="0" w:line="107" w:lineRule="exact"/>
              <w:rPr>
                <w:rFonts w:ascii="Arial" w:cs="Arial" w:eastAsia="Arial" w:hAnsi="Arial"/>
                <w:sz w:val="12"/>
                <w:szCs w:val="12"/>
                <w:color w:val="0F7C7F"/>
              </w:rPr>
            </w:pPr>
            <w:hyperlink r:id="rId144">
              <w:r>
                <w:rPr>
                  <w:rFonts w:ascii="Arial" w:cs="Arial" w:eastAsia="Arial" w:hAnsi="Arial"/>
                  <w:sz w:val="12"/>
                  <w:szCs w:val="12"/>
                  <w:color w:val="0F7C7F"/>
                </w:rPr>
                <w:t>Healthcare, Inc. and Truist Bank, in its capacity as Administrative Agent</w:t>
              </w:r>
            </w:hyperlink>
          </w:p>
        </w:tc>
        <w:tc>
          <w:tcPr>
            <w:tcW w:w="2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F7C7F"/>
          </w:tcPr>
          <w:p>
            <w:pPr>
              <w:spacing w:after="0" w:line="20" w:lineRule="exact"/>
              <w:rPr>
                <w:sz w:val="1"/>
                <w:szCs w:val="1"/>
                <w:color w:val="auto"/>
              </w:rPr>
            </w:pPr>
          </w:p>
        </w:tc>
        <w:tc>
          <w:tcPr>
            <w:tcW w:w="3040" w:type="dxa"/>
            <w:vAlign w:val="bottom"/>
            <w:gridSpan w:val="7"/>
            <w:shd w:val="clear" w:color="auto" w:fill="0F7C7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50"/>
        </w:trPr>
        <w:tc>
          <w:tcPr>
            <w:tcW w:w="1120" w:type="dxa"/>
            <w:vAlign w:val="bottom"/>
          </w:tcPr>
          <w:p>
            <w:pPr>
              <w:spacing w:after="0"/>
              <w:rPr>
                <w:sz w:val="20"/>
                <w:szCs w:val="20"/>
                <w:color w:val="auto"/>
              </w:rPr>
            </w:pPr>
            <w:r>
              <w:rPr>
                <w:rFonts w:ascii="Arial" w:cs="Arial" w:eastAsia="Arial" w:hAnsi="Arial"/>
                <w:sz w:val="13"/>
                <w:szCs w:val="13"/>
                <w:color w:val="auto"/>
              </w:rPr>
              <w:t>***10.3</w:t>
            </w:r>
          </w:p>
        </w:tc>
        <w:tc>
          <w:tcPr>
            <w:tcW w:w="5320" w:type="dxa"/>
            <w:vAlign w:val="bottom"/>
            <w:tcBorders>
              <w:bottom w:val="single" w:sz="8" w:color="0F7C7F"/>
            </w:tcBorders>
            <w:gridSpan w:val="11"/>
          </w:tcPr>
          <w:p>
            <w:pPr>
              <w:spacing w:after="0"/>
              <w:rPr>
                <w:rFonts w:ascii="Arial" w:cs="Arial" w:eastAsia="Arial" w:hAnsi="Arial"/>
                <w:sz w:val="13"/>
                <w:szCs w:val="13"/>
                <w:color w:val="0F7C7F"/>
                <w:w w:val="97"/>
              </w:rPr>
            </w:pPr>
            <w:hyperlink r:id="rId145">
              <w:r>
                <w:rPr>
                  <w:rFonts w:ascii="Arial" w:cs="Arial" w:eastAsia="Arial" w:hAnsi="Arial"/>
                  <w:sz w:val="13"/>
                  <w:szCs w:val="13"/>
                  <w:color w:val="0F7C7F"/>
                  <w:w w:val="97"/>
                </w:rPr>
                <w:t>Second Amendment to Credit Agreement, dated as of September 20, 2024, by and among the</w:t>
              </w:r>
            </w:hyperlink>
          </w:p>
        </w:tc>
        <w:tc>
          <w:tcPr>
            <w:tcW w:w="240" w:type="dxa"/>
            <w:vAlign w:val="bottom"/>
            <w:gridSpan w:val="2"/>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Filed as Exhibit 10.1 to registrant’s Form 8-K filed September 23, 2024</w:t>
            </w:r>
          </w:p>
        </w:tc>
      </w:tr>
      <w:tr>
        <w:trPr>
          <w:trHeight w:val="107"/>
        </w:trPr>
        <w:tc>
          <w:tcPr>
            <w:tcW w:w="1120" w:type="dxa"/>
            <w:vAlign w:val="bottom"/>
          </w:tcPr>
          <w:p>
            <w:pPr>
              <w:spacing w:after="0"/>
              <w:rPr>
                <w:sz w:val="9"/>
                <w:szCs w:val="9"/>
                <w:color w:val="auto"/>
              </w:rPr>
            </w:pPr>
          </w:p>
        </w:tc>
        <w:tc>
          <w:tcPr>
            <w:tcW w:w="5560" w:type="dxa"/>
            <w:vAlign w:val="bottom"/>
            <w:gridSpan w:val="13"/>
          </w:tcPr>
          <w:p>
            <w:pPr>
              <w:spacing w:after="0" w:line="107" w:lineRule="exact"/>
              <w:rPr>
                <w:rFonts w:ascii="Arial" w:cs="Arial" w:eastAsia="Arial" w:hAnsi="Arial"/>
                <w:sz w:val="12"/>
                <w:szCs w:val="12"/>
                <w:color w:val="0F7C7F"/>
              </w:rPr>
            </w:pPr>
            <w:hyperlink r:id="rId145">
              <w:r>
                <w:rPr>
                  <w:rFonts w:ascii="Arial" w:cs="Arial" w:eastAsia="Arial" w:hAnsi="Arial"/>
                  <w:sz w:val="12"/>
                  <w:szCs w:val="12"/>
                  <w:color w:val="0F7C7F"/>
                </w:rPr>
                <w:t>Company, the Lenders party thereto and Truist Bank, as Administrative Agent, Issuing Bank and</w:t>
              </w:r>
            </w:hyperlink>
          </w:p>
        </w:tc>
        <w:tc>
          <w:tcPr>
            <w:tcW w:w="4560" w:type="dxa"/>
            <w:vAlign w:val="bottom"/>
          </w:tcPr>
          <w:p>
            <w:pPr>
              <w:spacing w:after="0"/>
              <w:rPr>
                <w:sz w:val="9"/>
                <w:szCs w:val="9"/>
                <w:color w:val="auto"/>
              </w:rPr>
            </w:pPr>
          </w:p>
        </w:tc>
      </w:tr>
      <w:tr>
        <w:trPr>
          <w:trHeight w:val="107"/>
        </w:trPr>
        <w:tc>
          <w:tcPr>
            <w:tcW w:w="1120" w:type="dxa"/>
            <w:vAlign w:val="bottom"/>
          </w:tcPr>
          <w:p>
            <w:pPr>
              <w:spacing w:after="0"/>
              <w:rPr>
                <w:sz w:val="9"/>
                <w:szCs w:val="9"/>
                <w:color w:val="auto"/>
              </w:rPr>
            </w:pPr>
          </w:p>
        </w:tc>
        <w:tc>
          <w:tcPr>
            <w:tcW w:w="5420" w:type="dxa"/>
            <w:vAlign w:val="bottom"/>
            <w:tcBorders>
              <w:top w:val="single" w:sz="8" w:color="0F7C7F"/>
            </w:tcBorders>
            <w:gridSpan w:val="12"/>
          </w:tcPr>
          <w:p>
            <w:pPr>
              <w:spacing w:after="0" w:line="107" w:lineRule="exact"/>
              <w:rPr>
                <w:rFonts w:ascii="Arial" w:cs="Arial" w:eastAsia="Arial" w:hAnsi="Arial"/>
                <w:sz w:val="12"/>
                <w:szCs w:val="12"/>
                <w:color w:val="0F7C7F"/>
              </w:rPr>
            </w:pPr>
            <w:hyperlink r:id="rId145">
              <w:r>
                <w:rPr>
                  <w:rFonts w:ascii="Arial" w:cs="Arial" w:eastAsia="Arial" w:hAnsi="Arial"/>
                  <w:sz w:val="12"/>
                  <w:szCs w:val="12"/>
                  <w:color w:val="0F7C7F"/>
                </w:rPr>
                <w:t>Swingline Lender</w:t>
              </w:r>
            </w:hyperlink>
          </w:p>
        </w:tc>
        <w:tc>
          <w:tcPr>
            <w:tcW w:w="14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F7C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Number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26"/>
          </w:tcPr>
          <w:p>
            <w:pPr>
              <w:ind w:left="20"/>
              <w:spacing w:after="0"/>
              <w:rPr>
                <w:sz w:val="20"/>
                <w:szCs w:val="20"/>
                <w:color w:val="auto"/>
              </w:rPr>
            </w:pPr>
            <w:r>
              <w:rPr>
                <w:rFonts w:ascii="Arial" w:cs="Arial" w:eastAsia="Arial" w:hAnsi="Arial"/>
                <w:sz w:val="13"/>
                <w:szCs w:val="13"/>
                <w:color w:val="auto"/>
              </w:rPr>
              <w:t>Description</w:t>
            </w:r>
          </w:p>
        </w:tc>
      </w:tr>
      <w:tr>
        <w:trPr>
          <w:trHeight w:val="130"/>
        </w:trPr>
        <w:tc>
          <w:tcPr>
            <w:tcW w:w="104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3"/>
                <w:szCs w:val="13"/>
                <w:color w:val="auto"/>
              </w:rPr>
              <w:t>*10.4</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0" w:type="dxa"/>
            <w:vAlign w:val="bottom"/>
            <w:tcBorders>
              <w:top w:val="single" w:sz="8" w:color="auto"/>
            </w:tcBorders>
            <w:gridSpan w:val="39"/>
          </w:tcPr>
          <w:p>
            <w:pPr>
              <w:spacing w:after="0" w:line="130" w:lineRule="exact"/>
              <w:rPr>
                <w:rFonts w:ascii="Arial" w:cs="Arial" w:eastAsia="Arial" w:hAnsi="Arial"/>
                <w:sz w:val="13"/>
                <w:szCs w:val="13"/>
                <w:color w:val="0F7C7F"/>
              </w:rPr>
            </w:pPr>
            <w:hyperlink r:id="rId147">
              <w:r>
                <w:rPr>
                  <w:rFonts w:ascii="Arial" w:cs="Arial" w:eastAsia="Arial" w:hAnsi="Arial"/>
                  <w:sz w:val="13"/>
                  <w:szCs w:val="13"/>
                  <w:color w:val="0F7C7F"/>
                </w:rPr>
                <w:t>2019 Employee Stock Purchase Plan</w:t>
              </w:r>
            </w:hyperlink>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42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sz w:val="20"/>
                <w:szCs w:val="20"/>
                <w:color w:val="auto"/>
              </w:rPr>
            </w:pPr>
            <w:r>
              <w:rPr>
                <w:rFonts w:ascii="Arial" w:cs="Arial" w:eastAsia="Arial" w:hAnsi="Arial"/>
                <w:sz w:val="13"/>
                <w:szCs w:val="13"/>
                <w:color w:val="0F7C7F"/>
              </w:rPr>
              <w:t>Molina Healthcare, Inc. 2019 Equity Incentive Plan</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42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60" w:type="dxa"/>
            <w:vAlign w:val="bottom"/>
            <w:tcBorders>
              <w:right w:val="single" w:sz="8" w:color="0F7C7F"/>
            </w:tcBorders>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48">
              <w:r>
                <w:rPr>
                  <w:rFonts w:ascii="Arial" w:cs="Arial" w:eastAsia="Arial" w:hAnsi="Arial"/>
                  <w:sz w:val="13"/>
                  <w:szCs w:val="13"/>
                  <w:color w:val="0F7C7F"/>
                </w:rPr>
                <w:t>2019 Equity Incentive Plan - Form of Restricted Stock Award Agreement (Employee/Officer with</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Borders>
              <w:top w:val="single" w:sz="8" w:color="0F7C7F"/>
            </w:tcBorders>
            <w:gridSpan w:val="31"/>
          </w:tcPr>
          <w:p>
            <w:pPr>
              <w:spacing w:after="0" w:line="107" w:lineRule="exact"/>
              <w:rPr>
                <w:rFonts w:ascii="Arial" w:cs="Arial" w:eastAsia="Arial" w:hAnsi="Arial"/>
                <w:sz w:val="12"/>
                <w:szCs w:val="12"/>
                <w:color w:val="0F7C7F"/>
              </w:rPr>
            </w:pPr>
            <w:hyperlink r:id="rId148">
              <w:r>
                <w:rPr>
                  <w:rFonts w:ascii="Arial" w:cs="Arial" w:eastAsia="Arial" w:hAnsi="Arial"/>
                  <w:sz w:val="12"/>
                  <w:szCs w:val="12"/>
                  <w:color w:val="0F7C7F"/>
                </w:rPr>
                <w:t>No Employment Agreement)</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42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w w:val="98"/>
              </w:rPr>
            </w:pPr>
            <w:hyperlink r:id="rId149">
              <w:r>
                <w:rPr>
                  <w:rFonts w:ascii="Arial" w:cs="Arial" w:eastAsia="Arial" w:hAnsi="Arial"/>
                  <w:sz w:val="13"/>
                  <w:szCs w:val="13"/>
                  <w:color w:val="0F7C7F"/>
                  <w:w w:val="98"/>
                </w:rPr>
                <w:t>2019 Equity Incentive Plan - Form of Performance Stock Unit Award Agreement (Employee/Officer</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F7C7F"/>
              <w:bottom w:val="single" w:sz="8" w:color="0F7C7F"/>
            </w:tcBorders>
            <w:gridSpan w:val="8"/>
          </w:tcPr>
          <w:p>
            <w:pPr>
              <w:spacing w:after="0" w:line="107" w:lineRule="exact"/>
              <w:rPr>
                <w:rFonts w:ascii="Arial" w:cs="Arial" w:eastAsia="Arial" w:hAnsi="Arial"/>
                <w:sz w:val="12"/>
                <w:szCs w:val="12"/>
                <w:color w:val="0F7C7F"/>
              </w:rPr>
            </w:pPr>
            <w:hyperlink r:id="rId149">
              <w:r>
                <w:rPr>
                  <w:rFonts w:ascii="Arial" w:cs="Arial" w:eastAsia="Arial" w:hAnsi="Arial"/>
                  <w:sz w:val="12"/>
                  <w:szCs w:val="12"/>
                  <w:color w:val="0F7C7F"/>
                </w:rPr>
                <w:t>with No Employment Agreement)</w:t>
              </w:r>
            </w:hyperlink>
          </w:p>
        </w:tc>
        <w:tc>
          <w:tcPr>
            <w:tcW w:w="3680" w:type="dxa"/>
            <w:vAlign w:val="bottom"/>
            <w:tcBorders>
              <w:top w:val="single" w:sz="8" w:color="0F7C7F"/>
            </w:tcBorders>
            <w:gridSpan w:val="2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w w:val="98"/>
              </w:rPr>
            </w:pPr>
            <w:hyperlink r:id="rId150">
              <w:r>
                <w:rPr>
                  <w:rFonts w:ascii="Arial" w:cs="Arial" w:eastAsia="Arial" w:hAnsi="Arial"/>
                  <w:sz w:val="13"/>
                  <w:szCs w:val="13"/>
                  <w:color w:val="0F7C7F"/>
                  <w:w w:val="98"/>
                </w:rPr>
                <w:t>2019 Equity Incentive Plan - Form of Restricted Stock Award Agreement (Officer with Employment</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40" w:type="dxa"/>
            <w:vAlign w:val="bottom"/>
            <w:tcBorders>
              <w:top w:val="single" w:sz="8" w:color="0F7C7F"/>
            </w:tcBorders>
            <w:gridSpan w:val="36"/>
          </w:tcPr>
          <w:p>
            <w:pPr>
              <w:spacing w:after="0" w:line="107" w:lineRule="exact"/>
              <w:rPr>
                <w:rFonts w:ascii="Arial" w:cs="Arial" w:eastAsia="Arial" w:hAnsi="Arial"/>
                <w:sz w:val="12"/>
                <w:szCs w:val="12"/>
                <w:color w:val="0F7C7F"/>
              </w:rPr>
            </w:pPr>
            <w:hyperlink r:id="rId150">
              <w:r>
                <w:rPr>
                  <w:rFonts w:ascii="Arial" w:cs="Arial" w:eastAsia="Arial" w:hAnsi="Arial"/>
                  <w:sz w:val="12"/>
                  <w:szCs w:val="12"/>
                  <w:color w:val="0F7C7F"/>
                </w:rPr>
                <w:t>Agreement)</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240" w:type="dxa"/>
            <w:vAlign w:val="bottom"/>
            <w:shd w:val="clear" w:color="auto" w:fill="0F7C7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51">
              <w:r>
                <w:rPr>
                  <w:rFonts w:ascii="Arial" w:cs="Arial" w:eastAsia="Arial" w:hAnsi="Arial"/>
                  <w:sz w:val="13"/>
                  <w:szCs w:val="13"/>
                  <w:color w:val="0F7C7F"/>
                </w:rPr>
                <w:t>2019 Equity Incentive Plan - Form of Performance Stock Unit Award Agreement (Officer with</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Borders>
              <w:top w:val="single" w:sz="8" w:color="0F7C7F"/>
              <w:bottom w:val="single" w:sz="8" w:color="0F7C7F"/>
            </w:tcBorders>
            <w:gridSpan w:val="6"/>
          </w:tcPr>
          <w:p>
            <w:pPr>
              <w:spacing w:after="0" w:line="107" w:lineRule="exact"/>
              <w:rPr>
                <w:rFonts w:ascii="Arial" w:cs="Arial" w:eastAsia="Arial" w:hAnsi="Arial"/>
                <w:sz w:val="12"/>
                <w:szCs w:val="12"/>
                <w:color w:val="0F7C7F"/>
              </w:rPr>
            </w:pPr>
            <w:hyperlink r:id="rId151">
              <w:r>
                <w:rPr>
                  <w:rFonts w:ascii="Arial" w:cs="Arial" w:eastAsia="Arial" w:hAnsi="Arial"/>
                  <w:sz w:val="12"/>
                  <w:szCs w:val="12"/>
                  <w:color w:val="0F7C7F"/>
                </w:rPr>
                <w:t>Employment Agreement)</w:t>
              </w:r>
            </w:hyperlink>
          </w:p>
        </w:tc>
        <w:tc>
          <w:tcPr>
            <w:tcW w:w="3780" w:type="dxa"/>
            <w:vAlign w:val="bottom"/>
            <w:tcBorders>
              <w:top w:val="single" w:sz="8" w:color="0F7C7F"/>
            </w:tcBorders>
            <w:gridSpan w:val="2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bottom w:val="single" w:sz="8" w:color="0F7C7F"/>
            </w:tcBorders>
            <w:gridSpan w:val="27"/>
          </w:tcPr>
          <w:p>
            <w:pPr>
              <w:spacing w:after="0"/>
              <w:rPr>
                <w:rFonts w:ascii="Arial" w:cs="Arial" w:eastAsia="Arial" w:hAnsi="Arial"/>
                <w:sz w:val="13"/>
                <w:szCs w:val="13"/>
                <w:color w:val="0F7C7F"/>
                <w:w w:val="97"/>
              </w:rPr>
            </w:pPr>
            <w:hyperlink r:id="rId152">
              <w:r>
                <w:rPr>
                  <w:rFonts w:ascii="Arial" w:cs="Arial" w:eastAsia="Arial" w:hAnsi="Arial"/>
                  <w:sz w:val="13"/>
                  <w:szCs w:val="13"/>
                  <w:color w:val="0F7C7F"/>
                  <w:w w:val="97"/>
                </w:rPr>
                <w:t>Molina Healthcare, Inc. Second Amended and Restated Change in Control Severance Plan</w:t>
              </w:r>
            </w:hyperlink>
          </w:p>
        </w:tc>
        <w:tc>
          <w:tcPr>
            <w:tcW w:w="440" w:type="dxa"/>
            <w:vAlign w:val="bottom"/>
            <w:gridSpan w:val="12"/>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0F7C7F"/>
            </w:tcBorders>
            <w:gridSpan w:val="10"/>
          </w:tcPr>
          <w:p>
            <w:pPr>
              <w:spacing w:after="0"/>
              <w:rPr>
                <w:rFonts w:ascii="Arial" w:cs="Arial" w:eastAsia="Arial" w:hAnsi="Arial"/>
                <w:sz w:val="13"/>
                <w:szCs w:val="13"/>
                <w:color w:val="0F7C7F"/>
                <w:w w:val="97"/>
              </w:rPr>
            </w:pPr>
            <w:hyperlink r:id="rId153">
              <w:r>
                <w:rPr>
                  <w:rFonts w:ascii="Arial" w:cs="Arial" w:eastAsia="Arial" w:hAnsi="Arial"/>
                  <w:sz w:val="13"/>
                  <w:szCs w:val="13"/>
                  <w:color w:val="0F7C7F"/>
                  <w:w w:val="97"/>
                </w:rPr>
                <w:t>Form of Indemnification Agreement</w:t>
              </w:r>
            </w:hyperlink>
          </w:p>
        </w:tc>
        <w:tc>
          <w:tcPr>
            <w:tcW w:w="3600" w:type="dxa"/>
            <w:vAlign w:val="bottom"/>
            <w:gridSpan w:val="29"/>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bottom w:val="single" w:sz="8" w:color="0F7C7F"/>
            </w:tcBorders>
            <w:gridSpan w:val="22"/>
          </w:tcPr>
          <w:p>
            <w:pPr>
              <w:spacing w:after="0"/>
              <w:rPr>
                <w:rFonts w:ascii="Arial" w:cs="Arial" w:eastAsia="Arial" w:hAnsi="Arial"/>
                <w:sz w:val="13"/>
                <w:szCs w:val="13"/>
                <w:color w:val="0F7C7F"/>
                <w:w w:val="97"/>
              </w:rPr>
            </w:pPr>
            <w:hyperlink r:id="rId154">
              <w:r>
                <w:rPr>
                  <w:rFonts w:ascii="Arial" w:cs="Arial" w:eastAsia="Arial" w:hAnsi="Arial"/>
                  <w:sz w:val="13"/>
                  <w:szCs w:val="13"/>
                  <w:color w:val="0F7C7F"/>
                  <w:w w:val="97"/>
                </w:rPr>
                <w:t>Molina Healthcare, Inc. Amended and Restated Deferred Compensation Plan (2022)</w:t>
              </w:r>
            </w:hyperlink>
          </w:p>
        </w:tc>
        <w:tc>
          <w:tcPr>
            <w:tcW w:w="840" w:type="dxa"/>
            <w:vAlign w:val="bottom"/>
            <w:gridSpan w:val="17"/>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w w:val="99"/>
              </w:rPr>
            </w:pPr>
            <w:hyperlink r:id="rId155">
              <w:r>
                <w:rPr>
                  <w:rFonts w:ascii="Arial" w:cs="Arial" w:eastAsia="Arial" w:hAnsi="Arial"/>
                  <w:sz w:val="13"/>
                  <w:szCs w:val="13"/>
                  <w:color w:val="0F7C7F"/>
                  <w:w w:val="99"/>
                </w:rPr>
                <w:t>First Amendment to Molina Healthcare, Inc. Amended and Restated Deferred Compensation Plan</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0F7C7F"/>
              <w:bottom w:val="single" w:sz="8" w:color="0F7C7F"/>
            </w:tcBorders>
          </w:tcPr>
          <w:p>
            <w:pPr>
              <w:spacing w:after="0" w:line="107" w:lineRule="exact"/>
              <w:rPr>
                <w:rFonts w:ascii="Arial" w:cs="Arial" w:eastAsia="Arial" w:hAnsi="Arial"/>
                <w:sz w:val="12"/>
                <w:szCs w:val="12"/>
                <w:color w:val="0F7C7F"/>
              </w:rPr>
            </w:pPr>
            <w:hyperlink r:id="rId155">
              <w:r>
                <w:rPr>
                  <w:rFonts w:ascii="Arial" w:cs="Arial" w:eastAsia="Arial" w:hAnsi="Arial"/>
                  <w:sz w:val="12"/>
                  <w:szCs w:val="12"/>
                  <w:color w:val="0F7C7F"/>
                </w:rPr>
                <w:t>(2022)</w:t>
              </w:r>
            </w:hyperlink>
          </w:p>
        </w:tc>
        <w:tc>
          <w:tcPr>
            <w:tcW w:w="40" w:type="dxa"/>
            <w:vAlign w:val="bottom"/>
            <w:tcBorders>
              <w:top w:val="single" w:sz="8" w:color="0F7C7F"/>
            </w:tcBorders>
          </w:tcPr>
          <w:p>
            <w:pPr>
              <w:spacing w:after="0"/>
              <w:rPr>
                <w:sz w:val="9"/>
                <w:szCs w:val="9"/>
                <w:color w:val="auto"/>
              </w:rPr>
            </w:pPr>
          </w:p>
        </w:tc>
        <w:tc>
          <w:tcPr>
            <w:tcW w:w="240" w:type="dxa"/>
            <w:vAlign w:val="bottom"/>
            <w:tcBorders>
              <w:top w:val="single" w:sz="8" w:color="0F7C7F"/>
            </w:tcBorders>
          </w:tcPr>
          <w:p>
            <w:pPr>
              <w:spacing w:after="0"/>
              <w:rPr>
                <w:sz w:val="9"/>
                <w:szCs w:val="9"/>
                <w:color w:val="auto"/>
              </w:rPr>
            </w:pPr>
          </w:p>
        </w:tc>
        <w:tc>
          <w:tcPr>
            <w:tcW w:w="420" w:type="dxa"/>
            <w:vAlign w:val="bottom"/>
            <w:tcBorders>
              <w:top w:val="single" w:sz="8" w:color="0F7C7F"/>
            </w:tcBorders>
          </w:tcPr>
          <w:p>
            <w:pPr>
              <w:spacing w:after="0"/>
              <w:rPr>
                <w:sz w:val="9"/>
                <w:szCs w:val="9"/>
                <w:color w:val="auto"/>
              </w:rPr>
            </w:pPr>
          </w:p>
        </w:tc>
        <w:tc>
          <w:tcPr>
            <w:tcW w:w="140" w:type="dxa"/>
            <w:vAlign w:val="bottom"/>
            <w:tcBorders>
              <w:top w:val="single" w:sz="8" w:color="0F7C7F"/>
            </w:tcBorders>
          </w:tcPr>
          <w:p>
            <w:pPr>
              <w:spacing w:after="0"/>
              <w:rPr>
                <w:sz w:val="9"/>
                <w:szCs w:val="9"/>
                <w:color w:val="auto"/>
              </w:rPr>
            </w:pPr>
          </w:p>
        </w:tc>
        <w:tc>
          <w:tcPr>
            <w:tcW w:w="200" w:type="dxa"/>
            <w:vAlign w:val="bottom"/>
            <w:tcBorders>
              <w:top w:val="single" w:sz="8" w:color="0F7C7F"/>
            </w:tcBorders>
          </w:tcPr>
          <w:p>
            <w:pPr>
              <w:spacing w:after="0"/>
              <w:rPr>
                <w:sz w:val="9"/>
                <w:szCs w:val="9"/>
                <w:color w:val="auto"/>
              </w:rPr>
            </w:pPr>
          </w:p>
        </w:tc>
        <w:tc>
          <w:tcPr>
            <w:tcW w:w="180" w:type="dxa"/>
            <w:vAlign w:val="bottom"/>
            <w:tcBorders>
              <w:top w:val="single" w:sz="8" w:color="0F7C7F"/>
            </w:tcBorders>
          </w:tcPr>
          <w:p>
            <w:pPr>
              <w:spacing w:after="0"/>
              <w:rPr>
                <w:sz w:val="9"/>
                <w:szCs w:val="9"/>
                <w:color w:val="auto"/>
              </w:rPr>
            </w:pPr>
          </w:p>
        </w:tc>
        <w:tc>
          <w:tcPr>
            <w:tcW w:w="28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80" w:type="dxa"/>
            <w:vAlign w:val="bottom"/>
            <w:tcBorders>
              <w:top w:val="single" w:sz="8" w:color="0F7C7F"/>
            </w:tcBorders>
          </w:tcPr>
          <w:p>
            <w:pPr>
              <w:spacing w:after="0"/>
              <w:rPr>
                <w:sz w:val="9"/>
                <w:szCs w:val="9"/>
                <w:color w:val="auto"/>
              </w:rPr>
            </w:pPr>
          </w:p>
        </w:tc>
        <w:tc>
          <w:tcPr>
            <w:tcW w:w="100" w:type="dxa"/>
            <w:vAlign w:val="bottom"/>
            <w:tcBorders>
              <w:top w:val="single" w:sz="8" w:color="0F7C7F"/>
            </w:tcBorders>
          </w:tcPr>
          <w:p>
            <w:pPr>
              <w:spacing w:after="0"/>
              <w:rPr>
                <w:sz w:val="9"/>
                <w:szCs w:val="9"/>
                <w:color w:val="auto"/>
              </w:rPr>
            </w:pPr>
          </w:p>
        </w:tc>
        <w:tc>
          <w:tcPr>
            <w:tcW w:w="260" w:type="dxa"/>
            <w:vAlign w:val="bottom"/>
            <w:tcBorders>
              <w:top w:val="single" w:sz="8" w:color="0F7C7F"/>
            </w:tcBorders>
          </w:tcPr>
          <w:p>
            <w:pPr>
              <w:spacing w:after="0"/>
              <w:rPr>
                <w:sz w:val="9"/>
                <w:szCs w:val="9"/>
                <w:color w:val="auto"/>
              </w:rPr>
            </w:pPr>
          </w:p>
        </w:tc>
        <w:tc>
          <w:tcPr>
            <w:tcW w:w="80" w:type="dxa"/>
            <w:vAlign w:val="bottom"/>
            <w:tcBorders>
              <w:top w:val="single" w:sz="8" w:color="0F7C7F"/>
            </w:tcBorders>
          </w:tcPr>
          <w:p>
            <w:pPr>
              <w:spacing w:after="0"/>
              <w:rPr>
                <w:sz w:val="9"/>
                <w:szCs w:val="9"/>
                <w:color w:val="auto"/>
              </w:rPr>
            </w:pPr>
          </w:p>
        </w:tc>
        <w:tc>
          <w:tcPr>
            <w:tcW w:w="220" w:type="dxa"/>
            <w:vAlign w:val="bottom"/>
            <w:tcBorders>
              <w:top w:val="single" w:sz="8" w:color="0F7C7F"/>
            </w:tcBorders>
          </w:tcPr>
          <w:p>
            <w:pPr>
              <w:spacing w:after="0"/>
              <w:rPr>
                <w:sz w:val="9"/>
                <w:szCs w:val="9"/>
                <w:color w:val="auto"/>
              </w:rPr>
            </w:pPr>
          </w:p>
        </w:tc>
        <w:tc>
          <w:tcPr>
            <w:tcW w:w="120" w:type="dxa"/>
            <w:vAlign w:val="bottom"/>
            <w:tcBorders>
              <w:top w:val="single" w:sz="8" w:color="0F7C7F"/>
            </w:tcBorders>
          </w:tcPr>
          <w:p>
            <w:pPr>
              <w:spacing w:after="0"/>
              <w:rPr>
                <w:sz w:val="9"/>
                <w:szCs w:val="9"/>
                <w:color w:val="auto"/>
              </w:rPr>
            </w:pPr>
          </w:p>
        </w:tc>
        <w:tc>
          <w:tcPr>
            <w:tcW w:w="6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100" w:type="dxa"/>
            <w:vAlign w:val="bottom"/>
            <w:tcBorders>
              <w:top w:val="single" w:sz="8" w:color="0F7C7F"/>
            </w:tcBorders>
          </w:tcPr>
          <w:p>
            <w:pPr>
              <w:spacing w:after="0"/>
              <w:rPr>
                <w:sz w:val="9"/>
                <w:szCs w:val="9"/>
                <w:color w:val="auto"/>
              </w:rPr>
            </w:pPr>
          </w:p>
        </w:tc>
        <w:tc>
          <w:tcPr>
            <w:tcW w:w="400" w:type="dxa"/>
            <w:vAlign w:val="bottom"/>
            <w:tcBorders>
              <w:top w:val="single" w:sz="8" w:color="0F7C7F"/>
            </w:tcBorders>
          </w:tcPr>
          <w:p>
            <w:pPr>
              <w:spacing w:after="0"/>
              <w:rPr>
                <w:sz w:val="9"/>
                <w:szCs w:val="9"/>
                <w:color w:val="auto"/>
              </w:rPr>
            </w:pPr>
          </w:p>
        </w:tc>
        <w:tc>
          <w:tcPr>
            <w:tcW w:w="140" w:type="dxa"/>
            <w:vAlign w:val="bottom"/>
            <w:tcBorders>
              <w:top w:val="single" w:sz="8" w:color="0F7C7F"/>
            </w:tcBorders>
          </w:tcPr>
          <w:p>
            <w:pPr>
              <w:spacing w:after="0"/>
              <w:rPr>
                <w:sz w:val="9"/>
                <w:szCs w:val="9"/>
                <w:color w:val="auto"/>
              </w:rPr>
            </w:pPr>
          </w:p>
        </w:tc>
        <w:tc>
          <w:tcPr>
            <w:tcW w:w="1160" w:type="dxa"/>
            <w:vAlign w:val="bottom"/>
            <w:tcBorders>
              <w:top w:val="single" w:sz="8" w:color="0F7C7F"/>
            </w:tcBorders>
          </w:tcPr>
          <w:p>
            <w:pPr>
              <w:spacing w:after="0"/>
              <w:rPr>
                <w:sz w:val="9"/>
                <w:szCs w:val="9"/>
                <w:color w:val="auto"/>
              </w:rPr>
            </w:pPr>
          </w:p>
        </w:tc>
        <w:tc>
          <w:tcPr>
            <w:tcW w:w="100" w:type="dxa"/>
            <w:vAlign w:val="bottom"/>
            <w:tcBorders>
              <w:top w:val="single" w:sz="8" w:color="0F7C7F"/>
            </w:tcBorders>
          </w:tcPr>
          <w:p>
            <w:pPr>
              <w:spacing w:after="0"/>
              <w:rPr>
                <w:sz w:val="9"/>
                <w:szCs w:val="9"/>
                <w:color w:val="auto"/>
              </w:rPr>
            </w:pPr>
          </w:p>
        </w:tc>
        <w:tc>
          <w:tcPr>
            <w:tcW w:w="200" w:type="dxa"/>
            <w:vAlign w:val="bottom"/>
            <w:tcBorders>
              <w:top w:val="single" w:sz="8" w:color="0F7C7F"/>
            </w:tcBorders>
          </w:tcPr>
          <w:p>
            <w:pPr>
              <w:spacing w:after="0"/>
              <w:rPr>
                <w:sz w:val="9"/>
                <w:szCs w:val="9"/>
                <w:color w:val="auto"/>
              </w:rPr>
            </w:pPr>
          </w:p>
        </w:tc>
        <w:tc>
          <w:tcPr>
            <w:tcW w:w="1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18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20" w:type="dxa"/>
            <w:vAlign w:val="bottom"/>
            <w:tcBorders>
              <w:top w:val="single" w:sz="8" w:color="0F7C7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F7C7F"/>
            </w:tcBorders>
            <w:gridSpan w:val="20"/>
          </w:tcPr>
          <w:p>
            <w:pPr>
              <w:spacing w:after="0"/>
              <w:rPr>
                <w:rFonts w:ascii="Arial" w:cs="Arial" w:eastAsia="Arial" w:hAnsi="Arial"/>
                <w:sz w:val="13"/>
                <w:szCs w:val="13"/>
                <w:color w:val="0F7C7F"/>
                <w:w w:val="97"/>
              </w:rPr>
            </w:pPr>
            <w:hyperlink r:id="rId156">
              <w:r>
                <w:rPr>
                  <w:rFonts w:ascii="Arial" w:cs="Arial" w:eastAsia="Arial" w:hAnsi="Arial"/>
                  <w:sz w:val="13"/>
                  <w:szCs w:val="13"/>
                  <w:color w:val="0F7C7F"/>
                  <w:w w:val="97"/>
                </w:rPr>
                <w:t>Employment Agreement with Jeff Barlow dated June 14, 2013</w:t>
              </w:r>
            </w:hyperlink>
          </w:p>
        </w:tc>
        <w:tc>
          <w:tcPr>
            <w:tcW w:w="2100" w:type="dxa"/>
            <w:vAlign w:val="bottom"/>
            <w:gridSpan w:val="19"/>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bottom w:val="single" w:sz="8" w:color="0F7C7F"/>
            </w:tcBorders>
            <w:gridSpan w:val="21"/>
          </w:tcPr>
          <w:p>
            <w:pPr>
              <w:spacing w:after="0"/>
              <w:rPr>
                <w:rFonts w:ascii="Arial" w:cs="Arial" w:eastAsia="Arial" w:hAnsi="Arial"/>
                <w:sz w:val="13"/>
                <w:szCs w:val="13"/>
                <w:color w:val="0F7C7F"/>
                <w:w w:val="97"/>
              </w:rPr>
            </w:pPr>
            <w:hyperlink r:id="rId157">
              <w:r>
                <w:rPr>
                  <w:rFonts w:ascii="Arial" w:cs="Arial" w:eastAsia="Arial" w:hAnsi="Arial"/>
                  <w:sz w:val="13"/>
                  <w:szCs w:val="13"/>
                  <w:color w:val="0F7C7F"/>
                  <w:w w:val="97"/>
                </w:rPr>
                <w:t>Change in Control Agreement with Jeff D. Barlow, dated as of September 18, 2012</w:t>
              </w:r>
            </w:hyperlink>
          </w:p>
        </w:tc>
        <w:tc>
          <w:tcPr>
            <w:tcW w:w="940" w:type="dxa"/>
            <w:vAlign w:val="bottom"/>
            <w:gridSpan w:val="18"/>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58">
              <w:r>
                <w:rPr>
                  <w:rFonts w:ascii="Arial" w:cs="Arial" w:eastAsia="Arial" w:hAnsi="Arial"/>
                  <w:sz w:val="13"/>
                  <w:szCs w:val="13"/>
                  <w:color w:val="0F7C7F"/>
                </w:rPr>
                <w:t>Amended and Restated Employment Agreement, dated September 8, 2021, by and between</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F7C7F"/>
              <w:bottom w:val="single" w:sz="8" w:color="0F7C7F"/>
            </w:tcBorders>
            <w:gridSpan w:val="15"/>
          </w:tcPr>
          <w:p>
            <w:pPr>
              <w:spacing w:after="0" w:line="107" w:lineRule="exact"/>
              <w:rPr>
                <w:rFonts w:ascii="Arial" w:cs="Arial" w:eastAsia="Arial" w:hAnsi="Arial"/>
                <w:sz w:val="12"/>
                <w:szCs w:val="12"/>
                <w:color w:val="0F7C7F"/>
              </w:rPr>
            </w:pPr>
            <w:hyperlink r:id="rId158">
              <w:r>
                <w:rPr>
                  <w:rFonts w:ascii="Arial" w:cs="Arial" w:eastAsia="Arial" w:hAnsi="Arial"/>
                  <w:sz w:val="12"/>
                  <w:szCs w:val="12"/>
                  <w:color w:val="0F7C7F"/>
                </w:rPr>
                <w:t>Molina Healthcare, Inc. and Joseph M. Zubretsky</w:t>
              </w:r>
            </w:hyperlink>
          </w:p>
        </w:tc>
        <w:tc>
          <w:tcPr>
            <w:tcW w:w="2440" w:type="dxa"/>
            <w:vAlign w:val="bottom"/>
            <w:tcBorders>
              <w:top w:val="single" w:sz="8" w:color="0F7C7F"/>
            </w:tcBorders>
            <w:gridSpan w:val="15"/>
          </w:tcPr>
          <w:p>
            <w:pPr>
              <w:spacing w:after="0"/>
              <w:rPr>
                <w:sz w:val="9"/>
                <w:szCs w:val="9"/>
                <w:color w:val="auto"/>
              </w:rPr>
            </w:pPr>
          </w:p>
        </w:tc>
        <w:tc>
          <w:tcPr>
            <w:tcW w:w="2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59">
              <w:r>
                <w:rPr>
                  <w:rFonts w:ascii="Arial" w:cs="Arial" w:eastAsia="Arial" w:hAnsi="Arial"/>
                  <w:sz w:val="13"/>
                  <w:szCs w:val="13"/>
                  <w:color w:val="0F7C7F"/>
                </w:rPr>
                <w:t>Amendment of Employment Agreement, dated February 16, 2022, by and between Molina</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F7C7F"/>
              <w:bottom w:val="single" w:sz="8" w:color="0F7C7F"/>
            </w:tcBorders>
            <w:gridSpan w:val="12"/>
          </w:tcPr>
          <w:p>
            <w:pPr>
              <w:spacing w:after="0" w:line="107" w:lineRule="exact"/>
              <w:rPr>
                <w:rFonts w:ascii="Arial" w:cs="Arial" w:eastAsia="Arial" w:hAnsi="Arial"/>
                <w:sz w:val="12"/>
                <w:szCs w:val="12"/>
                <w:color w:val="0F7C7F"/>
              </w:rPr>
            </w:pPr>
            <w:hyperlink r:id="rId159">
              <w:r>
                <w:rPr>
                  <w:rFonts w:ascii="Arial" w:cs="Arial" w:eastAsia="Arial" w:hAnsi="Arial"/>
                  <w:sz w:val="12"/>
                  <w:szCs w:val="12"/>
                  <w:color w:val="0F7C7F"/>
                </w:rPr>
                <w:t>Healthcare, Inc. and Joseph M. Zubretsky</w:t>
              </w:r>
            </w:hyperlink>
          </w:p>
        </w:tc>
        <w:tc>
          <w:tcPr>
            <w:tcW w:w="2720" w:type="dxa"/>
            <w:vAlign w:val="bottom"/>
            <w:tcBorders>
              <w:top w:val="single" w:sz="8" w:color="0F7C7F"/>
            </w:tcBorders>
            <w:gridSpan w:val="1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4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60">
              <w:r>
                <w:rPr>
                  <w:rFonts w:ascii="Arial" w:cs="Arial" w:eastAsia="Arial" w:hAnsi="Arial"/>
                  <w:sz w:val="13"/>
                  <w:szCs w:val="13"/>
                  <w:color w:val="0F7C7F"/>
                </w:rPr>
                <w:t>Amendment of Employment Agreement, dated August 19, 2024, by and between Molina</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F7C7F"/>
              <w:bottom w:val="single" w:sz="8" w:color="0F7C7F"/>
            </w:tcBorders>
            <w:gridSpan w:val="12"/>
          </w:tcPr>
          <w:p>
            <w:pPr>
              <w:spacing w:after="0" w:line="107" w:lineRule="exact"/>
              <w:rPr>
                <w:rFonts w:ascii="Arial" w:cs="Arial" w:eastAsia="Arial" w:hAnsi="Arial"/>
                <w:sz w:val="12"/>
                <w:szCs w:val="12"/>
                <w:color w:val="0F7C7F"/>
              </w:rPr>
            </w:pPr>
            <w:hyperlink r:id="rId160">
              <w:r>
                <w:rPr>
                  <w:rFonts w:ascii="Arial" w:cs="Arial" w:eastAsia="Arial" w:hAnsi="Arial"/>
                  <w:sz w:val="12"/>
                  <w:szCs w:val="12"/>
                  <w:color w:val="0F7C7F"/>
                </w:rPr>
                <w:t>Healthcare, Inc. and Joseph M. Zubretsky</w:t>
              </w:r>
            </w:hyperlink>
          </w:p>
        </w:tc>
        <w:tc>
          <w:tcPr>
            <w:tcW w:w="2600" w:type="dxa"/>
            <w:vAlign w:val="bottom"/>
            <w:tcBorders>
              <w:top w:val="single" w:sz="8" w:color="0F7C7F"/>
            </w:tcBorders>
            <w:gridSpan w:val="11"/>
          </w:tcPr>
          <w:p>
            <w:pPr>
              <w:spacing w:after="0"/>
              <w:rPr>
                <w:sz w:val="9"/>
                <w:szCs w:val="9"/>
                <w:color w:val="auto"/>
              </w:rPr>
            </w:pPr>
          </w:p>
        </w:tc>
        <w:tc>
          <w:tcPr>
            <w:tcW w:w="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4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61">
              <w:r>
                <w:rPr>
                  <w:rFonts w:ascii="Arial" w:cs="Arial" w:eastAsia="Arial" w:hAnsi="Arial"/>
                  <w:sz w:val="13"/>
                  <w:szCs w:val="13"/>
                  <w:color w:val="0F7C7F"/>
                </w:rPr>
                <w:t>Performance Stock Unit Award Agreement, dated August 19, 2024, by and between Molina</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F7C7F"/>
              <w:bottom w:val="single" w:sz="8" w:color="0F7C7F"/>
            </w:tcBorders>
            <w:gridSpan w:val="12"/>
          </w:tcPr>
          <w:p>
            <w:pPr>
              <w:spacing w:after="0" w:line="107" w:lineRule="exact"/>
              <w:rPr>
                <w:rFonts w:ascii="Arial" w:cs="Arial" w:eastAsia="Arial" w:hAnsi="Arial"/>
                <w:sz w:val="12"/>
                <w:szCs w:val="12"/>
                <w:color w:val="0F7C7F"/>
              </w:rPr>
            </w:pPr>
            <w:hyperlink r:id="rId161">
              <w:r>
                <w:rPr>
                  <w:rFonts w:ascii="Arial" w:cs="Arial" w:eastAsia="Arial" w:hAnsi="Arial"/>
                  <w:sz w:val="12"/>
                  <w:szCs w:val="12"/>
                  <w:color w:val="0F7C7F"/>
                </w:rPr>
                <w:t>Healthcare, Inc. and Joseph M. Zubretsky</w:t>
              </w:r>
            </w:hyperlink>
          </w:p>
        </w:tc>
        <w:tc>
          <w:tcPr>
            <w:tcW w:w="2780" w:type="dxa"/>
            <w:vAlign w:val="bottom"/>
            <w:tcBorders>
              <w:top w:val="single" w:sz="8" w:color="0F7C7F"/>
            </w:tcBorders>
            <w:gridSpan w:val="14"/>
          </w:tcPr>
          <w:p>
            <w:pPr>
              <w:spacing w:after="0"/>
              <w:rPr>
                <w:sz w:val="9"/>
                <w:szCs w:val="9"/>
                <w:color w:val="auto"/>
              </w:rPr>
            </w:pPr>
          </w:p>
        </w:tc>
        <w:tc>
          <w:tcPr>
            <w:tcW w:w="40" w:type="dxa"/>
            <w:vAlign w:val="bottom"/>
            <w:gridSpan w:val="2"/>
          </w:tcPr>
          <w:p>
            <w:pPr>
              <w:spacing w:after="0"/>
              <w:rPr>
                <w:sz w:val="9"/>
                <w:szCs w:val="9"/>
                <w:color w:val="auto"/>
              </w:rPr>
            </w:pPr>
          </w:p>
        </w:tc>
        <w:tc>
          <w:tcPr>
            <w:tcW w:w="24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62">
              <w:r>
                <w:rPr>
                  <w:rFonts w:ascii="Arial" w:cs="Arial" w:eastAsia="Arial" w:hAnsi="Arial"/>
                  <w:sz w:val="13"/>
                  <w:szCs w:val="13"/>
                  <w:color w:val="0F7C7F"/>
                </w:rPr>
                <w:t>Performance Stock Unit Award Agreement, dated October 16, 2024, by and between Molina</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180" w:type="dxa"/>
            <w:vAlign w:val="bottom"/>
            <w:tcBorders>
              <w:top w:val="single" w:sz="8" w:color="0F7C7F"/>
            </w:tcBorders>
            <w:gridSpan w:val="28"/>
          </w:tcPr>
          <w:p>
            <w:pPr>
              <w:spacing w:after="0" w:line="107" w:lineRule="exact"/>
              <w:rPr>
                <w:rFonts w:ascii="Arial" w:cs="Arial" w:eastAsia="Arial" w:hAnsi="Arial"/>
                <w:sz w:val="12"/>
                <w:szCs w:val="12"/>
                <w:color w:val="0F7C7F"/>
              </w:rPr>
            </w:pPr>
            <w:hyperlink r:id="rId162">
              <w:r>
                <w:rPr>
                  <w:rFonts w:ascii="Arial" w:cs="Arial" w:eastAsia="Arial" w:hAnsi="Arial"/>
                  <w:sz w:val="12"/>
                  <w:szCs w:val="12"/>
                  <w:color w:val="0F7C7F"/>
                </w:rPr>
                <w:t>Healthcare, Inc. and Mark L. Keim</w:t>
              </w:r>
            </w:hyperlink>
          </w:p>
        </w:tc>
        <w:tc>
          <w:tcPr>
            <w:tcW w:w="24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F7C7F"/>
          </w:tcPr>
          <w:p>
            <w:pPr>
              <w:spacing w:after="0" w:line="20" w:lineRule="exact"/>
              <w:rPr>
                <w:sz w:val="1"/>
                <w:szCs w:val="1"/>
                <w:color w:val="auto"/>
              </w:rPr>
            </w:pPr>
          </w:p>
        </w:tc>
        <w:tc>
          <w:tcPr>
            <w:tcW w:w="660" w:type="dxa"/>
            <w:vAlign w:val="bottom"/>
            <w:gridSpan w:val="2"/>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700" w:type="dxa"/>
            <w:vAlign w:val="bottom"/>
            <w:gridSpan w:val="4"/>
            <w:shd w:val="clear" w:color="auto" w:fill="0F7C7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w w:val="99"/>
              </w:rPr>
            </w:pPr>
            <w:hyperlink r:id="rId163">
              <w:r>
                <w:rPr>
                  <w:rFonts w:ascii="Arial" w:cs="Arial" w:eastAsia="Arial" w:hAnsi="Arial"/>
                  <w:sz w:val="13"/>
                  <w:szCs w:val="13"/>
                  <w:color w:val="0F7C7F"/>
                  <w:w w:val="99"/>
                </w:rPr>
                <w:t>Master Services Agreement for Information Technology Services, dated February 4, 2019, by and</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tcBorders>
              <w:top w:val="single" w:sz="8" w:color="0F7C7F"/>
              <w:bottom w:val="single" w:sz="8" w:color="0F7C7F"/>
            </w:tcBorders>
            <w:gridSpan w:val="18"/>
          </w:tcPr>
          <w:p>
            <w:pPr>
              <w:spacing w:after="0" w:line="107" w:lineRule="exact"/>
              <w:rPr>
                <w:rFonts w:ascii="Arial" w:cs="Arial" w:eastAsia="Arial" w:hAnsi="Arial"/>
                <w:sz w:val="12"/>
                <w:szCs w:val="12"/>
                <w:color w:val="0F7C7F"/>
              </w:rPr>
            </w:pPr>
            <w:hyperlink r:id="rId163">
              <w:r>
                <w:rPr>
                  <w:rFonts w:ascii="Arial" w:cs="Arial" w:eastAsia="Arial" w:hAnsi="Arial"/>
                  <w:sz w:val="12"/>
                  <w:szCs w:val="12"/>
                  <w:color w:val="0F7C7F"/>
                </w:rPr>
                <w:t>between Molina Healthcare, Inc. and Infosys Limited</w:t>
              </w:r>
            </w:hyperlink>
          </w:p>
        </w:tc>
        <w:tc>
          <w:tcPr>
            <w:tcW w:w="2520" w:type="dxa"/>
            <w:vAlign w:val="bottom"/>
            <w:tcBorders>
              <w:top w:val="single" w:sz="8" w:color="0F7C7F"/>
            </w:tcBorders>
            <w:gridSpan w:val="16"/>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64">
              <w:r>
                <w:rPr>
                  <w:rFonts w:ascii="Arial" w:cs="Arial" w:eastAsia="Arial" w:hAnsi="Arial"/>
                  <w:sz w:val="13"/>
                  <w:szCs w:val="13"/>
                  <w:color w:val="0F7C7F"/>
                </w:rPr>
                <w:t>First Amendment, dated August 1, 2019, to the Master Services Agreement for Information</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100" w:type="dxa"/>
            <w:vAlign w:val="bottom"/>
            <w:tcBorders>
              <w:top w:val="single" w:sz="8" w:color="0F7C7F"/>
            </w:tcBorders>
            <w:gridSpan w:val="25"/>
          </w:tcPr>
          <w:p>
            <w:pPr>
              <w:spacing w:after="0" w:line="107" w:lineRule="exact"/>
              <w:rPr>
                <w:rFonts w:ascii="Arial" w:cs="Arial" w:eastAsia="Arial" w:hAnsi="Arial"/>
                <w:sz w:val="12"/>
                <w:szCs w:val="12"/>
                <w:color w:val="0F7C7F"/>
              </w:rPr>
            </w:pPr>
            <w:hyperlink r:id="rId164">
              <w:r>
                <w:rPr>
                  <w:rFonts w:ascii="Arial" w:cs="Arial" w:eastAsia="Arial" w:hAnsi="Arial"/>
                  <w:sz w:val="12"/>
                  <w:szCs w:val="12"/>
                  <w:color w:val="0F7C7F"/>
                </w:rPr>
                <w:t>Technology Services, dated February 4, 2019, by and between Molina Healthcare, Inc. and</w:t>
              </w:r>
            </w:hyperlink>
          </w:p>
        </w:tc>
        <w:tc>
          <w:tcPr>
            <w:tcW w:w="500" w:type="dxa"/>
            <w:vAlign w:val="bottom"/>
            <w:gridSpan w:val="14"/>
          </w:tcPr>
          <w:p>
            <w:pPr>
              <w:ind w:left="60"/>
              <w:spacing w:after="0" w:line="107" w:lineRule="exact"/>
              <w:rPr>
                <w:rFonts w:ascii="Arial" w:cs="Arial" w:eastAsia="Arial" w:hAnsi="Arial"/>
                <w:sz w:val="12"/>
                <w:szCs w:val="12"/>
                <w:color w:val="0F7C7F"/>
              </w:rPr>
            </w:pPr>
            <w:hyperlink r:id="rId164">
              <w:r>
                <w:rPr>
                  <w:rFonts w:ascii="Arial" w:cs="Arial" w:eastAsia="Arial" w:hAnsi="Arial"/>
                  <w:sz w:val="12"/>
                  <w:szCs w:val="12"/>
                  <w:color w:val="0F7C7F"/>
                </w:rPr>
                <w:t>Infosys</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top w:val="single" w:sz="8" w:color="0F7C7F"/>
              <w:bottom w:val="single" w:sz="8" w:color="0F7C7F"/>
            </w:tcBorders>
            <w:gridSpan w:val="2"/>
          </w:tcPr>
          <w:p>
            <w:pPr>
              <w:spacing w:after="0" w:line="107" w:lineRule="exact"/>
              <w:rPr>
                <w:rFonts w:ascii="Arial" w:cs="Arial" w:eastAsia="Arial" w:hAnsi="Arial"/>
                <w:sz w:val="12"/>
                <w:szCs w:val="12"/>
                <w:color w:val="0F7C7F"/>
              </w:rPr>
            </w:pPr>
            <w:hyperlink r:id="rId164">
              <w:r>
                <w:rPr>
                  <w:rFonts w:ascii="Arial" w:cs="Arial" w:eastAsia="Arial" w:hAnsi="Arial"/>
                  <w:sz w:val="12"/>
                  <w:szCs w:val="12"/>
                  <w:color w:val="0F7C7F"/>
                </w:rPr>
                <w:t>Limited</w:t>
              </w:r>
            </w:hyperlink>
          </w:p>
        </w:tc>
        <w:tc>
          <w:tcPr>
            <w:tcW w:w="5160" w:type="dxa"/>
            <w:vAlign w:val="bottom"/>
            <w:tcBorders>
              <w:top w:val="single" w:sz="8" w:color="0F7C7F"/>
            </w:tcBorders>
            <w:gridSpan w:val="36"/>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rFonts w:ascii="Arial" w:cs="Arial" w:eastAsia="Arial" w:hAnsi="Arial"/>
                <w:sz w:val="13"/>
                <w:szCs w:val="13"/>
                <w:color w:val="0F7C7F"/>
              </w:rPr>
            </w:pPr>
            <w:hyperlink r:id="rId165">
              <w:r>
                <w:rPr>
                  <w:rFonts w:ascii="Arial" w:cs="Arial" w:eastAsia="Arial" w:hAnsi="Arial"/>
                  <w:sz w:val="13"/>
                  <w:szCs w:val="13"/>
                  <w:color w:val="0F7C7F"/>
                </w:rPr>
                <w:t>Change Request #7 to the Master Services Agreement dated February 2, 2019, by and between</w:t>
              </w:r>
            </w:hyperlink>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F7C7F"/>
              <w:bottom w:val="single" w:sz="8" w:color="0F7C7F"/>
            </w:tcBorders>
            <w:gridSpan w:val="13"/>
          </w:tcPr>
          <w:p>
            <w:pPr>
              <w:spacing w:after="0" w:line="107" w:lineRule="exact"/>
              <w:rPr>
                <w:rFonts w:ascii="Arial" w:cs="Arial" w:eastAsia="Arial" w:hAnsi="Arial"/>
                <w:sz w:val="12"/>
                <w:szCs w:val="12"/>
                <w:color w:val="0F7C7F"/>
              </w:rPr>
            </w:pPr>
            <w:hyperlink r:id="rId165">
              <w:r>
                <w:rPr>
                  <w:rFonts w:ascii="Arial" w:cs="Arial" w:eastAsia="Arial" w:hAnsi="Arial"/>
                  <w:sz w:val="12"/>
                  <w:szCs w:val="12"/>
                  <w:color w:val="0F7C7F"/>
                </w:rPr>
                <w:t>Molina Healthcare, Inc. and Infosys Limited</w:t>
              </w:r>
            </w:hyperlink>
          </w:p>
        </w:tc>
        <w:tc>
          <w:tcPr>
            <w:tcW w:w="2980" w:type="dxa"/>
            <w:vAlign w:val="bottom"/>
            <w:tcBorders>
              <w:top w:val="single" w:sz="8" w:color="0F7C7F"/>
            </w:tcBorders>
            <w:gridSpan w:val="19"/>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6"/>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sz w:val="20"/>
                <w:szCs w:val="20"/>
                <w:color w:val="auto"/>
              </w:rPr>
            </w:pPr>
            <w:r>
              <w:rPr>
                <w:rFonts w:ascii="Arial" w:cs="Arial" w:eastAsia="Arial" w:hAnsi="Arial"/>
                <w:sz w:val="13"/>
                <w:szCs w:val="13"/>
                <w:color w:val="0F7C7F"/>
              </w:rPr>
              <w:t>Insider Trading Policy</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F7C7F"/>
              <w:bottom w:val="single" w:sz="8" w:color="0F7C7F"/>
            </w:tcBorders>
            <w:gridSpan w:val="4"/>
          </w:tcPr>
          <w:p>
            <w:pPr>
              <w:spacing w:after="0"/>
              <w:rPr>
                <w:sz w:val="20"/>
                <w:szCs w:val="20"/>
                <w:color w:val="auto"/>
              </w:rPr>
            </w:pPr>
            <w:r>
              <w:rPr>
                <w:rFonts w:ascii="Arial" w:cs="Arial" w:eastAsia="Arial" w:hAnsi="Arial"/>
                <w:sz w:val="13"/>
                <w:szCs w:val="13"/>
                <w:color w:val="0F7C7F"/>
                <w:w w:val="97"/>
              </w:rPr>
              <w:t>List of Subsidiaries</w:t>
            </w:r>
          </w:p>
        </w:tc>
        <w:tc>
          <w:tcPr>
            <w:tcW w:w="140" w:type="dxa"/>
            <w:vAlign w:val="bottom"/>
            <w:tcBorders>
              <w:top w:val="single" w:sz="8" w:color="0F7C7F"/>
            </w:tcBorders>
          </w:tcPr>
          <w:p>
            <w:pPr>
              <w:spacing w:after="0"/>
              <w:rPr>
                <w:sz w:val="13"/>
                <w:szCs w:val="13"/>
                <w:color w:val="auto"/>
              </w:rPr>
            </w:pPr>
          </w:p>
        </w:tc>
        <w:tc>
          <w:tcPr>
            <w:tcW w:w="4380" w:type="dxa"/>
            <w:vAlign w:val="bottom"/>
            <w:gridSpan w:val="34"/>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bottom w:val="single" w:sz="8" w:color="0F7C7F"/>
            </w:tcBorders>
            <w:gridSpan w:val="19"/>
          </w:tcPr>
          <w:p>
            <w:pPr>
              <w:spacing w:after="0"/>
              <w:rPr>
                <w:sz w:val="20"/>
                <w:szCs w:val="20"/>
                <w:color w:val="auto"/>
              </w:rPr>
            </w:pPr>
            <w:r>
              <w:rPr>
                <w:rFonts w:ascii="Arial" w:cs="Arial" w:eastAsia="Arial" w:hAnsi="Arial"/>
                <w:sz w:val="13"/>
                <w:szCs w:val="13"/>
                <w:color w:val="0F7C7F"/>
                <w:w w:val="97"/>
              </w:rPr>
              <w:t>Consent of Independent Registered Public Accounting Firm</w:t>
            </w:r>
          </w:p>
        </w:tc>
        <w:tc>
          <w:tcPr>
            <w:tcW w:w="2240" w:type="dxa"/>
            <w:vAlign w:val="bottom"/>
            <w:gridSpan w:val="20"/>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bottom w:val="single" w:sz="8" w:color="0F7C7F"/>
            </w:tcBorders>
            <w:gridSpan w:val="17"/>
          </w:tcPr>
          <w:p>
            <w:pPr>
              <w:spacing w:after="0"/>
              <w:rPr>
                <w:sz w:val="20"/>
                <w:szCs w:val="20"/>
                <w:color w:val="auto"/>
              </w:rPr>
            </w:pPr>
            <w:r>
              <w:rPr>
                <w:rFonts w:ascii="Arial" w:cs="Arial" w:eastAsia="Arial" w:hAnsi="Arial"/>
                <w:sz w:val="13"/>
                <w:szCs w:val="13"/>
                <w:color w:val="0F7C7F"/>
                <w:w w:val="97"/>
              </w:rPr>
              <w:t>Section 302 Certification of Chief Executive Officer</w:t>
            </w:r>
          </w:p>
        </w:tc>
        <w:tc>
          <w:tcPr>
            <w:tcW w:w="2740" w:type="dxa"/>
            <w:vAlign w:val="bottom"/>
            <w:gridSpan w:val="22"/>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bottom w:val="single" w:sz="8" w:color="0F7C7F"/>
            </w:tcBorders>
            <w:gridSpan w:val="16"/>
          </w:tcPr>
          <w:p>
            <w:pPr>
              <w:spacing w:after="0"/>
              <w:rPr>
                <w:sz w:val="20"/>
                <w:szCs w:val="20"/>
                <w:color w:val="auto"/>
              </w:rPr>
            </w:pPr>
            <w:r>
              <w:rPr>
                <w:rFonts w:ascii="Arial" w:cs="Arial" w:eastAsia="Arial" w:hAnsi="Arial"/>
                <w:sz w:val="13"/>
                <w:szCs w:val="13"/>
                <w:color w:val="0F7C7F"/>
                <w:w w:val="97"/>
              </w:rPr>
              <w:t>Section 302 Certification of Chief Financial Officer</w:t>
            </w:r>
          </w:p>
        </w:tc>
        <w:tc>
          <w:tcPr>
            <w:tcW w:w="2760" w:type="dxa"/>
            <w:vAlign w:val="bottom"/>
            <w:gridSpan w:val="23"/>
          </w:tcPr>
          <w:p>
            <w:pPr>
              <w:spacing w:after="0"/>
              <w:rPr>
                <w:sz w:val="13"/>
                <w:szCs w:val="13"/>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39"/>
          </w:tcPr>
          <w:p>
            <w:pPr>
              <w:spacing w:after="0"/>
              <w:rPr>
                <w:sz w:val="20"/>
                <w:szCs w:val="20"/>
                <w:color w:val="auto"/>
              </w:rPr>
            </w:pPr>
            <w:r>
              <w:rPr>
                <w:rFonts w:ascii="Arial" w:cs="Arial" w:eastAsia="Arial" w:hAnsi="Arial"/>
                <w:sz w:val="13"/>
                <w:szCs w:val="13"/>
                <w:color w:val="0F7C7F"/>
              </w:rPr>
              <w:t>Certificate of Chief Executive Officer pursuant to 18 U.S.C. Section 1350, as adopted pursuant to</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F7C7F"/>
              <w:bottom w:val="single" w:sz="8" w:color="0F7C7F"/>
            </w:tcBorders>
            <w:gridSpan w:val="14"/>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800" w:type="dxa"/>
            <w:vAlign w:val="bottom"/>
            <w:tcBorders>
              <w:top w:val="single" w:sz="8" w:color="0F7C7F"/>
            </w:tcBorders>
            <w:gridSpan w:val="19"/>
          </w:tcPr>
          <w:p>
            <w:pPr>
              <w:spacing w:after="0"/>
              <w:rPr>
                <w:sz w:val="9"/>
                <w:szCs w:val="9"/>
                <w:color w:val="auto"/>
              </w:rPr>
            </w:pPr>
          </w:p>
        </w:tc>
        <w:tc>
          <w:tcPr>
            <w:tcW w:w="140" w:type="dxa"/>
            <w:vAlign w:val="bottom"/>
            <w:gridSpan w:val="6"/>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12700</wp:posOffset>
            </wp:positionV>
            <wp:extent cx="283654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11" w:lineRule="exact"/>
        <w:rPr>
          <w:sz w:val="20"/>
          <w:szCs w:val="20"/>
          <w:color w:val="auto"/>
        </w:rPr>
      </w:pPr>
    </w:p>
    <w:p>
      <w:pPr>
        <w:ind w:right="520"/>
        <w:spacing w:after="0" w:line="272" w:lineRule="auto"/>
        <w:rPr>
          <w:sz w:val="20"/>
          <w:szCs w:val="20"/>
          <w:color w:val="auto"/>
        </w:rPr>
      </w:pPr>
      <w:r>
        <w:rPr>
          <w:rFonts w:ascii="Arial" w:cs="Arial" w:eastAsia="Arial" w:hAnsi="Arial"/>
          <w:sz w:val="13"/>
          <w:szCs w:val="13"/>
          <w:color w:val="auto"/>
        </w:rPr>
        <w:t>Filed as Exhibit 10.3 to registrant’s Form 10-K filed February 13, 2024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10-Q filed July 31, 2019</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10.2 to registrant’s Form 10-Q filed July 31, 2019</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10.3 to registrant’s Form 10-Q filed July 31, 2019</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10.4 to registrant’s Form 10-Q filed July 31, 2019</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10.14 to registrant’s Form 10-K filed February 16, 2021</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10.14 to registrant’s Form 10-K filed March 14, 2007</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10.10 to registrant’s Form 10-K filed February 14, 2022</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10-Q filed October 26, 2023</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10.3 to registrant’s Form 8-K filed June 14, 2013</w:t>
      </w:r>
    </w:p>
    <w:p>
      <w:pPr>
        <w:spacing w:after="0" w:line="20" w:lineRule="exact"/>
        <w:rPr>
          <w:sz w:val="20"/>
          <w:szCs w:val="20"/>
          <w:color w:val="auto"/>
        </w:rPr>
      </w:pPr>
    </w:p>
    <w:p>
      <w:pPr>
        <w:ind w:right="460"/>
        <w:spacing w:after="0" w:line="346" w:lineRule="auto"/>
        <w:rPr>
          <w:sz w:val="20"/>
          <w:szCs w:val="20"/>
          <w:color w:val="auto"/>
        </w:rPr>
      </w:pPr>
      <w:r>
        <w:rPr>
          <w:rFonts w:ascii="Arial" w:cs="Arial" w:eastAsia="Arial" w:hAnsi="Arial"/>
          <w:sz w:val="12"/>
          <w:szCs w:val="12"/>
          <w:color w:val="auto"/>
        </w:rPr>
        <w:t>Filed as Exhibit 10.16 to registrant’s Form 10-K filed February 28, 2013 Filed as Exhibit 10.1 to registrant’s Form 8-K filed September 9, 2021</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8-K filed February 16, 2022</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8-K filed August 20, 2024</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10.2 to registrant’s Form 8-K filed August 20, 2024</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8-K filed October 17, 2024</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Filed as Exhibit 10.36 to registrant’s Form 10-K filed February 19, 2019</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10-Q filed October 30, 2019</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Filed as Exhibit 10.1 to registrant’s Form 10-Q filed October 27, 2022</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Furnished herewith</w:t>
      </w:r>
    </w:p>
    <w:p>
      <w:pPr>
        <w:spacing w:after="0" w:line="326" w:lineRule="exact"/>
        <w:rPr>
          <w:sz w:val="20"/>
          <w:szCs w:val="20"/>
          <w:color w:val="auto"/>
        </w:rPr>
      </w:pPr>
    </w:p>
    <w:p>
      <w:pPr>
        <w:sectPr>
          <w:pgSz w:w="11900" w:h="16838" w:orient="portrait"/>
          <w:cols w:equalWidth="0" w:num="2">
            <w:col w:w="6720" w:space="120"/>
            <w:col w:w="4440"/>
          </w:cols>
          <w:pgMar w:left="300" w:top="766" w:right="319" w:bottom="1440" w:gutter="0" w:footer="0" w:header="0"/>
        </w:sectPr>
      </w:pPr>
    </w:p>
    <w:p>
      <w:pPr>
        <w:spacing w:after="0" w:line="316"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Molina Healthcare, Inc. 2024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8"/>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gridSpan w:val="4"/>
          </w:tcPr>
          <w:p>
            <w:pPr>
              <w:ind w:left="2460"/>
              <w:spacing w:after="0"/>
              <w:rPr>
                <w:sz w:val="20"/>
                <w:szCs w:val="20"/>
                <w:color w:val="auto"/>
              </w:rPr>
            </w:pPr>
            <w:r>
              <w:rPr>
                <w:rFonts w:ascii="Arial" w:cs="Arial" w:eastAsia="Arial" w:hAnsi="Arial"/>
                <w:sz w:val="13"/>
                <w:szCs w:val="13"/>
                <w:color w:val="auto"/>
              </w:rPr>
              <w:t>Description</w:t>
            </w:r>
          </w:p>
        </w:tc>
        <w:tc>
          <w:tcPr>
            <w:tcW w:w="100" w:type="dxa"/>
            <w:vAlign w:val="bottom"/>
          </w:tcPr>
          <w:p>
            <w:pPr>
              <w:spacing w:after="0"/>
              <w:rPr>
                <w:sz w:val="14"/>
                <w:szCs w:val="14"/>
                <w:color w:val="auto"/>
              </w:rPr>
            </w:pPr>
          </w:p>
        </w:tc>
        <w:tc>
          <w:tcPr>
            <w:tcW w:w="4460" w:type="dxa"/>
            <w:vAlign w:val="bottom"/>
            <w:tcBorders>
              <w:bottom w:val="single" w:sz="8" w:color="auto"/>
            </w:tcBorders>
          </w:tcPr>
          <w:p>
            <w:pPr>
              <w:ind w:left="1780"/>
              <w:spacing w:after="0"/>
              <w:rPr>
                <w:sz w:val="20"/>
                <w:szCs w:val="20"/>
                <w:color w:val="auto"/>
              </w:rPr>
            </w:pPr>
            <w:r>
              <w:rPr>
                <w:rFonts w:ascii="Arial" w:cs="Arial" w:eastAsia="Arial" w:hAnsi="Arial"/>
                <w:sz w:val="13"/>
                <w:szCs w:val="13"/>
                <w:color w:val="auto"/>
              </w:rPr>
              <w:t>Method of Filing</w:t>
            </w:r>
          </w:p>
        </w:tc>
      </w:tr>
      <w:tr>
        <w:trPr>
          <w:trHeight w:val="130"/>
        </w:trPr>
        <w:tc>
          <w:tcPr>
            <w:tcW w:w="1040" w:type="dxa"/>
            <w:vAlign w:val="bottom"/>
          </w:tcPr>
          <w:p>
            <w:pPr>
              <w:ind w:left="20"/>
              <w:spacing w:after="0" w:line="130" w:lineRule="exact"/>
              <w:rPr>
                <w:sz w:val="20"/>
                <w:szCs w:val="20"/>
                <w:color w:val="auto"/>
              </w:rPr>
            </w:pPr>
            <w:r>
              <w:rPr>
                <w:rFonts w:ascii="Arial" w:cs="Arial" w:eastAsia="Arial" w:hAnsi="Arial"/>
                <w:sz w:val="13"/>
                <w:szCs w:val="13"/>
                <w:color w:val="auto"/>
              </w:rPr>
              <w:t>32.2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5"/>
          </w:tcPr>
          <w:p>
            <w:pPr>
              <w:spacing w:after="0" w:line="130" w:lineRule="exact"/>
              <w:rPr>
                <w:sz w:val="20"/>
                <w:szCs w:val="20"/>
                <w:color w:val="auto"/>
              </w:rPr>
            </w:pPr>
            <w:r>
              <w:rPr>
                <w:rFonts w:ascii="Arial" w:cs="Arial" w:eastAsia="Arial" w:hAnsi="Arial"/>
                <w:sz w:val="13"/>
                <w:szCs w:val="13"/>
                <w:color w:val="0F7C7F"/>
              </w:rPr>
              <w:t>Certificate of Chief Financial Officer pursuant to 18 U.S.C. Section 1350, as adopted pursuant to</w:t>
            </w:r>
          </w:p>
        </w:tc>
        <w:tc>
          <w:tcPr>
            <w:tcW w:w="4460" w:type="dxa"/>
            <w:vAlign w:val="bottom"/>
          </w:tcPr>
          <w:p>
            <w:pPr>
              <w:ind w:left="20"/>
              <w:spacing w:after="0" w:line="130" w:lineRule="exact"/>
              <w:rPr>
                <w:sz w:val="20"/>
                <w:szCs w:val="20"/>
                <w:color w:val="auto"/>
              </w:rPr>
            </w:pPr>
            <w:r>
              <w:rPr>
                <w:rFonts w:ascii="Arial" w:cs="Arial" w:eastAsia="Arial" w:hAnsi="Arial"/>
                <w:sz w:val="13"/>
                <w:szCs w:val="13"/>
                <w:color w:val="auto"/>
              </w:rPr>
              <w:t>Furnished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F7C7F"/>
              <w:bottom w:val="single" w:sz="8" w:color="0F7C7F"/>
            </w:tcBorders>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760" w:type="dxa"/>
            <w:vAlign w:val="bottom"/>
            <w:tcBorders>
              <w:top w:val="single" w:sz="8" w:color="0F7C7F"/>
            </w:tcBorders>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5"/>
          </w:tcPr>
          <w:p>
            <w:pPr>
              <w:spacing w:after="0"/>
              <w:rPr>
                <w:rFonts w:ascii="Arial" w:cs="Arial" w:eastAsia="Arial" w:hAnsi="Arial"/>
                <w:sz w:val="13"/>
                <w:szCs w:val="13"/>
                <w:color w:val="0F7C7F"/>
              </w:rPr>
            </w:pPr>
            <w:hyperlink r:id="rId168">
              <w:r>
                <w:rPr>
                  <w:rFonts w:ascii="Arial" w:cs="Arial" w:eastAsia="Arial" w:hAnsi="Arial"/>
                  <w:sz w:val="13"/>
                  <w:szCs w:val="13"/>
                  <w:color w:val="0F7C7F"/>
                </w:rPr>
                <w:t>Molina Healthcare, Inc. Policy for Recovery of Erroneously Awarded Compensation</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97 to registrant’s Form 10-K filed February 13, 2024</w:t>
            </w: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shd w:val="clear" w:color="auto" w:fill="0F7C7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39"/>
        </w:trPr>
        <w:tc>
          <w:tcPr>
            <w:tcW w:w="11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101.INS</w:t>
            </w:r>
          </w:p>
        </w:tc>
        <w:tc>
          <w:tcPr>
            <w:tcW w:w="20" w:type="dxa"/>
            <w:vAlign w:val="bottom"/>
          </w:tcPr>
          <w:p>
            <w:pPr>
              <w:spacing w:after="0"/>
              <w:rPr>
                <w:sz w:val="12"/>
                <w:szCs w:val="12"/>
                <w:color w:val="auto"/>
              </w:rPr>
            </w:pPr>
          </w:p>
        </w:tc>
        <w:tc>
          <w:tcPr>
            <w:tcW w:w="5680" w:type="dxa"/>
            <w:vAlign w:val="bottom"/>
            <w:gridSpan w:val="5"/>
          </w:tcPr>
          <w:p>
            <w:pPr>
              <w:spacing w:after="0" w:line="139" w:lineRule="exact"/>
              <w:rPr>
                <w:sz w:val="20"/>
                <w:szCs w:val="20"/>
                <w:color w:val="auto"/>
              </w:rPr>
            </w:pPr>
            <w:r>
              <w:rPr>
                <w:rFonts w:ascii="Arial" w:cs="Arial" w:eastAsia="Arial" w:hAnsi="Arial"/>
                <w:sz w:val="13"/>
                <w:szCs w:val="13"/>
                <w:color w:val="auto"/>
              </w:rPr>
              <w:t>Inline XBRL Taxonomy Instance Document - the instance document does not appear in the</w:t>
            </w:r>
          </w:p>
        </w:tc>
        <w:tc>
          <w:tcPr>
            <w:tcW w:w="4460" w:type="dxa"/>
            <w:vAlign w:val="bottom"/>
          </w:tcPr>
          <w:p>
            <w:pPr>
              <w:ind w:left="20"/>
              <w:spacing w:after="0" w:line="139" w:lineRule="exact"/>
              <w:rPr>
                <w:sz w:val="20"/>
                <w:szCs w:val="20"/>
                <w:color w:val="auto"/>
              </w:rPr>
            </w:pPr>
            <w:r>
              <w:rPr>
                <w:rFonts w:ascii="Arial" w:cs="Arial" w:eastAsia="Arial" w:hAnsi="Arial"/>
                <w:sz w:val="13"/>
                <w:szCs w:val="13"/>
                <w:color w:val="auto"/>
              </w:rPr>
              <w:t>Filed herewith</w:t>
            </w:r>
          </w:p>
        </w:tc>
      </w:tr>
      <w:tr>
        <w:trPr>
          <w:trHeight w:val="167"/>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Interactive Data File because its XBRL tags are embedded within the inline XBRL document.</w:t>
            </w:r>
          </w:p>
        </w:tc>
        <w:tc>
          <w:tcPr>
            <w:tcW w:w="4460" w:type="dxa"/>
            <w:vAlign w:val="bottom"/>
          </w:tcPr>
          <w:p>
            <w:pPr>
              <w:spacing w:after="0"/>
              <w:rPr>
                <w:sz w:val="14"/>
                <w:szCs w:val="14"/>
                <w:color w:val="auto"/>
              </w:rPr>
            </w:pP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Inline XBRL Taxonomy Extension Schema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5"/>
          </w:tcPr>
          <w:p>
            <w:pPr>
              <w:spacing w:after="0"/>
              <w:rPr>
                <w:sz w:val="20"/>
                <w:szCs w:val="20"/>
                <w:color w:val="auto"/>
              </w:rPr>
            </w:pPr>
            <w:r>
              <w:rPr>
                <w:rFonts w:ascii="Arial" w:cs="Arial" w:eastAsia="Arial" w:hAnsi="Arial"/>
                <w:sz w:val="13"/>
                <w:szCs w:val="13"/>
                <w:color w:val="auto"/>
              </w:rPr>
              <w:t>Cover Page Interactive Data file (formatted as Inline XBRL and embedded within Exhibit 101)</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bl>
    <w:p>
      <w:pPr>
        <w:spacing w:after="0" w:line="98" w:lineRule="exact"/>
        <w:rPr>
          <w:sz w:val="20"/>
          <w:szCs w:val="20"/>
          <w:color w:val="auto"/>
        </w:rPr>
      </w:pPr>
    </w:p>
    <w:p>
      <w:pPr>
        <w:ind w:left="1000" w:hanging="970"/>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20" w:lineRule="exact"/>
        <w:rPr>
          <w:sz w:val="20"/>
          <w:szCs w:val="20"/>
          <w:color w:val="auto"/>
        </w:rPr>
      </w:pPr>
    </w:p>
    <w:p>
      <w:pPr>
        <w:ind w:left="1000" w:right="380" w:hanging="970"/>
        <w:spacing w:after="0" w:line="236"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Certain portions of this agreement have been omitted in accordance with Item 601(b)(10) of Regulation S-K. A copy of any omitted portion will be furnished to the Securities and Exchange Commission upon request. The location of the redacted confidential information is indicated in the exhibit as “[redacted]”.</w:t>
      </w:r>
    </w:p>
    <w:p>
      <w:pPr>
        <w:spacing w:after="0" w:line="3" w:lineRule="exact"/>
        <w:rPr>
          <w:rFonts w:ascii="Arial" w:cs="Arial" w:eastAsia="Arial" w:hAnsi="Arial"/>
          <w:sz w:val="13"/>
          <w:szCs w:val="13"/>
          <w:color w:val="auto"/>
        </w:rPr>
      </w:pPr>
    </w:p>
    <w:p>
      <w:pPr>
        <w:ind w:left="1000" w:right="500" w:hanging="970"/>
        <w:spacing w:after="0" w:line="23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3" w:lineRule="exact"/>
        <w:rPr>
          <w:sz w:val="20"/>
          <w:szCs w:val="20"/>
          <w:color w:val="auto"/>
        </w:rPr>
      </w:pPr>
    </w:p>
    <w:p>
      <w:pPr>
        <w:ind w:left="1000" w:right="580" w:hanging="970"/>
        <w:spacing w:after="0" w:line="236"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2024 Form 10-K | 98</w:t>
      </w:r>
    </w:p>
    <w:p>
      <w:pPr>
        <w:sectPr>
          <w:pgSz w:w="11900" w:h="16838" w:orient="portrait"/>
          <w:cols w:equalWidth="0" w:num="1">
            <w:col w:w="11280"/>
          </w:cols>
          <w:pgMar w:left="300" w:top="765" w:right="319" w:bottom="1440"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EXHIBIT 21.1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660" w:type="dxa"/>
            <w:vAlign w:val="bottom"/>
            <w:gridSpan w:val="2"/>
          </w:tcPr>
          <w:p>
            <w:pPr>
              <w:ind w:left="600"/>
              <w:spacing w:after="0"/>
              <w:rPr>
                <w:sz w:val="20"/>
                <w:szCs w:val="20"/>
                <w:color w:val="auto"/>
              </w:rPr>
            </w:pPr>
            <w:r>
              <w:rPr>
                <w:rFonts w:ascii="Arial" w:cs="Arial" w:eastAsia="Arial" w:hAnsi="Arial"/>
                <w:sz w:val="14"/>
                <w:szCs w:val="14"/>
                <w:color w:val="auto"/>
              </w:rPr>
              <w:t>LIST OF SUBSIDIARIES</w:t>
            </w:r>
          </w:p>
        </w:tc>
      </w:tr>
      <w:tr>
        <w:trPr>
          <w:trHeight w:val="168"/>
        </w:trPr>
        <w:tc>
          <w:tcPr>
            <w:tcW w:w="4240" w:type="dxa"/>
            <w:vAlign w:val="bottom"/>
            <w:gridSpan w:val="2"/>
          </w:tcPr>
          <w:p>
            <w:pPr>
              <w:spacing w:after="0"/>
              <w:rPr>
                <w:sz w:val="20"/>
                <w:szCs w:val="20"/>
                <w:color w:val="auto"/>
              </w:rPr>
            </w:pPr>
            <w:r>
              <w:rPr>
                <w:rFonts w:ascii="Arial" w:cs="Arial" w:eastAsia="Arial" w:hAnsi="Arial"/>
                <w:sz w:val="14"/>
                <w:szCs w:val="14"/>
                <w:color w:val="auto"/>
              </w:rPr>
              <w:t>Name</w:t>
            </w:r>
          </w:p>
        </w:tc>
        <w:tc>
          <w:tcPr>
            <w:tcW w:w="39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4"/>
                <w:szCs w:val="14"/>
                <w:color w:val="auto"/>
                <w:w w:val="99"/>
              </w:rPr>
              <w:t>Jurisdiction of Incorporation</w:t>
            </w:r>
          </w:p>
        </w:tc>
      </w:tr>
      <w:tr>
        <w:trPr>
          <w:trHeight w:val="20"/>
        </w:trPr>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188"/>
        </w:trPr>
        <w:tc>
          <w:tcPr>
            <w:tcW w:w="4240" w:type="dxa"/>
            <w:vAlign w:val="bottom"/>
            <w:gridSpan w:val="2"/>
          </w:tcPr>
          <w:p>
            <w:pPr>
              <w:spacing w:after="0"/>
              <w:rPr>
                <w:sz w:val="20"/>
                <w:szCs w:val="20"/>
                <w:color w:val="auto"/>
              </w:rPr>
            </w:pPr>
            <w:r>
              <w:rPr>
                <w:rFonts w:ascii="Arial" w:cs="Arial" w:eastAsia="Arial" w:hAnsi="Arial"/>
                <w:sz w:val="14"/>
                <w:szCs w:val="14"/>
                <w:color w:val="auto"/>
              </w:rPr>
              <w:t>2028 West Broadway, LLC</w:t>
            </w:r>
          </w:p>
        </w:tc>
        <w:tc>
          <w:tcPr>
            <w:tcW w:w="39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Central Health Plan of California,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ConnectiCare Holding Company,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Connecticut</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ConnectiCare Capital, LLC++++++**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Connecticut</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ConnectiCare,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Connecticut</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ConnectiCare Insurance Company,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Connecticut</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ConnectiCare Benefits,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Connecticut</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MHAZ,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Arizona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Data Center, LLC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New Mexico</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Arizona,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Arizona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California</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Florida,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Florida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Georgia,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Georgia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Illinois,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Illinois</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Indiana,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Indiana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Iowa,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Iowa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Kansas,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Kansas</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Kentucky,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Kentucky</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Louisiana,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Louisiana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Michigan,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Michigan</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Mississippi,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Mississippi</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Nebraska,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Nebraska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Nevada,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Nevada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New Mexico,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New Mexico</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New York,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New York</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North Carolina,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North Carolina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Ohio,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Ohio</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Oklahoma,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Oklahoma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Pennsylvania,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Pennsylvania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Puerto Rico,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Puerto Rico/Nevada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Rhode Island Holding Company,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Rhode Island,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Rhode Island</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South Carolina,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South Carolina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Tennessee,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Tennessee</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Texas,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Texas</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Texas Insurance Company</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Texas</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Utah,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Utah</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Virginia, LLC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Virginia</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Washington,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Washington</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Healthcare of Wisconsin, Inc.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Wisconsin</w:t>
            </w:r>
          </w:p>
        </w:tc>
      </w:tr>
      <w:tr>
        <w:trPr>
          <w:trHeight w:val="180"/>
        </w:trPr>
        <w:tc>
          <w:tcPr>
            <w:tcW w:w="4240" w:type="dxa"/>
            <w:vAlign w:val="bottom"/>
            <w:gridSpan w:val="2"/>
          </w:tcPr>
          <w:p>
            <w:pPr>
              <w:spacing w:after="0"/>
              <w:rPr>
                <w:sz w:val="20"/>
                <w:szCs w:val="20"/>
                <w:color w:val="auto"/>
              </w:rPr>
            </w:pPr>
            <w:r>
              <w:rPr>
                <w:rFonts w:ascii="Arial" w:cs="Arial" w:eastAsia="Arial" w:hAnsi="Arial"/>
                <w:sz w:val="14"/>
                <w:szCs w:val="14"/>
                <w:color w:val="auto"/>
              </w:rPr>
              <w:t>Molina Clinical Services, LLC</w:t>
            </w:r>
          </w:p>
        </w:tc>
        <w:tc>
          <w:tcPr>
            <w:tcW w:w="39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Delaware</w:t>
            </w:r>
          </w:p>
        </w:tc>
      </w:tr>
      <w:tr>
        <w:trPr>
          <w:trHeight w:val="186"/>
        </w:trPr>
        <w:tc>
          <w:tcPr>
            <w:tcW w:w="4240" w:type="dxa"/>
            <w:vAlign w:val="bottom"/>
            <w:gridSpan w:val="2"/>
          </w:tcPr>
          <w:p>
            <w:pPr>
              <w:spacing w:after="0"/>
              <w:rPr>
                <w:sz w:val="20"/>
                <w:szCs w:val="20"/>
                <w:color w:val="auto"/>
              </w:rPr>
            </w:pPr>
            <w:r>
              <w:rPr>
                <w:rFonts w:ascii="Arial" w:cs="Arial" w:eastAsia="Arial" w:hAnsi="Arial"/>
                <w:sz w:val="14"/>
                <w:szCs w:val="14"/>
                <w:color w:val="auto"/>
              </w:rPr>
              <w:t>Molina Care Connections, LLC</w:t>
            </w:r>
          </w:p>
        </w:tc>
        <w:tc>
          <w:tcPr>
            <w:tcW w:w="39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Texas</w:t>
            </w:r>
          </w:p>
        </w:tc>
      </w:tr>
    </w:tbl>
    <w:p>
      <w:pPr>
        <w:sectPr>
          <w:pgSz w:w="11900" w:h="16838" w:orient="portrait"/>
          <w:cols w:equalWidth="0" w:num="1">
            <w:col w:w="11260"/>
          </w:cols>
          <w:pgMar w:left="320" w:top="316"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46"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Name</w:t>
            </w:r>
          </w:p>
        </w:tc>
        <w:tc>
          <w:tcPr>
            <w:tcW w:w="1740" w:type="dxa"/>
            <w:vAlign w:val="bottom"/>
          </w:tcPr>
          <w:p>
            <w:pPr>
              <w:spacing w:after="0"/>
              <w:rPr>
                <w:sz w:val="20"/>
                <w:szCs w:val="20"/>
                <w:color w:val="auto"/>
              </w:rPr>
            </w:pPr>
            <w:r>
              <w:rPr>
                <w:rFonts w:ascii="Arial" w:cs="Arial" w:eastAsia="Arial" w:hAnsi="Arial"/>
                <w:sz w:val="14"/>
                <w:szCs w:val="14"/>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SWH Holdings, Inc.</w:t>
            </w:r>
          </w:p>
        </w:tc>
        <w:tc>
          <w:tcPr>
            <w:tcW w:w="174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Senior Health Holdings, LLC++</w:t>
            </w:r>
          </w:p>
        </w:tc>
        <w:tc>
          <w:tcPr>
            <w:tcW w:w="174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Senior Health Holdings, Inc.+++</w:t>
            </w:r>
          </w:p>
        </w:tc>
        <w:tc>
          <w:tcPr>
            <w:tcW w:w="174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AlphaCare Holdings, Inc.++++</w:t>
            </w:r>
          </w:p>
        </w:tc>
        <w:tc>
          <w:tcPr>
            <w:tcW w:w="1740" w:type="dxa"/>
            <w:vAlign w:val="bottom"/>
          </w:tcPr>
          <w:p>
            <w:pPr>
              <w:spacing w:after="0"/>
              <w:rPr>
                <w:sz w:val="20"/>
                <w:szCs w:val="20"/>
                <w:color w:val="auto"/>
              </w:rPr>
            </w:pPr>
            <w:r>
              <w:rPr>
                <w:rFonts w:ascii="Arial" w:cs="Arial" w:eastAsia="Arial" w:hAnsi="Arial"/>
                <w:sz w:val="14"/>
                <w:szCs w:val="14"/>
                <w:color w:val="auto"/>
              </w:rPr>
              <w:t>Delaware</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Senior Whole Health of New York, Inc.+++++</w:t>
            </w:r>
          </w:p>
        </w:tc>
        <w:tc>
          <w:tcPr>
            <w:tcW w:w="1740" w:type="dxa"/>
            <w:vAlign w:val="bottom"/>
          </w:tcPr>
          <w:p>
            <w:pPr>
              <w:spacing w:after="0"/>
              <w:rPr>
                <w:sz w:val="20"/>
                <w:szCs w:val="20"/>
                <w:color w:val="auto"/>
              </w:rPr>
            </w:pPr>
            <w:r>
              <w:rPr>
                <w:rFonts w:ascii="Arial" w:cs="Arial" w:eastAsia="Arial" w:hAnsi="Arial"/>
                <w:sz w:val="14"/>
                <w:szCs w:val="14"/>
                <w:color w:val="auto"/>
              </w:rPr>
              <w:t>New York</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Senior Whole Health, LLC++++</w:t>
            </w:r>
          </w:p>
        </w:tc>
        <w:tc>
          <w:tcPr>
            <w:tcW w:w="174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0"/>
        </w:trPr>
        <w:tc>
          <w:tcPr>
            <w:tcW w:w="20" w:type="dxa"/>
            <w:vAlign w:val="bottom"/>
          </w:tcPr>
          <w:p>
            <w:pPr>
              <w:spacing w:after="0"/>
              <w:rPr>
                <w:sz w:val="15"/>
                <w:szCs w:val="15"/>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The Management Group, LLC</w:t>
            </w:r>
          </w:p>
        </w:tc>
        <w:tc>
          <w:tcPr>
            <w:tcW w:w="1740" w:type="dxa"/>
            <w:vAlign w:val="bottom"/>
          </w:tcPr>
          <w:p>
            <w:pPr>
              <w:spacing w:after="0"/>
              <w:rPr>
                <w:sz w:val="20"/>
                <w:szCs w:val="20"/>
                <w:color w:val="auto"/>
              </w:rPr>
            </w:pPr>
            <w:r>
              <w:rPr>
                <w:rFonts w:ascii="Arial" w:cs="Arial" w:eastAsia="Arial" w:hAnsi="Arial"/>
                <w:sz w:val="14"/>
                <w:szCs w:val="14"/>
                <w:color w:val="auto"/>
              </w:rPr>
              <w:t>Wisconsin</w:t>
            </w:r>
          </w:p>
        </w:tc>
      </w:tr>
      <w:tr>
        <w:trPr>
          <w:trHeight w:val="186"/>
        </w:trPr>
        <w:tc>
          <w:tcPr>
            <w:tcW w:w="20" w:type="dxa"/>
            <w:vAlign w:val="bottom"/>
          </w:tcPr>
          <w:p>
            <w:pPr>
              <w:spacing w:after="0"/>
              <w:rPr>
                <w:sz w:val="16"/>
                <w:szCs w:val="16"/>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Universal Care, Inc.</w:t>
            </w:r>
          </w:p>
        </w:tc>
        <w:tc>
          <w:tcPr>
            <w:tcW w:w="1740" w:type="dxa"/>
            <w:vAlign w:val="bottom"/>
          </w:tcPr>
          <w:p>
            <w:pPr>
              <w:spacing w:after="0"/>
              <w:rPr>
                <w:sz w:val="20"/>
                <w:szCs w:val="20"/>
                <w:color w:val="auto"/>
              </w:rPr>
            </w:pPr>
            <w:r>
              <w:rPr>
                <w:rFonts w:ascii="Arial" w:cs="Arial" w:eastAsia="Arial" w:hAnsi="Arial"/>
                <w:sz w:val="14"/>
                <w:szCs w:val="14"/>
                <w:color w:val="auto"/>
              </w:rPr>
              <w:t>California</w:t>
            </w:r>
          </w:p>
        </w:tc>
      </w:tr>
      <w:tr>
        <w:trPr>
          <w:trHeight w:val="605"/>
        </w:trPr>
        <w:tc>
          <w:tcPr>
            <w:tcW w:w="7920" w:type="dxa"/>
            <w:vAlign w:val="bottom"/>
            <w:gridSpan w:val="3"/>
          </w:tcPr>
          <w:p>
            <w:pPr>
              <w:spacing w:after="0"/>
              <w:rPr>
                <w:sz w:val="20"/>
                <w:szCs w:val="20"/>
                <w:color w:val="auto"/>
              </w:rPr>
            </w:pPr>
            <w:r>
              <w:rPr>
                <w:rFonts w:ascii="Arial" w:cs="Arial" w:eastAsia="Arial" w:hAnsi="Arial"/>
                <w:sz w:val="14"/>
                <w:szCs w:val="14"/>
                <w:color w:val="auto"/>
              </w:rPr>
              <w:t>*   Non-operational entity</w:t>
            </w:r>
          </w:p>
        </w:tc>
        <w:tc>
          <w:tcPr>
            <w:tcW w:w="1740" w:type="dxa"/>
            <w:vAlign w:val="bottom"/>
          </w:tcPr>
          <w:p>
            <w:pPr>
              <w:spacing w:after="0"/>
              <w:rPr>
                <w:sz w:val="24"/>
                <w:szCs w:val="24"/>
                <w:color w:val="auto"/>
              </w:rPr>
            </w:pPr>
          </w:p>
        </w:tc>
      </w:tr>
      <w:tr>
        <w:trPr>
          <w:trHeight w:val="255"/>
        </w:trPr>
        <w:tc>
          <w:tcPr>
            <w:tcW w:w="7920" w:type="dxa"/>
            <w:vAlign w:val="bottom"/>
            <w:gridSpan w:val="3"/>
          </w:tcPr>
          <w:p>
            <w:pPr>
              <w:spacing w:after="0"/>
              <w:rPr>
                <w:sz w:val="20"/>
                <w:szCs w:val="20"/>
                <w:color w:val="auto"/>
              </w:rPr>
            </w:pPr>
            <w:r>
              <w:rPr>
                <w:rFonts w:ascii="Arial" w:cs="Arial" w:eastAsia="Arial" w:hAnsi="Arial"/>
                <w:sz w:val="14"/>
                <w:szCs w:val="14"/>
                <w:color w:val="auto"/>
              </w:rPr>
              <w:t>** Wholly owned subsidiary as of February 1, 2025</w:t>
            </w:r>
          </w:p>
        </w:tc>
        <w:tc>
          <w:tcPr>
            <w:tcW w:w="1740" w:type="dxa"/>
            <w:vAlign w:val="bottom"/>
          </w:tcPr>
          <w:p>
            <w:pPr>
              <w:spacing w:after="0"/>
              <w:rPr>
                <w:sz w:val="22"/>
                <w:szCs w:val="22"/>
                <w:color w:val="auto"/>
              </w:rPr>
            </w:pPr>
          </w:p>
        </w:tc>
      </w:tr>
    </w:tbl>
    <w:p>
      <w:pPr>
        <w:spacing w:after="0" w:line="69" w:lineRule="exact"/>
        <w:rPr>
          <w:sz w:val="20"/>
          <w:szCs w:val="20"/>
          <w:color w:val="auto"/>
        </w:rPr>
      </w:pPr>
    </w:p>
    <w:p>
      <w:pPr>
        <w:ind w:left="3" w:right="5580" w:hanging="3"/>
        <w:spacing w:after="0" w:line="379" w:lineRule="auto"/>
        <w:tabs>
          <w:tab w:leader="none" w:pos="282" w:val="left"/>
        </w:tabs>
        <w:numPr>
          <w:ilvl w:val="0"/>
          <w:numId w:val="42"/>
        </w:numPr>
        <w:rPr>
          <w:rFonts w:ascii="Arial" w:cs="Arial" w:eastAsia="Arial" w:hAnsi="Arial"/>
          <w:sz w:val="14"/>
          <w:szCs w:val="14"/>
          <w:color w:val="auto"/>
        </w:rPr>
      </w:pPr>
      <w:r>
        <w:rPr>
          <w:rFonts w:ascii="Arial" w:cs="Arial" w:eastAsia="Arial" w:hAnsi="Arial"/>
          <w:sz w:val="14"/>
          <w:szCs w:val="14"/>
          <w:color w:val="auto"/>
        </w:rPr>
        <w:t>Wholly owned subsidiary of Molina Healthcare of Rhode Island Holding Company, Inc. ++ Wholly owned subsidiary of SWH Holdings, Inc.</w:t>
      </w:r>
    </w:p>
    <w:p>
      <w:pPr>
        <w:ind w:left="3"/>
        <w:spacing w:after="0"/>
        <w:rPr>
          <w:rFonts w:ascii="Arial" w:cs="Arial" w:eastAsia="Arial" w:hAnsi="Arial"/>
          <w:sz w:val="14"/>
          <w:szCs w:val="14"/>
          <w:color w:val="auto"/>
        </w:rPr>
      </w:pPr>
      <w:r>
        <w:rPr>
          <w:rFonts w:ascii="Arial" w:cs="Arial" w:eastAsia="Arial" w:hAnsi="Arial"/>
          <w:sz w:val="14"/>
          <w:szCs w:val="14"/>
          <w:color w:val="auto"/>
        </w:rPr>
        <w:t>+++   Wholly owned subsidiary of Senior Health Holdings, LLC</w:t>
      </w:r>
    </w:p>
    <w:p>
      <w:pPr>
        <w:spacing w:after="0" w:line="93"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 Wholly owned subsidiary of Senior Health Holdings, Inc.</w:t>
      </w:r>
    </w:p>
    <w:p>
      <w:pPr>
        <w:spacing w:after="0" w:line="93"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 Wholly owned subsidiary of AlphaCare Holdings, Inc.</w:t>
      </w:r>
    </w:p>
    <w:p>
      <w:pPr>
        <w:spacing w:after="0" w:line="94" w:lineRule="exact"/>
        <w:rPr>
          <w:sz w:val="20"/>
          <w:szCs w:val="20"/>
          <w:color w:val="auto"/>
        </w:rPr>
      </w:pPr>
    </w:p>
    <w:p>
      <w:pPr>
        <w:ind w:left="3"/>
        <w:spacing w:after="0"/>
        <w:tabs>
          <w:tab w:leader="none" w:pos="663" w:val="left"/>
        </w:tabs>
        <w:rPr>
          <w:sz w:val="20"/>
          <w:szCs w:val="20"/>
          <w:color w:val="auto"/>
        </w:rPr>
      </w:pPr>
      <w:r>
        <w:rPr>
          <w:rFonts w:ascii="Arial" w:cs="Arial" w:eastAsia="Arial" w:hAnsi="Arial"/>
          <w:sz w:val="14"/>
          <w:szCs w:val="14"/>
          <w:color w:val="auto"/>
        </w:rPr>
        <w:t>++++++</w:t>
        <w:tab/>
        <w:t>Wholly owned subsidiary of ConnectiCare Holding Company, Inc.</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4"/>
          <w:szCs w:val="14"/>
          <w:color w:val="auto"/>
        </w:rPr>
        <w:t>+++++++ Wholly owned subsidiary of ConnectiCare Capital, LLC</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4"/>
          <w:szCs w:val="14"/>
          <w:color w:val="auto"/>
        </w:rPr>
        <w:t>++++++++ Wholly owned subsidiary of ConnectiCare Insurance Company, Inc.</w:t>
      </w:r>
    </w:p>
    <w:p>
      <w:pPr>
        <w:sectPr>
          <w:pgSz w:w="11900" w:h="16838" w:orient="portrait"/>
          <w:cols w:equalWidth="0" w:num="1">
            <w:col w:w="11243"/>
          </w:cols>
          <w:pgMar w:left="337" w:top="316"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74" w:lineRule="exact"/>
        <w:rPr>
          <w:sz w:val="20"/>
          <w:szCs w:val="20"/>
          <w:color w:val="auto"/>
        </w:rPr>
      </w:pPr>
    </w:p>
    <w:p>
      <w:pPr>
        <w:jc w:val="both"/>
        <w:spacing w:after="0" w:line="390" w:lineRule="auto"/>
        <w:rPr>
          <w:sz w:val="20"/>
          <w:szCs w:val="20"/>
          <w:color w:val="auto"/>
        </w:rPr>
      </w:pPr>
      <w:r>
        <w:rPr>
          <w:rFonts w:ascii="Arial" w:cs="Arial" w:eastAsia="Arial" w:hAnsi="Arial"/>
          <w:sz w:val="14"/>
          <w:szCs w:val="14"/>
          <w:color w:val="auto"/>
        </w:rPr>
        <w:t>We consent to the incorporation by reference in the Registration Statement (Form S-8 No. 333-231385) pertaining to the Molina Healthcare, Inc. 2019 Equity Incentive Plan and 2019 Employee Stock Purchase Plan of our reports dated February 11, 2025, with respect to the consolidated financial statements of Molina Healthcare, Inc., and the effectiveness of internal control over financial reporting of Molina Healthcare, Inc., included in this Annual Report (Form 10-K) for the year ended December 31, 2024.</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February 11, 2025</w:t>
      </w:r>
    </w:p>
    <w:p>
      <w:pPr>
        <w:sectPr>
          <w:pgSz w:w="11900" w:h="16838" w:orient="portrait"/>
          <w:cols w:equalWidth="0" w:num="1">
            <w:col w:w="11280"/>
          </w:cols>
          <w:pgMar w:left="300" w:top="772"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 Joseph M. Zubretsky, certify that:</w:t>
      </w:r>
    </w:p>
    <w:p>
      <w:pPr>
        <w:spacing w:after="0" w:line="94" w:lineRule="exact"/>
        <w:rPr>
          <w:sz w:val="20"/>
          <w:szCs w:val="20"/>
          <w:color w:val="auto"/>
        </w:rPr>
      </w:pPr>
    </w:p>
    <w:p>
      <w:pPr>
        <w:ind w:left="520" w:hanging="16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period ended December 31, 2024 of Molina Healthcare, Inc.;</w:t>
      </w:r>
    </w:p>
    <w:p>
      <w:pPr>
        <w:spacing w:after="0" w:line="93" w:lineRule="exact"/>
        <w:rPr>
          <w:rFonts w:ascii="Arial" w:cs="Arial" w:eastAsia="Arial" w:hAnsi="Arial"/>
          <w:sz w:val="14"/>
          <w:szCs w:val="14"/>
          <w:color w:val="auto"/>
        </w:rPr>
      </w:pPr>
    </w:p>
    <w:p>
      <w:pPr>
        <w:ind w:right="20" w:firstLine="355"/>
        <w:spacing w:after="0" w:line="290" w:lineRule="auto"/>
        <w:tabs>
          <w:tab w:leader="none" w:pos="5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right="80" w:firstLine="355"/>
        <w:spacing w:after="0" w:line="290" w:lineRule="auto"/>
        <w:tabs>
          <w:tab w:leader="none" w:pos="5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right="260" w:firstLine="355"/>
        <w:spacing w:after="0" w:line="290" w:lineRule="auto"/>
        <w:tabs>
          <w:tab w:leader="none" w:pos="5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ind w:right="80" w:firstLine="705"/>
        <w:spacing w:after="0" w:line="271" w:lineRule="auto"/>
        <w:tabs>
          <w:tab w:leader="none" w:pos="912" w:val="left"/>
        </w:tabs>
        <w:numPr>
          <w:ilvl w:val="1"/>
          <w:numId w:val="4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4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20" w:firstLine="705"/>
        <w:spacing w:after="0" w:line="290" w:lineRule="auto"/>
        <w:tabs>
          <w:tab w:leader="none" w:pos="905" w:val="left"/>
        </w:tabs>
        <w:numPr>
          <w:ilvl w:val="1"/>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4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140" w:firstLine="355"/>
        <w:spacing w:after="0" w:line="290" w:lineRule="auto"/>
        <w:tabs>
          <w:tab w:leader="none" w:pos="5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February 11,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 Mark L. Keim, certify that:</w:t>
      </w:r>
    </w:p>
    <w:p>
      <w:pPr>
        <w:spacing w:after="0" w:line="94" w:lineRule="exact"/>
        <w:rPr>
          <w:sz w:val="20"/>
          <w:szCs w:val="20"/>
          <w:color w:val="auto"/>
        </w:rPr>
      </w:pPr>
    </w:p>
    <w:p>
      <w:pPr>
        <w:ind w:left="520" w:hanging="16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 have reviewed this Annual Report on Form 10-K for the period ended December 31, 2024 of Molina Healthcare, Inc.;</w:t>
      </w:r>
    </w:p>
    <w:p>
      <w:pPr>
        <w:spacing w:after="0" w:line="93" w:lineRule="exact"/>
        <w:rPr>
          <w:rFonts w:ascii="Arial" w:cs="Arial" w:eastAsia="Arial" w:hAnsi="Arial"/>
          <w:sz w:val="14"/>
          <w:szCs w:val="14"/>
          <w:color w:val="auto"/>
        </w:rPr>
      </w:pPr>
    </w:p>
    <w:p>
      <w:pPr>
        <w:ind w:right="20" w:firstLine="355"/>
        <w:spacing w:after="0" w:line="290" w:lineRule="auto"/>
        <w:tabs>
          <w:tab w:leader="none" w:pos="5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right="80" w:firstLine="355"/>
        <w:spacing w:after="0" w:line="290" w:lineRule="auto"/>
        <w:tabs>
          <w:tab w:leader="none" w:pos="5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right="260" w:firstLine="355"/>
        <w:spacing w:after="0" w:line="290" w:lineRule="auto"/>
        <w:tabs>
          <w:tab w:leader="none" w:pos="5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ind w:right="80" w:firstLine="705"/>
        <w:spacing w:after="0" w:line="271" w:lineRule="auto"/>
        <w:tabs>
          <w:tab w:leader="none" w:pos="912" w:val="left"/>
        </w:tabs>
        <w:numPr>
          <w:ilvl w:val="1"/>
          <w:numId w:val="4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4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20" w:firstLine="705"/>
        <w:spacing w:after="0" w:line="290" w:lineRule="auto"/>
        <w:tabs>
          <w:tab w:leader="none" w:pos="905" w:val="left"/>
        </w:tabs>
        <w:numPr>
          <w:ilvl w:val="1"/>
          <w:numId w:val="4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4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140" w:firstLine="355"/>
        <w:spacing w:after="0" w:line="290" w:lineRule="auto"/>
        <w:tabs>
          <w:tab w:leader="none" w:pos="5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4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4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4"/>
          <w:szCs w:val="14"/>
          <w:color w:val="auto"/>
        </w:rPr>
        <w:t>Dated: February 11,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481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0"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9"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29"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connection with the Annual Report of Molina Healthcare, Inc. (the “Company”) on Form 10-K for the period ended December 31, 2024 (the “Report”), I, Joseph 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920" w:hanging="215"/>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4"/>
          <w:szCs w:val="14"/>
          <w:color w:val="auto"/>
        </w:rPr>
        <w:t>Dated: February 11,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14605</wp:posOffset>
            </wp:positionV>
            <wp:extent cx="713486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9"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right="80" w:firstLine="350"/>
        <w:spacing w:after="0" w:line="290" w:lineRule="auto"/>
        <w:rPr>
          <w:sz w:val="20"/>
          <w:szCs w:val="20"/>
          <w:color w:val="auto"/>
        </w:rPr>
      </w:pPr>
      <w:r>
        <w:rPr>
          <w:rFonts w:ascii="Arial" w:cs="Arial" w:eastAsia="Arial" w:hAnsi="Arial"/>
          <w:sz w:val="14"/>
          <w:szCs w:val="14"/>
          <w:color w:val="auto"/>
        </w:rPr>
        <w:t>In connection with the Annual Report of Molina Healthcare, Inc. (the “Company”) on Form 10-K for the period ended December 31, 2024 (the “Report”), I, Mark L. Keim, Chief Financial Officer of the Company, certify, pursuant to 18 U.S.C. Section 1350, as adopted pursuant to Section 906 of the Sarbanes-Oxley Act of 2002, that:</w:t>
      </w:r>
    </w:p>
    <w:p>
      <w:pPr>
        <w:spacing w:after="0" w:line="35" w:lineRule="exact"/>
        <w:rPr>
          <w:sz w:val="20"/>
          <w:szCs w:val="20"/>
          <w:color w:val="auto"/>
        </w:rPr>
      </w:pPr>
    </w:p>
    <w:p>
      <w:pPr>
        <w:ind w:left="920" w:hanging="215"/>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February 11,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lvl w:ilvl="1">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6"/>
    </w:lvl>
  </w:abstractNum>
  <w:abstractNum w:abstractNumId="30">
    <w:nsid w:val="2463B9EA"/>
    <w:multiLevelType w:val="hybridMultilevel"/>
    <w:lvl w:ilvl="0">
      <w:lvlJc w:val="left"/>
      <w:lvlText w:val="%1."/>
      <w:numFmt w:val="decimal"/>
      <w:start w:val="9"/>
    </w:lvl>
  </w:abstractNum>
  <w:abstractNum w:abstractNumId="31">
    <w:nsid w:val="5E884ADC"/>
    <w:multiLevelType w:val="hybridMultilevel"/>
    <w:lvl w:ilvl="0">
      <w:lvlJc w:val="left"/>
      <w:lvlText w:val="%1."/>
      <w:numFmt w:val="decimal"/>
      <w:start w:val="13"/>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6"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135" Type="http://schemas.openxmlformats.org/officeDocument/2006/relationships/hyperlink" Target="https://www.sec.gov/Archives/edgar/data/1179929/000089843002004683/dex32.txt" TargetMode="External"/><Relationship Id="rId136" Type="http://schemas.openxmlformats.org/officeDocument/2006/relationships/hyperlink" Target="https://www.sec.gov/Archives/edgar/data/1179929/000117992924000033/ex32_certificateofamendm.htm" TargetMode="External"/><Relationship Id="rId137" Type="http://schemas.openxmlformats.org/officeDocument/2006/relationships/hyperlink" Target="https://www.sec.gov/Archives/edgar/data/1179929/000117992924000033/ex33_certificateofamendm.htm" TargetMode="External"/><Relationship Id="rId138" Type="http://schemas.openxmlformats.org/officeDocument/2006/relationships/hyperlink" Target="https://www.sec.gov/Archives/edgar/data/1179929/000117992923000142/molinahealthcare-amended.htm" TargetMode="External"/><Relationship Id="rId139" Type="http://schemas.openxmlformats.org/officeDocument/2006/relationships/hyperlink" Target="https://www.sec.gov/Archives/edgar/data/1179929/000115752320000848/a52229102ex4_1.htm" TargetMode="External"/><Relationship Id="rId140" Type="http://schemas.openxmlformats.org/officeDocument/2006/relationships/hyperlink" Target="https://www.sec.gov/Archives/edgar/data/1179929/000115752320001511/a52328971ex4_1.htm" TargetMode="External"/><Relationship Id="rId141" Type="http://schemas.openxmlformats.org/officeDocument/2006/relationships/hyperlink" Target="https://www.sec.gov/Archives/edgar/data/0001179929/000117992921000178/molina-indenturexfinal.htm" TargetMode="External"/><Relationship Id="rId142" Type="http://schemas.openxmlformats.org/officeDocument/2006/relationships/hyperlink" Target="https://www.sec.gov/Archives/edgar/data/1179929/000143774924035619/ex_749135.htm" TargetMode="External"/><Relationship Id="rId143" Type="http://schemas.openxmlformats.org/officeDocument/2006/relationships/hyperlink" Target="https://www.sec.gov/Archives/edgar/data/1179929/000115752320000874/a52231626ex10_1.htm" TargetMode="External"/><Relationship Id="rId144" Type="http://schemas.openxmlformats.org/officeDocument/2006/relationships/hyperlink" Target="https://www.sec.gov/Archives/edgar/data/1179929/000117992923000069/exhibit101_firstamendmen.htm" TargetMode="External"/><Relationship Id="rId145" Type="http://schemas.openxmlformats.org/officeDocument/2006/relationships/hyperlink" Target="https://www.sec.gov/ix?doc=/Archives/edgar/data/1179929/000143774924029806/moh20240922_8k.htm" TargetMode="External"/><Relationship Id="rId147" Type="http://schemas.openxmlformats.org/officeDocument/2006/relationships/hyperlink" Target="https://www.sec.gov/Archives/edgar/data/1179929/000117992924000033/ex103_2019employeestockp.htm" TargetMode="External"/><Relationship Id="rId148" Type="http://schemas.openxmlformats.org/officeDocument/2006/relationships/hyperlink" Target="https://www.sec.gov/Archives/edgar/data/1179929/000117992919000134/ex101_2019-rsa.htm" TargetMode="External"/><Relationship Id="rId149" Type="http://schemas.openxmlformats.org/officeDocument/2006/relationships/hyperlink" Target="https://www.sec.gov/Archives/edgar/data/1179929/000117992919000134/a2019equityincentiveplan.htm" TargetMode="External"/><Relationship Id="rId150" Type="http://schemas.openxmlformats.org/officeDocument/2006/relationships/hyperlink" Target="https://www.sec.gov/Archives/edgar/data/1179929/000117992919000134/ex103_2019eip-rsa.htm" TargetMode="External"/><Relationship Id="rId151" Type="http://schemas.openxmlformats.org/officeDocument/2006/relationships/hyperlink" Target="https://www.sec.gov/Archives/edgar/data/1179929/000117992919000134/ex104_2019eip-psu.htm" TargetMode="External"/><Relationship Id="rId152" Type="http://schemas.openxmlformats.org/officeDocument/2006/relationships/hyperlink" Target="https://www.sec.gov/Archives/edgar/data/0001179929/000117992921000024/a2ndamendedchangeincontrol.htm" TargetMode="External"/><Relationship Id="rId153" Type="http://schemas.openxmlformats.org/officeDocument/2006/relationships/hyperlink" Target="https://www.sec.gov/Archives/edgar/data/1179929/000119312507054663/dex1014.htm" TargetMode="External"/><Relationship Id="rId154" Type="http://schemas.openxmlformats.org/officeDocument/2006/relationships/hyperlink" Target="https://www.sec.gov/Archives/edgar/data/1179929/000117992922000025/moh4q21_examendedandrestat.htm" TargetMode="External"/><Relationship Id="rId155" Type="http://schemas.openxmlformats.org/officeDocument/2006/relationships/hyperlink" Target="https://www.sec.gov/Archives/edgar/data/1179929/000117992923000132/ex101_firstamendmenttomoli.htm" TargetMode="External"/><Relationship Id="rId156" Type="http://schemas.openxmlformats.org/officeDocument/2006/relationships/hyperlink" Target="https://www.sec.gov/Archives/edgar/data/1179929/000119312513259609/d554295dex103.htm" TargetMode="External"/><Relationship Id="rId157" Type="http://schemas.openxmlformats.org/officeDocument/2006/relationships/hyperlink" Target="https://www.sec.gov/Archives/edgar/data/1179929/000144530513000387/moh-12312012x10kex1016.htm" TargetMode="External"/><Relationship Id="rId158" Type="http://schemas.openxmlformats.org/officeDocument/2006/relationships/hyperlink" Target="https://www.sec.gov/Archives/edgar/data/0001179929/000115752321001130/a52488491ex10_1.htm" TargetMode="External"/><Relationship Id="rId159" Type="http://schemas.openxmlformats.org/officeDocument/2006/relationships/hyperlink" Target="https://www.sec.gov/Archives/edgar/data/1179929/000117992922000028/exhibit101_amendedemployme.htm" TargetMode="External"/><Relationship Id="rId160" Type="http://schemas.openxmlformats.org/officeDocument/2006/relationships/hyperlink" Target="https://www.sec.gov/Archives/edgar/data/1179929/000143774924027304/ex_716230.htm" TargetMode="External"/><Relationship Id="rId161" Type="http://schemas.openxmlformats.org/officeDocument/2006/relationships/hyperlink" Target="https://www.sec.gov/Archives/edgar/data/1179929/000143774924027304/ex_716231.htm" TargetMode="External"/><Relationship Id="rId162" Type="http://schemas.openxmlformats.org/officeDocument/2006/relationships/hyperlink" Target="https://www.sec.gov/Archives/edgar/data/1179929/000143774924031432/ex_733715.htm" TargetMode="External"/><Relationship Id="rId163" Type="http://schemas.openxmlformats.org/officeDocument/2006/relationships/hyperlink" Target="https://www.sec.gov/Archives/edgar/data/1179929/000117992919000032/moh-12312018xex1036.htm" TargetMode="External"/><Relationship Id="rId164" Type="http://schemas.openxmlformats.org/officeDocument/2006/relationships/hyperlink" Target="https://www.sec.gov/Archives/edgar/data/1179929/000117992919000160/moh-09302019ex101.htm" TargetMode="External"/><Relationship Id="rId165" Type="http://schemas.openxmlformats.org/officeDocument/2006/relationships/hyperlink" Target="https://www.sec.gov/Archives/edgar/data/1179929/000117992922000172/exhibit101_changexreques.htm" TargetMode="External"/><Relationship Id="rId168" Type="http://schemas.openxmlformats.org/officeDocument/2006/relationships/hyperlink" Target="https://www.sec.gov/Archives/edgar/data/1179929/000117992924000033/exhibit97_generalclawb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2025-02-11T15:25:41Z</dcterms:created>
  <dcterms:modified xsi:type="dcterms:W3CDTF">2025-02-11T15:25:41Z</dcterms:modified>
</cp:coreProperties>
</file>