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WOLF DALE B</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MOLINA HEALTHCARE,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MOH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20" w:type="dxa"/>
            <w:vAlign w:val="bottom"/>
            <w:tcBorders>
              <w:bottom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9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9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200 OCEANGATE</w:t>
            </w:r>
          </w:p>
        </w:tc>
        <w:tc>
          <w:tcPr>
            <w:tcW w:w="1640" w:type="dxa"/>
            <w:vAlign w:val="bottom"/>
          </w:tcPr>
          <w:p>
            <w:pPr>
              <w:spacing w:after="0"/>
              <w:rPr>
                <w:sz w:val="11"/>
                <w:szCs w:val="11"/>
                <w:color w:val="auto"/>
              </w:rPr>
            </w:pPr>
          </w:p>
        </w:tc>
        <w:tc>
          <w:tcPr>
            <w:tcW w:w="298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100</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34"/>
                <w:szCs w:val="34"/>
                <w:color w:val="0000FF"/>
                <w:vertAlign w:val="subscript"/>
              </w:rPr>
              <w:t>237</w:t>
            </w:r>
            <w:r>
              <w:rPr>
                <w:rFonts w:ascii="Times New Roman" w:cs="Times New Roman" w:eastAsia="Times New Roman" w:hAnsi="Times New Roman"/>
                <w:sz w:val="11"/>
                <w:szCs w:val="11"/>
                <w:color w:val="008000"/>
              </w:rPr>
              <w:t>(2)</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232.55</w:t>
            </w:r>
            <w:r>
              <w:rPr>
                <w:rFonts w:ascii="Times New Roman" w:cs="Times New Roman" w:eastAsia="Times New Roman" w:hAnsi="Times New Roman"/>
                <w:sz w:val="22"/>
                <w:szCs w:val="22"/>
                <w:color w:val="008000"/>
                <w:vertAlign w:val="superscript"/>
              </w:rPr>
              <w:t>(3)</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15,633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stock under the Issuer's 2025 Equity Incentive Plan in connection with the Reporting Person's services as a Director.</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aggregate dollar value of the annual equity award to each director was set at $220,000, with one quarter, or $55,000, to be granted on the first day of each quarter, based on the closing price of the Issuer's common stock on such day. The closing price of the Issuer's common stock on July 1, 2026 was $232.55, which resulted in a grant of 237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closing price of the Issuer's common stock on July 1, 2026.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Dale B. Wolf Revocable Trust, of which Dale B. Wolf is the sole 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Jeff D. Barlow,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for Dale B. Wolf.</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LIMITED POWER OF ATTORNEY FOR SECTION 16(a) FILINGS</w:t>
      </w:r>
    </w:p>
    <w:p>
      <w:pPr>
        <w:spacing w:after="0" w:line="246" w:lineRule="exact"/>
        <w:rPr>
          <w:sz w:val="20"/>
          <w:szCs w:val="20"/>
          <w:color w:val="auto"/>
        </w:rPr>
      </w:pPr>
    </w:p>
    <w:p>
      <w:pPr>
        <w:ind w:right="4659"/>
        <w:spacing w:after="0" w:line="284" w:lineRule="auto"/>
        <w:rPr>
          <w:sz w:val="20"/>
          <w:szCs w:val="20"/>
          <w:color w:val="auto"/>
        </w:rPr>
      </w:pPr>
      <w:r>
        <w:rPr>
          <w:rFonts w:ascii="Arial" w:cs="Arial" w:eastAsia="Arial" w:hAnsi="Arial"/>
          <w:sz w:val="17"/>
          <w:szCs w:val="17"/>
          <w:color w:val="auto"/>
        </w:rPr>
        <w:t>Know all by these presents, that the undersigned hereby constitutes and appoints Jeff D. Barlow and Codruta Boggs, and each acting singly, the undersigned's true and lawful attorney-in-fact to:</w:t>
      </w:r>
    </w:p>
    <w:p>
      <w:pPr>
        <w:spacing w:after="0" w:line="186" w:lineRule="exact"/>
        <w:rPr>
          <w:sz w:val="20"/>
          <w:szCs w:val="20"/>
          <w:color w:val="auto"/>
        </w:rPr>
      </w:pPr>
    </w:p>
    <w:p>
      <w:pPr>
        <w:ind w:right="4479" w:firstLine="7"/>
        <w:spacing w:after="0" w:line="254" w:lineRule="auto"/>
        <w:tabs>
          <w:tab w:leader="none" w:pos="207"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director and/or stockholder of Molina Healthcare, Inc. (the "Company"), Forms 3, 4, and 5 and amendments thereto in accordance with Section 16(a) of the Securities Exchange Act of 1934 and the rules thereunder; and</w:t>
      </w:r>
    </w:p>
    <w:p>
      <w:pPr>
        <w:spacing w:after="0" w:line="210" w:lineRule="exact"/>
        <w:rPr>
          <w:rFonts w:ascii="Arial" w:cs="Arial" w:eastAsia="Arial" w:hAnsi="Arial"/>
          <w:sz w:val="18"/>
          <w:szCs w:val="18"/>
          <w:color w:val="auto"/>
        </w:rPr>
      </w:pPr>
    </w:p>
    <w:p>
      <w:pPr>
        <w:ind w:right="4739" w:firstLine="7"/>
        <w:spacing w:after="0" w:line="253" w:lineRule="auto"/>
        <w:tabs>
          <w:tab w:leader="none" w:pos="207"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or amendment thereto</w:t>
      </w:r>
    </w:p>
    <w:p>
      <w:pPr>
        <w:spacing w:after="0" w:line="1" w:lineRule="exact"/>
        <w:rPr>
          <w:rFonts w:ascii="Arial" w:cs="Arial" w:eastAsia="Arial" w:hAnsi="Arial"/>
          <w:sz w:val="18"/>
          <w:szCs w:val="18"/>
          <w:color w:val="auto"/>
        </w:rPr>
      </w:pPr>
    </w:p>
    <w:p>
      <w:pPr>
        <w:ind w:right="4279"/>
        <w:spacing w:after="0" w:line="287" w:lineRule="auto"/>
        <w:rPr>
          <w:rFonts w:ascii="Arial" w:cs="Arial" w:eastAsia="Arial" w:hAnsi="Arial"/>
          <w:sz w:val="18"/>
          <w:szCs w:val="18"/>
          <w:color w:val="auto"/>
        </w:rPr>
      </w:pPr>
      <w:r>
        <w:rPr>
          <w:rFonts w:ascii="Arial" w:cs="Arial" w:eastAsia="Arial" w:hAnsi="Arial"/>
          <w:sz w:val="17"/>
          <w:szCs w:val="17"/>
          <w:color w:val="auto"/>
        </w:rPr>
        <w:t>and timely file such form with the United States Securities and Exchange Commission (the "SEC") and any stock exchange or similar authority.</w:t>
      </w:r>
    </w:p>
    <w:p>
      <w:pPr>
        <w:spacing w:after="0" w:line="183" w:lineRule="exact"/>
        <w:rPr>
          <w:sz w:val="20"/>
          <w:szCs w:val="20"/>
          <w:color w:val="auto"/>
        </w:rPr>
      </w:pPr>
    </w:p>
    <w:p>
      <w:pPr>
        <w:ind w:right="4319"/>
        <w:spacing w:after="0" w:line="268"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or proper to be done in the exercise of any of</w:t>
      </w:r>
    </w:p>
    <w:p>
      <w:pPr>
        <w:spacing w:after="0" w:line="1" w:lineRule="exact"/>
        <w:rPr>
          <w:sz w:val="20"/>
          <w:szCs w:val="20"/>
          <w:color w:val="auto"/>
        </w:rPr>
      </w:pPr>
    </w:p>
    <w:p>
      <w:pPr>
        <w:ind w:right="4599"/>
        <w:spacing w:after="0" w:line="261" w:lineRule="auto"/>
        <w:rPr>
          <w:sz w:val="20"/>
          <w:szCs w:val="20"/>
          <w:color w:val="auto"/>
        </w:rPr>
      </w:pPr>
      <w:r>
        <w:rPr>
          <w:rFonts w:ascii="Arial" w:cs="Arial" w:eastAsia="Arial" w:hAnsi="Arial"/>
          <w:sz w:val="17"/>
          <w:szCs w:val="17"/>
          <w:color w:val="auto"/>
        </w:rPr>
        <w:t>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w:t>
      </w:r>
    </w:p>
    <w:p>
      <w:pPr>
        <w:spacing w:after="0" w:line="3" w:lineRule="exact"/>
        <w:rPr>
          <w:sz w:val="20"/>
          <w:szCs w:val="20"/>
          <w:color w:val="auto"/>
        </w:rPr>
      </w:pPr>
    </w:p>
    <w:p>
      <w:pPr>
        <w:ind w:right="4239"/>
        <w:spacing w:after="0" w:line="249" w:lineRule="auto"/>
        <w:rPr>
          <w:sz w:val="20"/>
          <w:szCs w:val="20"/>
          <w:color w:val="auto"/>
        </w:rPr>
      </w:pPr>
      <w:r>
        <w:rPr>
          <w:rFonts w:ascii="Arial" w:cs="Arial" w:eastAsia="Arial" w:hAnsi="Arial"/>
          <w:sz w:val="18"/>
          <w:szCs w:val="18"/>
          <w:color w:val="auto"/>
        </w:rPr>
        <w:t>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5" w:lineRule="exact"/>
        <w:rPr>
          <w:sz w:val="20"/>
          <w:szCs w:val="20"/>
          <w:color w:val="auto"/>
        </w:rPr>
      </w:pPr>
    </w:p>
    <w:p>
      <w:pPr>
        <w:ind w:right="4379"/>
        <w:spacing w:after="0" w:line="252"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 in securities of the Company, unless earlier revoked by the undersigned in a signed writing delivered to the foregoing attorneys-in-fact. This Power of Attorney may be filed with the SEC as a confirming statement of the authority granted herein.</w:t>
      </w:r>
    </w:p>
    <w:p>
      <w:pPr>
        <w:spacing w:after="0" w:line="211" w:lineRule="exact"/>
        <w:rPr>
          <w:sz w:val="20"/>
          <w:szCs w:val="20"/>
          <w:color w:val="auto"/>
        </w:rPr>
      </w:pPr>
    </w:p>
    <w:p>
      <w:pPr>
        <w:ind w:right="3899"/>
        <w:spacing w:after="0" w:line="277" w:lineRule="auto"/>
        <w:rPr>
          <w:sz w:val="20"/>
          <w:szCs w:val="20"/>
          <w:color w:val="auto"/>
        </w:rPr>
      </w:pPr>
      <w:r>
        <w:rPr>
          <w:rFonts w:ascii="Arial" w:cs="Arial" w:eastAsia="Arial" w:hAnsi="Arial"/>
          <w:sz w:val="18"/>
          <w:szCs w:val="18"/>
          <w:color w:val="auto"/>
        </w:rPr>
        <w:t>IN WITNESS WHEREOF, the undersigned has caused this Power of Attorney to be executed as of this 11th day of March,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Dale B. Wolf</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Dale B. Wolf</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Exhibit 24</w:t>
      </w:r>
    </w:p>
    <w:sectPr>
      <w:pgSz w:w="11900" w:h="16838" w:orient="portrait"/>
      <w:cols w:equalWidth="0" w:num="1">
        <w:col w:w="9999"/>
      </w:cols>
      <w:pgMar w:left="460" w:top="10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8861" TargetMode="External"/><Relationship Id="rId14" Type="http://schemas.openxmlformats.org/officeDocument/2006/relationships/hyperlink" Target="http://www.sec.gov/cgi-bin/browse-edgar?action=getcompany&amp;CIK=00011799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2026-07-02T16:04:32Z</dcterms:created>
  <dcterms:modified xsi:type="dcterms:W3CDTF">2026-07-02T16:04:32Z</dcterms:modified>
</cp:coreProperties>
</file>