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-194310</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191135</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June 30, 2018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169545</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314960</wp:posOffset>
            </wp:positionV>
            <wp:extent cx="213550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550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MOLINA HEALTHCARE,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165100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w w:val="99"/>
              </w:rPr>
              <w:t>Delaware</w:t>
            </w:r>
          </w:p>
        </w:tc>
        <w:tc>
          <w:tcPr>
            <w:tcW w:w="4600" w:type="dxa"/>
            <w:vAlign w:val="bottom"/>
          </w:tcPr>
          <w:p>
            <w:pPr>
              <w:jc w:val="right"/>
              <w:ind w:right="683"/>
              <w:spacing w:after="0"/>
              <w:rPr>
                <w:sz w:val="20"/>
                <w:szCs w:val="20"/>
                <w:color w:val="auto"/>
              </w:rPr>
            </w:pPr>
            <w:r>
              <w:rPr>
                <w:rFonts w:ascii="Arial" w:cs="Arial" w:eastAsia="Arial" w:hAnsi="Arial"/>
                <w:sz w:val="16"/>
                <w:szCs w:val="16"/>
                <w:b w:val="1"/>
                <w:bCs w:val="1"/>
                <w:color w:val="auto"/>
              </w:rPr>
              <w:t>13-4204626</w:t>
            </w:r>
          </w:p>
        </w:tc>
      </w:tr>
      <w:tr>
        <w:trPr>
          <w:trHeight w:val="224"/>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(I.R.S. Employer Identification No.)</w:t>
            </w:r>
          </w:p>
        </w:tc>
      </w:tr>
      <w:tr>
        <w:trPr>
          <w:trHeight w:val="332"/>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200 Oceangate, Suite 100</w:t>
            </w:r>
          </w:p>
        </w:tc>
        <w:tc>
          <w:tcPr>
            <w:tcW w:w="4600" w:type="dxa"/>
            <w:vAlign w:val="bottom"/>
          </w:tcPr>
          <w:p>
            <w:pPr>
              <w:spacing w:after="0"/>
              <w:rPr>
                <w:sz w:val="24"/>
                <w:szCs w:val="24"/>
                <w:color w:val="auto"/>
              </w:rPr>
            </w:pPr>
          </w:p>
        </w:tc>
      </w:tr>
      <w:tr>
        <w:trPr>
          <w:trHeight w:val="215"/>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Long Beach, California</w:t>
            </w:r>
          </w:p>
        </w:tc>
        <w:tc>
          <w:tcPr>
            <w:tcW w:w="4600" w:type="dxa"/>
            <w:vAlign w:val="bottom"/>
          </w:tcPr>
          <w:p>
            <w:pPr>
              <w:jc w:val="right"/>
              <w:ind w:right="883"/>
              <w:spacing w:after="0"/>
              <w:rPr>
                <w:sz w:val="20"/>
                <w:szCs w:val="20"/>
                <w:color w:val="auto"/>
              </w:rPr>
            </w:pPr>
            <w:r>
              <w:rPr>
                <w:rFonts w:ascii="Arial" w:cs="Arial" w:eastAsia="Arial" w:hAnsi="Arial"/>
                <w:sz w:val="16"/>
                <w:szCs w:val="16"/>
                <w:b w:val="1"/>
                <w:bCs w:val="1"/>
                <w:color w:val="auto"/>
              </w:rPr>
              <w:t>90802</w:t>
            </w:r>
          </w:p>
        </w:tc>
      </w:tr>
      <w:tr>
        <w:trPr>
          <w:trHeight w:val="218"/>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(Address of principal executive offices)</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(Zip Code)</w:t>
            </w:r>
          </w:p>
        </w:tc>
      </w:tr>
      <w:tr>
        <w:trPr>
          <w:trHeight w:val="201"/>
        </w:trPr>
        <w:tc>
          <w:tcPr>
            <w:tcW w:w="4260" w:type="dxa"/>
            <w:vAlign w:val="bottom"/>
          </w:tcPr>
          <w:p>
            <w:pPr>
              <w:spacing w:after="0"/>
              <w:rPr>
                <w:sz w:val="17"/>
                <w:szCs w:val="17"/>
                <w:color w:val="auto"/>
              </w:rPr>
            </w:pPr>
          </w:p>
        </w:tc>
        <w:tc>
          <w:tcPr>
            <w:tcW w:w="4600" w:type="dxa"/>
            <w:vAlign w:val="bottom"/>
          </w:tcPr>
          <w:p>
            <w:pPr>
              <w:jc w:val="right"/>
              <w:ind w:right="3243"/>
              <w:spacing w:after="0"/>
              <w:rPr>
                <w:sz w:val="20"/>
                <w:szCs w:val="20"/>
                <w:color w:val="auto"/>
              </w:rPr>
            </w:pPr>
            <w:r>
              <w:rPr>
                <w:rFonts w:ascii="Arial" w:cs="Arial" w:eastAsia="Arial" w:hAnsi="Arial"/>
                <w:sz w:val="16"/>
                <w:szCs w:val="16"/>
                <w:b w:val="1"/>
                <w:bCs w:val="1"/>
                <w:color w:val="auto"/>
              </w:rPr>
              <w:t>(562) 435-3666</w:t>
            </w:r>
          </w:p>
        </w:tc>
      </w:tr>
    </w:tbl>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166370</wp:posOffset>
            </wp:positionV>
            <wp:extent cx="4476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54" w:lineRule="exact"/>
        <w:rPr>
          <w:sz w:val="24"/>
          <w:szCs w:val="24"/>
          <w:color w:val="auto"/>
        </w:rPr>
      </w:pPr>
    </w:p>
    <w:p>
      <w:pPr>
        <w:ind w:right="4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w:t>
      </w:r>
    </w:p>
    <w:tbl>
      <w:tblPr>
        <w:tblLayout w:type="fixed"/>
        <w:tblInd w:w="0" w:type="dxa"/>
        <w:tblCellMar>
          <w:top w:w="0" w:type="dxa"/>
          <w:left w:w="0" w:type="dxa"/>
          <w:bottom w:w="0" w:type="dxa"/>
          <w:right w:w="0" w:type="dxa"/>
        </w:tblCellMar>
      </w:tblPr>
      <w:tr>
        <w:trPr>
          <w:trHeight w:val="179"/>
        </w:trPr>
        <w:tc>
          <w:tcPr>
            <w:tcW w:w="11180" w:type="dxa"/>
            <w:vAlign w:val="bottom"/>
            <w:gridSpan w:val="3"/>
          </w:tcPr>
          <w:p>
            <w:pPr>
              <w:spacing w:after="0" w:line="179" w:lineRule="exact"/>
              <w:rPr>
                <w:sz w:val="20"/>
                <w:szCs w:val="20"/>
                <w:color w:val="auto"/>
              </w:rPr>
            </w:pPr>
            <w:r>
              <w:rPr>
                <w:rFonts w:ascii="Arial" w:cs="Arial" w:eastAsia="Arial" w:hAnsi="Arial"/>
                <w:sz w:val="18"/>
                <w:szCs w:val="18"/>
                <w:color w:val="auto"/>
              </w:rPr>
              <w:t>File required to be submitted and posted pursuant to Rule 405 of Regulation S-T during the preceding 12 months (or for such shorter period</w:t>
            </w:r>
          </w:p>
        </w:tc>
        <w:tc>
          <w:tcPr>
            <w:tcW w:w="200" w:type="dxa"/>
            <w:vAlign w:val="bottom"/>
          </w:tcPr>
          <w:p>
            <w:pPr>
              <w:spacing w:after="0"/>
              <w:rPr>
                <w:sz w:val="15"/>
                <w:szCs w:val="15"/>
                <w:color w:val="auto"/>
              </w:rPr>
            </w:pPr>
          </w:p>
        </w:tc>
      </w:tr>
      <w:tr>
        <w:trPr>
          <w:trHeight w:val="262"/>
        </w:trPr>
        <w:tc>
          <w:tcPr>
            <w:tcW w:w="57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that the registrant was required to submit and post such files).  Yes </w:t>
            </w:r>
            <w:r>
              <w:rPr>
                <w:rFonts w:ascii="MS PGothic" w:cs="MS PGothic" w:eastAsia="MS PGothic" w:hAnsi="MS PGothic"/>
                <w:sz w:val="18"/>
                <w:szCs w:val="18"/>
                <w:color w:val="auto"/>
              </w:rPr>
              <w:t>☒</w:t>
            </w:r>
          </w:p>
        </w:tc>
        <w:tc>
          <w:tcPr>
            <w:tcW w:w="54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0" w:type="dxa"/>
            <w:vAlign w:val="bottom"/>
          </w:tcPr>
          <w:p>
            <w:pPr>
              <w:spacing w:after="0"/>
              <w:rPr>
                <w:sz w:val="22"/>
                <w:szCs w:val="22"/>
                <w:color w:val="auto"/>
              </w:rPr>
            </w:pPr>
          </w:p>
        </w:tc>
      </w:tr>
      <w:tr>
        <w:trPr>
          <w:trHeight w:val="216"/>
        </w:trPr>
        <w:tc>
          <w:tcPr>
            <w:tcW w:w="11180" w:type="dxa"/>
            <w:vAlign w:val="bottom"/>
            <w:gridSpan w:val="3"/>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w:t>
            </w:r>
          </w:p>
        </w:tc>
        <w:tc>
          <w:tcPr>
            <w:tcW w:w="200" w:type="dxa"/>
            <w:vAlign w:val="bottom"/>
          </w:tcPr>
          <w:p>
            <w:pPr>
              <w:spacing w:after="0"/>
              <w:rPr>
                <w:sz w:val="18"/>
                <w:szCs w:val="18"/>
                <w:color w:val="auto"/>
              </w:rPr>
            </w:pPr>
          </w:p>
        </w:tc>
      </w:tr>
      <w:tr>
        <w:trPr>
          <w:trHeight w:val="216"/>
        </w:trPr>
        <w:tc>
          <w:tcPr>
            <w:tcW w:w="11180" w:type="dxa"/>
            <w:vAlign w:val="bottom"/>
            <w:gridSpan w:val="3"/>
          </w:tcPr>
          <w:p>
            <w:pPr>
              <w:spacing w:after="0"/>
              <w:rPr>
                <w:sz w:val="20"/>
                <w:szCs w:val="20"/>
                <w:color w:val="auto"/>
              </w:rPr>
            </w:pPr>
            <w:r>
              <w:rPr>
                <w:rFonts w:ascii="Arial" w:cs="Arial" w:eastAsia="Arial" w:hAnsi="Arial"/>
                <w:sz w:val="18"/>
                <w:szCs w:val="18"/>
                <w:color w:val="auto"/>
              </w:rPr>
              <w:t>company, or emerging growth company. See the definitions of “large accelerated filer,” “accelerated filer,” “smaller reporting company,” and</w:t>
            </w:r>
          </w:p>
        </w:tc>
        <w:tc>
          <w:tcPr>
            <w:tcW w:w="200" w:type="dxa"/>
            <w:vAlign w:val="bottom"/>
          </w:tcPr>
          <w:p>
            <w:pPr>
              <w:spacing w:after="0"/>
              <w:rPr>
                <w:sz w:val="18"/>
                <w:szCs w:val="18"/>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“emerging growth company” in Rule 12b-2 of the Exchange Act.</w:t>
            </w: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1"/>
        </w:trPr>
        <w:tc>
          <w:tcPr>
            <w:tcW w:w="19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13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9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00" w:type="dxa"/>
            <w:vAlign w:val="bottom"/>
          </w:tcPr>
          <w:p>
            <w:pPr>
              <w:ind w:left="13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00" w:type="dxa"/>
            <w:vAlign w:val="bottom"/>
          </w:tcPr>
          <w:p>
            <w:pPr>
              <w:ind w:left="1340"/>
              <w:spacing w:after="0"/>
              <w:rPr>
                <w:sz w:val="20"/>
                <w:szCs w:val="20"/>
                <w:color w:val="auto"/>
              </w:rPr>
            </w:pPr>
            <w:r>
              <w:rPr>
                <w:rFonts w:ascii="Arial" w:cs="Arial" w:eastAsia="Arial" w:hAnsi="Arial"/>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ind w:left="40" w:right="240"/>
        <w:spacing w:after="0" w:line="20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Section13(a) of the Exchange Act.</w:t>
      </w:r>
    </w:p>
    <w:p>
      <w:pPr>
        <w:jc w:val="right"/>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380"/>
          </w:cols>
          <w:pgMar w:left="240" w:top="247" w:right="279" w:bottom="1440" w:gutter="0" w:footer="0" w:header="0"/>
        </w:sectPr>
      </w:pP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$0.001 par value, outstanding as of July 27, 2018, was approximately 61,762,000.</w:t>
      </w:r>
    </w:p>
    <w:p>
      <w:pPr>
        <w:sectPr>
          <w:pgSz w:w="11900" w:h="16838" w:orient="portrait"/>
          <w:cols w:equalWidth="0" w:num="1">
            <w:col w:w="11380"/>
          </w:cols>
          <w:pgMar w:left="240" w:top="247"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June 30, 2018</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37">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37">
              <w:r>
                <w:rPr>
                  <w:rFonts w:ascii="Arial" w:cs="Arial" w:eastAsia="Arial" w:hAnsi="Arial"/>
                  <w:sz w:val="16"/>
                  <w:szCs w:val="16"/>
                  <w:color w:val="0F7C7F"/>
                </w:rPr>
                <w:t>37</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54">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4">
              <w:r>
                <w:rPr>
                  <w:rFonts w:ascii="Arial" w:cs="Arial" w:eastAsia="Arial" w:hAnsi="Arial"/>
                  <w:sz w:val="16"/>
                  <w:szCs w:val="16"/>
                  <w:color w:val="0F7C7F"/>
                </w:rPr>
                <w:t>54</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59">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9">
              <w:r>
                <w:rPr>
                  <w:rFonts w:ascii="Arial" w:cs="Arial" w:eastAsia="Arial" w:hAnsi="Arial"/>
                  <w:sz w:val="16"/>
                  <w:szCs w:val="16"/>
                  <w:color w:val="0F7C7F"/>
                </w:rPr>
                <w:t>59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59">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9">
              <w:r>
                <w:rPr>
                  <w:rFonts w:ascii="Arial" w:cs="Arial" w:eastAsia="Arial" w:hAnsi="Arial"/>
                  <w:sz w:val="16"/>
                  <w:szCs w:val="16"/>
                  <w:color w:val="0F7C7F"/>
                </w:rPr>
                <w:t>59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60">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0">
              <w:r>
                <w:rPr>
                  <w:rFonts w:ascii="Arial" w:cs="Arial" w:eastAsia="Arial" w:hAnsi="Arial"/>
                  <w:sz w:val="16"/>
                  <w:szCs w:val="16"/>
                  <w:color w:val="0F7C7F"/>
                </w:rPr>
                <w:t>60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60">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60">
              <w:r>
                <w:rPr>
                  <w:rFonts w:ascii="Arial" w:cs="Arial" w:eastAsia="Arial" w:hAnsi="Arial"/>
                  <w:sz w:val="16"/>
                  <w:szCs w:val="16"/>
                  <w:color w:val="0F7C7F"/>
                </w:rPr>
                <w:t>60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79"/>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30"/>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61">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61">
              <w:r>
                <w:rPr>
                  <w:rFonts w:ascii="Arial" w:cs="Arial" w:eastAsia="Arial" w:hAnsi="Arial"/>
                  <w:sz w:val="16"/>
                  <w:szCs w:val="16"/>
                  <w:color w:val="0F7C7F"/>
                </w:rPr>
                <w:t>61</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62">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2">
              <w:r>
                <w:rPr>
                  <w:rFonts w:ascii="Arial" w:cs="Arial" w:eastAsia="Arial" w:hAnsi="Arial"/>
                  <w:sz w:val="16"/>
                  <w:szCs w:val="16"/>
                  <w:color w:val="0F7C7F"/>
                </w:rPr>
                <w:t>62</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4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7"/>
                <w:szCs w:val="17"/>
                <w:color w:val="auto"/>
              </w:rPr>
            </w:pPr>
          </w:p>
        </w:tc>
        <w:tc>
          <w:tcPr>
            <w:tcW w:w="28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175"/>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 except per-share data)</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3"/>
          </w:tcPr>
          <w:p>
            <w:pPr>
              <w:jc w:val="center"/>
              <w:ind w:left="741"/>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4,514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8,837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9,388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 reimbursed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4,883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9,529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9,903</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8,602</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246</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losses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Restructuring and separation costs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w:t>
            </w:r>
          </w:p>
        </w:tc>
      </w:tr>
      <w:tr>
        <w:trPr>
          <w:trHeight w:val="250"/>
        </w:trPr>
        <w:tc>
          <w:tcPr>
            <w:tcW w:w="4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5,286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10,108</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income (loss)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(income), net: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w:t>
            </w:r>
          </w:p>
        </w:tc>
      </w:tr>
      <w:tr>
        <w:trPr>
          <w:trHeight w:val="27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(income), net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50"/>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other expenses (income), net</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 expense (benefit)</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1"/>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1"/>
        </w:trPr>
        <w:tc>
          <w:tcPr>
            <w:tcW w:w="8620" w:type="dxa"/>
            <w:vAlign w:val="bottom"/>
            <w:gridSpan w:val="8"/>
          </w:tcPr>
          <w:p>
            <w:pPr>
              <w:spacing w:after="0"/>
              <w:rPr>
                <w:sz w:val="20"/>
                <w:szCs w:val="20"/>
                <w:color w:val="auto"/>
              </w:rPr>
            </w:pPr>
            <w:r>
              <w:rPr>
                <w:rFonts w:ascii="Arial" w:cs="Arial" w:eastAsia="Arial" w:hAnsi="Arial"/>
                <w:sz w:val="25"/>
                <w:szCs w:val="25"/>
                <w:b w:val="1"/>
                <w:bCs w:val="1"/>
                <w:color w:val="0F7C7F"/>
              </w:rPr>
              <w:t>CONSOLIDATED STATEMENTS OF COMPREHENSIVE INCOME (LOSS)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4700" w:type="dxa"/>
            <w:vAlign w:val="bottom"/>
          </w:tcPr>
          <w:p>
            <w:pPr>
              <w:spacing w:after="0"/>
              <w:rPr>
                <w:sz w:val="24"/>
                <w:szCs w:val="24"/>
                <w:color w:val="auto"/>
              </w:rPr>
            </w:pPr>
          </w:p>
        </w:tc>
        <w:tc>
          <w:tcPr>
            <w:tcW w:w="342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24"/>
                <w:szCs w:val="24"/>
                <w:color w:val="auto"/>
              </w:rPr>
            </w:pPr>
          </w:p>
        </w:tc>
        <w:tc>
          <w:tcPr>
            <w:tcW w:w="28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175"/>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(Amounts in millions)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3"/>
          </w:tcPr>
          <w:p>
            <w:pPr>
              <w:jc w:val="center"/>
              <w:ind w:left="741"/>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gain (loss)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175"/>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(Amounts in millions,</w:t>
            </w:r>
          </w:p>
        </w:tc>
      </w:t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except per-share data)</w:t>
            </w:r>
          </w:p>
        </w:tc>
      </w:tr>
      <w:tr>
        <w:trPr>
          <w:trHeight w:val="276"/>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2,524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Derivative asset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522</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7,511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77"/>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8,471</w:t>
            </w:r>
          </w:p>
        </w:tc>
      </w:tr>
      <w:tr>
        <w:trPr>
          <w:trHeight w:val="271"/>
        </w:trPr>
        <w:tc>
          <w:tcPr>
            <w:tcW w:w="8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340" w:type="dxa"/>
            <w:vAlign w:val="bottom"/>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2,192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366</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Liabilities held for sale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1,318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shares authorized; outstanding: 62 shares at June 30, 2018 and 60 shares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at December 31, 2017</w:t>
            </w: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8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8,763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 OF STOCKHOLDERS’ EQUITY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Adoption of Topic 606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Adoption of ASU 2018-02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700" w:type="dxa"/>
            <w:vAlign w:val="bottom"/>
            <w:tcBorders>
              <w:bottom w:val="single" w:sz="8" w:color="auto"/>
            </w:tcBorders>
            <w:gridSpan w:val="4"/>
          </w:tcPr>
          <w:p>
            <w:pPr>
              <w:jc w:val="center"/>
              <w:ind w:left="544"/>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175"/>
        </w:trPr>
        <w:tc>
          <w:tcPr>
            <w:tcW w:w="8120" w:type="dxa"/>
            <w:vAlign w:val="bottom"/>
          </w:tcPr>
          <w:p>
            <w:pPr>
              <w:spacing w:after="0"/>
              <w:rPr>
                <w:sz w:val="15"/>
                <w:szCs w:val="15"/>
                <w:color w:val="auto"/>
              </w:rPr>
            </w:pPr>
          </w:p>
        </w:tc>
        <w:tc>
          <w:tcPr>
            <w:tcW w:w="2700" w:type="dxa"/>
            <w:vAlign w:val="bottom"/>
            <w:gridSpan w:val="4"/>
          </w:tcPr>
          <w:p>
            <w:pPr>
              <w:jc w:val="center"/>
              <w:ind w:left="544"/>
              <w:spacing w:after="0"/>
              <w:rPr>
                <w:sz w:val="20"/>
                <w:szCs w:val="20"/>
                <w:color w:val="auto"/>
              </w:rPr>
            </w:pPr>
            <w:r>
              <w:rPr>
                <w:rFonts w:ascii="Arial" w:cs="Arial" w:eastAsia="Arial" w:hAnsi="Arial"/>
                <w:sz w:val="14"/>
                <w:szCs w:val="14"/>
                <w:b w:val="1"/>
                <w:bCs w:val="1"/>
                <w:color w:val="auto"/>
              </w:rPr>
              <w:t>(Amounts in millions)</w:t>
            </w:r>
          </w:p>
        </w:tc>
        <w:tc>
          <w:tcPr>
            <w:tcW w:w="60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gridSpan w:val="3"/>
          </w:tcPr>
          <w:p>
            <w:pPr>
              <w:jc w:val="center"/>
              <w:ind w:right="322"/>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2"/>
                <w:szCs w:val="22"/>
                <w:color w:val="auto"/>
              </w:rPr>
            </w:pP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Non-cash restructuring costs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claims and benefits payable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Amounts due government agencies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642</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(1,636)</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credit facility</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1.125% Convertible Notes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Cash paid for partial settlement of 1.125% Conversion Option</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received for partial termination of 1.125% Call Option</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Cash paid for partial termination of 1.125% Warrants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25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102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2,912</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3,071</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right="550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30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r>
      <w:tr>
        <w:trPr>
          <w:trHeight w:val="175"/>
        </w:trPr>
        <w:tc>
          <w:tcPr>
            <w:tcW w:w="8120" w:type="dxa"/>
            <w:vAlign w:val="bottom"/>
          </w:tcPr>
          <w:p>
            <w:pPr>
              <w:spacing w:after="0"/>
              <w:rPr>
                <w:sz w:val="15"/>
                <w:szCs w:val="15"/>
                <w:color w:val="auto"/>
              </w:rPr>
            </w:pPr>
          </w:p>
        </w:tc>
        <w:tc>
          <w:tcPr>
            <w:tcW w:w="27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(Amounts in millions)</w:t>
            </w:r>
          </w:p>
        </w:tc>
        <w:tc>
          <w:tcPr>
            <w:tcW w:w="540" w:type="dxa"/>
            <w:vAlign w:val="bottom"/>
          </w:tcPr>
          <w:p>
            <w:pPr>
              <w:spacing w:after="0"/>
              <w:rPr>
                <w:sz w:val="15"/>
                <w:szCs w:val="15"/>
                <w:color w:val="auto"/>
              </w:rPr>
            </w:pPr>
          </w:p>
        </w:tc>
      </w:tr>
      <w:tr>
        <w:trPr>
          <w:trHeight w:val="190"/>
        </w:trPr>
        <w:tc>
          <w:tcPr>
            <w:tcW w:w="8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6"/>
                <w:szCs w:val="16"/>
                <w:color w:val="auto"/>
              </w:rPr>
            </w:pPr>
          </w:p>
        </w:tc>
      </w:tr>
      <w:tr>
        <w:trPr>
          <w:trHeight w:val="272"/>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334"/>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Gain on 1.125% Call Option</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106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1.125% Conversion Option</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80"/>
        </w:trPr>
        <w:tc>
          <w:tcPr>
            <w:tcW w:w="8120" w:type="dxa"/>
            <w:vAlign w:val="bottom"/>
          </w:tcPr>
          <w:p>
            <w:pPr>
              <w:ind w:left="600"/>
              <w:spacing w:after="0"/>
              <w:rPr>
                <w:sz w:val="20"/>
                <w:szCs w:val="20"/>
                <w:color w:val="auto"/>
              </w:rPr>
            </w:pPr>
            <w:r>
              <w:rPr>
                <w:rFonts w:ascii="Arial" w:cs="Arial" w:eastAsia="Arial" w:hAnsi="Arial"/>
                <w:sz w:val="16"/>
                <w:szCs w:val="16"/>
                <w:color w:val="auto"/>
              </w:rPr>
              <w:t>Change in fair value of derivatives, net</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08"/>
        </w:trPr>
        <w:tc>
          <w:tcPr>
            <w:tcW w:w="81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issued in exchange for 1.625% Convertible Notes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Component of 1.625% Convertible Notes allocated to additional paid-in capital, net of income taxes</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increase to additional paid-in capital</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7</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June 30, 2018</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June 30, 2018, these health plans served approximately 4.1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health plans’ state Medicaid contracts generally have terms of three to five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Molina Medicaid Solutions segment provides support to state government agencies’ administration of their Medicaid programs, including business processing, information technology development and administrative services. The Other segment includes primarily our Pathways behavioral health and social services provider, and corporate amounts not allocated to other reportable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Puerto Rico Health Plan</w:t>
      </w:r>
      <w:r>
        <w:rPr>
          <w:rFonts w:ascii="Arial" w:cs="Arial" w:eastAsia="Arial" w:hAnsi="Arial"/>
          <w:sz w:val="18"/>
          <w:szCs w:val="18"/>
          <w:color w:val="auto"/>
        </w:rPr>
        <w:t>. In July 2018, our Puerto Rico health plan was selected by the Puerto Rico Health Insurance Administration to be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organizations to administer the Commonwealth’s new Medicaid Managed Care contract. Services under the new contract, currently expected to begin on November 1, 2018, would cover the entire island. The base contract runs for a period of three years with an optional one year extension. As of June 30, 2018, we served approximately 326,000 Medicaid members in the East and Southwest regions of Puerto Rico, which represented premium revenue of $370 million for the six months ended June 30, 2018.</w:t>
      </w:r>
    </w:p>
    <w:p>
      <w:pPr>
        <w:spacing w:after="0" w:line="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Florida Health Plan. </w:t>
      </w:r>
      <w:r>
        <w:rPr>
          <w:rFonts w:ascii="Arial" w:cs="Arial" w:eastAsia="Arial" w:hAnsi="Arial"/>
          <w:sz w:val="18"/>
          <w:szCs w:val="18"/>
          <w:color w:val="auto"/>
        </w:rPr>
        <w:t>In June 2018, our Florida health plan was awarded comprehensive Medicaid Managed Care contracts by the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Agency for Health Care Administration (AHCA) in Regions 8 and 11 of the Florida Statewide Medicaid Managed Care Invitation to Negotiate. As of June 30, 2018, we served approximately 96,000 Medicaid members in those regions, which represented premium revenue of approximately $232 million for the six months ended June 30, 2018. Services under the new contract are expected to begin on January 1, 2019. We will be serving both the Medicaid and long-term care populations in the two regions.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2018, our Washington health plan was selected by the Washington State Health Care Authority (HCA)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 managed care contract for the eight remaining regions of the state’s Apple Health Integrated Managed Care program, in addition to the two regions previously awarded to us. We were selected by HCA for the following regions: Greater Columbia, King, North Sound, Pierce, and Spokane beginning January 1, 2019; and Salish, Thurston-Mason, and Great Rivers beginning January 1, 2020. As of June 30, 2018, we served approximately 742,000 Medicaid members in Washington, which represented premium revenue of $1,083 million for the six months ended June 30,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Molina Medicaid Solutions Segment</w:t>
      </w:r>
    </w:p>
    <w:p>
      <w:pPr>
        <w:spacing w:after="0" w:line="1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June 2018, we entered into a definitive agreement to sell Molina Medicaid Solutions (MMS) to DXC Technology Company. The divestiture, expected to close in the third quarter of 2018, is subject to the satisfaction of customary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closing conditions and the receipt of certain third party consents and regulatory approvals. Refer to Note 11, “Segments,” for further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and Reclassification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reclassified certain amounts in the 2017 consolidated statement of cash flows to conform to the 2018 presentation, relating to the presentation of restricted cash and cash equivalents. The reclassification is a result of our adoption of Accounting Standards Update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effective January 1, 2018. See Note 2, “Significant Accounting Policies,” for further information, including the amount reclassified.</w:t>
      </w:r>
    </w:p>
    <w:p>
      <w:pPr>
        <w:spacing w:after="0" w:line="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have combined certain line items in the accompanying consolidated balance sheets. For all periods presented, we have combined the presentation of:</w:t>
      </w:r>
    </w:p>
    <w:p>
      <w:pPr>
        <w:spacing w:after="0" w:line="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refundable with “Prepaid expenses and other current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payable with “Accounts payable and accrued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and intangible assets, net to a single line;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contract costs with “Other assets.”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consolidated financial statements include the accounts of Molina Healthcare, Inc., its subsidiaries, and variable interest entities (VIEs) in which Molina Healthcare, Inc. is considered to be the primary beneficiary. Such VIEs are insignificant to our consolidated financial position and results of operations.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six months ended June 30, 2018 are not necessarily indicative of the results for the entire year ending December 31, 2018.</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2017. Accordingly, certain disclosures that would substantially duplicate the disclosures contained in our December 31, 2017 audited consolidated financial statements have been omitted. These unaudited consolidated interim financial statements should be read in conjunction with our audited consolidated financial statements for the fiscal year ended December 31, 2017.</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color w:val="828282"/>
        </w:rPr>
        <w:t>2.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2,979</w:t>
            </w:r>
          </w:p>
        </w:tc>
        <w:tc>
          <w:tcPr>
            <w:tcW w:w="0" w:type="dxa"/>
            <w:vAlign w:val="bottom"/>
          </w:tcPr>
          <w:p>
            <w:pPr>
              <w:spacing w:after="0"/>
              <w:rPr>
                <w:sz w:val="1"/>
                <w:szCs w:val="1"/>
                <w:color w:val="auto"/>
              </w:rPr>
            </w:pPr>
          </w:p>
        </w:tc>
      </w:tr>
      <w:tr>
        <w:trPr>
          <w:trHeight w:val="260"/>
        </w:trPr>
        <w:tc>
          <w:tcPr>
            <w:tcW w:w="830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Pr>
          <w:p>
            <w:pPr>
              <w:spacing w:after="0"/>
              <w:rPr>
                <w:sz w:val="22"/>
                <w:szCs w:val="22"/>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reported in assets held for sale</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830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statements of cash</w:t>
            </w:r>
          </w:p>
        </w:tc>
        <w:tc>
          <w:tcPr>
            <w:tcW w:w="920" w:type="dxa"/>
            <w:vAlign w:val="bottom"/>
            <w:vMerge w:val="restart"/>
          </w:tcPr>
          <w:p>
            <w:pPr>
              <w:jc w:val="right"/>
              <w:ind w:right="723"/>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41"/>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7"/>
                <w:szCs w:val="17"/>
                <w:color w:val="auto"/>
              </w:rPr>
            </w:pPr>
          </w:p>
        </w:tc>
        <w:tc>
          <w:tcPr>
            <w:tcW w:w="920" w:type="dxa"/>
            <w:vAlign w:val="bottom"/>
            <w:vMerge w:val="restart"/>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03"/>
        </w:trPr>
        <w:tc>
          <w:tcPr>
            <w:tcW w:w="8300" w:type="dxa"/>
            <w:vAlign w:val="bottom"/>
          </w:tcPr>
          <w:p>
            <w:pPr>
              <w:ind w:left="540"/>
              <w:spacing w:after="0"/>
              <w:rPr>
                <w:sz w:val="20"/>
                <w:szCs w:val="20"/>
                <w:color w:val="auto"/>
              </w:rPr>
            </w:pPr>
            <w:r>
              <w:rPr>
                <w:rFonts w:ascii="Arial" w:cs="Arial" w:eastAsia="Arial" w:hAnsi="Arial"/>
                <w:sz w:val="16"/>
                <w:szCs w:val="16"/>
                <w:color w:val="auto"/>
              </w:rPr>
              <w:t>flows</w:t>
            </w:r>
          </w:p>
        </w:tc>
        <w:tc>
          <w:tcPr>
            <w:tcW w:w="9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effective January 1, 2018, using the modified retrospective approach. The insurance contracts of our Health Plans segment, which segment constitutes the vast majority of our operations, are excluded from the scope of Topic 606 because the recognition of revenue under these contracts is dictated by other accounting standards governing insurance contracts. The cumulative effect of initially applying the guidance, relating entirely to our Molina Medicaid Solutions segment contracts, resulted in an immaterial impact to beginning retained earnings, as presented in the accompanying consolidated statement of stockholders’ equity. Topic 606 was only applied to service contracts that were not completed as of December 31, 2017. Refer to “Molina Medicaid Solutions segment” and “Other segment” below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Plans segment</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 care services, and premiums collected in advance are deferred. Certain components of premium revenue are subject to accounting estimates and fall into two broad categories discussed in further detail below: 1) “Contractual Provisions That May Adjust or Limit Revenue or Profit;” and 2) “Quality Incentives.” Liabilities recorded for such provisions are included in “Amounts due government agencies” in the accompanying consolidated balance sheets.</w:t>
      </w:r>
    </w:p>
    <w:p>
      <w:pPr>
        <w:spacing w:after="0" w:line="206" w:lineRule="exact"/>
        <w:rPr>
          <w:sz w:val="20"/>
          <w:szCs w:val="20"/>
          <w:color w:val="auto"/>
        </w:rPr>
      </w:pPr>
    </w:p>
    <w:p>
      <w:pPr>
        <w:ind w:left="340" w:right="5800" w:hanging="332"/>
        <w:spacing w:after="0" w:line="49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Contractual Provisions That May Adjust or Limit Revenue or Profit: </w:t>
      </w:r>
      <w:r>
        <w:rPr>
          <w:rFonts w:ascii="Arial" w:cs="Arial" w:eastAsia="Arial" w:hAnsi="Arial"/>
          <w:sz w:val="18"/>
          <w:szCs w:val="18"/>
          <w:u w:val="single" w:color="auto"/>
          <w:color w:val="auto"/>
        </w:rPr>
        <w:t>Medicaid</w:t>
      </w:r>
    </w:p>
    <w:p>
      <w:pPr>
        <w:spacing w:after="0" w:line="1" w:lineRule="exact"/>
        <w:rPr>
          <w:rFonts w:ascii="Arial" w:cs="Arial" w:eastAsia="Arial" w:hAnsi="Arial"/>
          <w:sz w:val="18"/>
          <w:szCs w:val="18"/>
          <w:color w:val="auto"/>
        </w:rPr>
      </w:pPr>
    </w:p>
    <w:p>
      <w:pPr>
        <w:ind w:left="980" w:right="140" w:hanging="648"/>
        <w:spacing w:after="0" w:line="257" w:lineRule="auto"/>
        <w:tabs>
          <w:tab w:leader="none" w:pos="656"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not spent on defined medical care costs. In the aggregate, we recorded a liability under the terms of such contract provisions of $144 million and $135 million at June 30, 2018 and December 31, 2017, respectively. Approximately $97 million and $96 million of the liability accrued at June 30, 2018 and December 31, 2017, respectively, relates to our participation in Medicaid Expansion programs. Refer to Note 12, “Commitments and Contingencies,” for further information regarding the California Medicaid Expansion program.</w:t>
      </w:r>
    </w:p>
    <w:p>
      <w:pPr>
        <w:spacing w:after="0" w:line="182" w:lineRule="exact"/>
        <w:rPr>
          <w:rFonts w:ascii="Arial" w:cs="Arial" w:eastAsia="Arial" w:hAnsi="Arial"/>
          <w:sz w:val="18"/>
          <w:szCs w:val="18"/>
          <w:i w:val="1"/>
          <w:iCs w:val="1"/>
          <w:color w:val="auto"/>
        </w:rPr>
      </w:pPr>
    </w:p>
    <w:p>
      <w:pPr>
        <w:ind w:left="660" w:right="180" w:hanging="328"/>
        <w:spacing w:after="0" w:line="266" w:lineRule="auto"/>
        <w:tabs>
          <w:tab w:leader="none" w:pos="66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adjust our premium revenue in the period in which we learn of the adjustment, rather than in the months of service to which the retroactive adjustment applies.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Medicare</w:t>
      </w:r>
    </w:p>
    <w:p>
      <w:pPr>
        <w:spacing w:after="0" w:line="207" w:lineRule="exact"/>
        <w:rPr>
          <w:sz w:val="20"/>
          <w:szCs w:val="20"/>
          <w:color w:val="auto"/>
        </w:rPr>
      </w:pPr>
    </w:p>
    <w:p>
      <w:pPr>
        <w:ind w:left="660" w:right="140" w:hanging="328"/>
        <w:spacing w:after="0" w:line="258"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Federal regulations have established a minimum annual medical loss ratio (Minimum MLR) of 85% for Medicare. The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Marketplace</w:t>
      </w:r>
    </w:p>
    <w:p>
      <w:pPr>
        <w:spacing w:after="0" w:line="207" w:lineRule="exact"/>
        <w:rPr>
          <w:sz w:val="20"/>
          <w:szCs w:val="20"/>
          <w:color w:val="auto"/>
        </w:rPr>
      </w:pPr>
    </w:p>
    <w:p>
      <w:pPr>
        <w:ind w:left="1220" w:right="20" w:hanging="888"/>
        <w:spacing w:after="0" w:line="255" w:lineRule="auto"/>
        <w:tabs>
          <w:tab w:leader="none" w:pos="65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and will receive a risk adjustment payment from the pool if their composite risk scores are above the average risk score. We estimate our ultimate premium based on insurance policy year-to-date experience, and recognize estimated premiums relating to the risk adjustment program as an adjustment to premium revenue in our consolidated statements of operations. As of June 30, 2018, and December 31, 2017, the Marketplace risk adjustment payable amounted to $1,159 million and $912 million, respectively. Refer to Note 12, “Commitments and Contingencies,” for further information regarding recent developments in the Marketplace risk adjustment program.</w:t>
      </w:r>
    </w:p>
    <w:p>
      <w:pPr>
        <w:spacing w:after="0" w:line="185" w:lineRule="exact"/>
        <w:rPr>
          <w:rFonts w:ascii="Arial" w:cs="Arial" w:eastAsia="Arial" w:hAnsi="Arial"/>
          <w:sz w:val="18"/>
          <w:szCs w:val="18"/>
          <w:i w:val="1"/>
          <w:iCs w:val="1"/>
          <w:color w:val="auto"/>
        </w:rPr>
      </w:pPr>
    </w:p>
    <w:p>
      <w:pPr>
        <w:ind w:left="1220" w:right="240" w:hanging="888"/>
        <w:spacing w:after="0" w:line="261" w:lineRule="auto"/>
        <w:tabs>
          <w:tab w:leader="none" w:pos="65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MLR of 80% for the Marketplace. If the Minimum MLR is</w:t>
      </w:r>
      <w:r>
        <w:rPr>
          <w:rFonts w:ascii="Arial" w:cs="Arial" w:eastAsia="Arial" w:hAnsi="Arial"/>
          <w:sz w:val="18"/>
          <w:szCs w:val="18"/>
          <w:i w:val="1"/>
          <w:iCs w:val="1"/>
          <w:color w:val="auto"/>
        </w:rPr>
        <w:t xml:space="preserve"> </w:t>
      </w:r>
      <w:r>
        <w:rPr>
          <w:rFonts w:ascii="Arial" w:cs="Arial" w:eastAsia="Arial" w:hAnsi="Arial"/>
          <w:sz w:val="18"/>
          <w:szCs w:val="18"/>
          <w:color w:val="auto"/>
        </w:rPr>
        <w:t>not met, we may be required to pay rebates to our Marketplace policyholders. The Marketplace risk adjustment program is taken into consideration when computing the Minimum MLR. We recognize estimated rebates under the Minimum MLR as an adjustment to premium revenue in our consolidated statements of operations.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Incentives:</w:t>
      </w:r>
    </w:p>
    <w:p>
      <w:pPr>
        <w:spacing w:after="0" w:line="225" w:lineRule="exact"/>
        <w:rPr>
          <w:rFonts w:ascii="Arial" w:cs="Arial" w:eastAsia="Arial" w:hAnsi="Arial"/>
          <w:sz w:val="18"/>
          <w:szCs w:val="18"/>
          <w:color w:val="auto"/>
        </w:rPr>
      </w:pPr>
    </w:p>
    <w:p>
      <w:pPr>
        <w:ind w:left="340" w:right="640"/>
        <w:spacing w:after="0" w:line="262" w:lineRule="auto"/>
        <w:rPr>
          <w:rFonts w:ascii="Arial" w:cs="Arial" w:eastAsia="Arial" w:hAnsi="Arial"/>
          <w:sz w:val="18"/>
          <w:szCs w:val="18"/>
          <w:color w:val="auto"/>
        </w:rPr>
      </w:pPr>
      <w:r>
        <w:rPr>
          <w:rFonts w:ascii="Arial" w:cs="Arial" w:eastAsia="Arial" w:hAnsi="Arial"/>
          <w:sz w:val="18"/>
          <w:szCs w:val="18"/>
          <w:color w:val="auto"/>
        </w:rPr>
        <w:t>At many of our health plans, revenue ranging from approximately 1% to 3% of certain health plan premiums is earned only if certain performance measures are met.</w:t>
      </w:r>
    </w:p>
    <w:p>
      <w:pPr>
        <w:spacing w:after="0" w:line="196" w:lineRule="exact"/>
        <w:rPr>
          <w:rFonts w:ascii="Arial" w:cs="Arial" w:eastAsia="Arial" w:hAnsi="Arial"/>
          <w:sz w:val="18"/>
          <w:szCs w:val="18"/>
          <w:color w:val="auto"/>
        </w:rPr>
      </w:pPr>
    </w:p>
    <w:p>
      <w:pPr>
        <w:ind w:left="340" w:right="40"/>
        <w:spacing w:after="0" w:line="254" w:lineRule="auto"/>
        <w:rPr>
          <w:rFonts w:ascii="Arial" w:cs="Arial" w:eastAsia="Arial" w:hAnsi="Arial"/>
          <w:sz w:val="18"/>
          <w:szCs w:val="18"/>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June 30, 2018 are not known, we have no reason to believe that the adjustments to prior years noted below are not indicative of the potential future changes in our estimates as of June 30, 2018.</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0"/>
              <w:spacing w:after="0"/>
              <w:rPr>
                <w:sz w:val="20"/>
                <w:szCs w:val="20"/>
                <w:color w:val="auto"/>
              </w:rPr>
            </w:pPr>
            <w:r>
              <w:rPr>
                <w:rFonts w:ascii="Arial" w:cs="Arial" w:eastAsia="Arial" w:hAnsi="Arial"/>
                <w:sz w:val="16"/>
                <w:szCs w:val="16"/>
                <w:color w:val="auto"/>
              </w:rPr>
              <w:t>Quality incentive premium revenue recognized in current</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200"/>
              <w:spacing w:after="0"/>
              <w:rPr>
                <w:sz w:val="20"/>
                <w:szCs w:val="20"/>
                <w:color w:val="auto"/>
              </w:rPr>
            </w:pPr>
            <w:r>
              <w:rPr>
                <w:rFonts w:ascii="Arial" w:cs="Arial" w:eastAsia="Arial" w:hAnsi="Arial"/>
                <w:sz w:val="16"/>
                <w:szCs w:val="16"/>
                <w:color w:val="auto"/>
              </w:rPr>
              <w:t>period:</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current period</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Earned prior periods</w:t>
            </w:r>
          </w:p>
        </w:tc>
        <w:tc>
          <w:tcPr>
            <w:tcW w:w="1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w:t>
            </w:r>
          </w:p>
        </w:tc>
        <w:tc>
          <w:tcPr>
            <w:tcW w:w="1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percentage of total premium revenue</w:t>
            </w: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Molina Medicaid Solutions segment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MMS is under contract with Medicaid agencies in six states and the U.S. Virgin Islands. Our existing contracts have terms that currently extend to 2018 through 2025, before renewal options. As of June 30, 2018, the aggregate amount of service revenue relating to unsatisfied performance obligations amounted to approximately $638 million.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Business process outsourcing services are billed immediately following the end of the month in which such services are performed, with payment received soon thereafter. Payments for the design, development and implementation (DDI) of Medicaid management information systems milestones are received following our performance, and the customer’s acceptance, of the milestone deliverable. However, recognition of DDI revenue is deferred until the system ‘go-live’ date, and is amortized over the initial contract hosting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4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Our Pathways behavioral health subsidiary’s revenue is all variable, and generally invoiced after services are rendered; customer payment follows invoicing. We have concluded that there is no change to revenue recognition under Topic 606 for our Pathways behavioral health subsidiary, and therefore no impact to retained earnings effective January 1, 2018.</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presents the opening and closing balances of receivables, deferred contract costs (contract assets), and deferred revenue (contract liabilities) from contracts with customers, by segment.</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120" w:type="dxa"/>
            <w:vAlign w:val="bottom"/>
          </w:tcPr>
          <w:p>
            <w:pPr>
              <w:jc w:val="center"/>
              <w:ind w:left="325"/>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Pr>
          <w:p>
            <w:pPr>
              <w:spacing w:after="0"/>
              <w:rPr>
                <w:sz w:val="14"/>
                <w:szCs w:val="14"/>
                <w:color w:val="auto"/>
              </w:rPr>
            </w:pPr>
          </w:p>
        </w:tc>
        <w:tc>
          <w:tcPr>
            <w:tcW w:w="1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80" w:type="dxa"/>
            <w:vAlign w:val="bottom"/>
          </w:tcPr>
          <w:p>
            <w:pPr>
              <w:spacing w:after="0"/>
              <w:rPr>
                <w:sz w:val="17"/>
                <w:szCs w:val="17"/>
                <w:color w:val="auto"/>
              </w:rPr>
            </w:pP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gridSpan w:val="2"/>
          </w:tcPr>
          <w:p>
            <w:pPr>
              <w:jc w:val="right"/>
              <w:ind w:right="63"/>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r>
      <w:tr>
        <w:trPr>
          <w:trHeight w:val="27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080" w:type="dxa"/>
            <w:vAlign w:val="bottom"/>
          </w:tcPr>
          <w:p>
            <w:pPr>
              <w:ind w:left="280"/>
              <w:spacing w:after="0"/>
              <w:rPr>
                <w:sz w:val="20"/>
                <w:szCs w:val="20"/>
                <w:color w:val="auto"/>
              </w:rPr>
            </w:pPr>
            <w:r>
              <w:rPr>
                <w:rFonts w:ascii="Arial" w:cs="Arial" w:eastAsia="Arial" w:hAnsi="Arial"/>
                <w:sz w:val="16"/>
                <w:szCs w:val="16"/>
                <w:color w:val="auto"/>
              </w:rPr>
              <w:t>Molina Medicaid Solutions</w:t>
            </w:r>
          </w:p>
        </w:tc>
        <w:tc>
          <w:tcPr>
            <w:tcW w:w="1120" w:type="dxa"/>
            <w:vAlign w:val="bottom"/>
          </w:tcPr>
          <w:p>
            <w:pPr>
              <w:jc w:val="right"/>
              <w:ind w:right="94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58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30</w:t>
            </w:r>
          </w:p>
        </w:tc>
      </w:tr>
      <w:tr>
        <w:trPr>
          <w:trHeight w:val="280"/>
        </w:trPr>
        <w:tc>
          <w:tcPr>
            <w:tcW w:w="8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r>
      <w:tr>
        <w:trPr>
          <w:trHeight w:val="260"/>
        </w:trPr>
        <w:tc>
          <w:tcPr>
            <w:tcW w:w="8080" w:type="dxa"/>
            <w:vAlign w:val="bottom"/>
          </w:tcPr>
          <w:p>
            <w:pPr>
              <w:ind w:left="20"/>
              <w:spacing w:after="0"/>
              <w:rPr>
                <w:sz w:val="20"/>
                <w:szCs w:val="20"/>
                <w:color w:val="auto"/>
              </w:rPr>
            </w:pPr>
            <w:r>
              <w:rPr>
                <w:rFonts w:ascii="Arial" w:cs="Arial" w:eastAsia="Arial" w:hAnsi="Arial"/>
                <w:sz w:val="16"/>
                <w:szCs w:val="16"/>
                <w:color w:val="auto"/>
              </w:rPr>
              <w:t>Deferred contract costs (contract assets) – Molina Medicaid Solutions</w:t>
            </w:r>
          </w:p>
        </w:tc>
        <w:tc>
          <w:tcPr>
            <w:tcW w:w="1120" w:type="dxa"/>
            <w:vAlign w:val="bottom"/>
          </w:tcPr>
          <w:p>
            <w:pPr>
              <w:spacing w:after="0"/>
              <w:rPr>
                <w:sz w:val="22"/>
                <w:szCs w:val="22"/>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58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101</w:t>
            </w:r>
          </w:p>
        </w:tc>
      </w:tr>
      <w:tr>
        <w:trPr>
          <w:trHeight w:val="28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(contract liabilities) – Molina Medicaid Solutions</w:t>
            </w: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 - Marketplace Cost Share Reduction (CSR) Update</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first half of 2018, we recognized a benefit of approximately $76 million in reduced medical expense related to 2017 dates of service as a result of the federal government’s confirmation that the reconciliation of 2017 Marketplace CSR subsidies would be performed on an annual basis. In the fourth quarter of 2017, we had assumed</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 nine-month reconciliation of this item pending confirmation of the time period to which the 2017 reconciliation would be applied.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nondeductible expenses such as the Health Insurer Fee (HIF), certain compensation, and other general and administrative expenses. The effective tax rate was not impacted by HIF in 2017 given the 2017 HIF moratorium.</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Tax Cuts and Jobs Act (TCJA) was enacted on December 22, 2017. The TCJA, in part, reduced the U.S. federal statutory corporate income tax rate from 35% to 21% effective January 1, 2018. Accounting guidance allows filers one year subsequent to the end of the tax year to finalize the valuation of deferred tax assets and liabilities. At June 30, 2018, we had not completed our accounting for the tax effects resulting from enactment of TCJA with respect to valuation of our deferred tax assets and liabilities. We will continue to make and refine our calculations as additional analysis is completed. In addition, our estimates may also be affected as we gain a more thorough understanding of the tax law based on expected future guidance from the Internal Revenue Service and U.S. Treasury.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(Topic 606). </w:t>
      </w:r>
      <w:r>
        <w:rPr>
          <w:rFonts w:ascii="Arial" w:cs="Arial" w:eastAsia="Arial" w:hAnsi="Arial"/>
          <w:sz w:val="18"/>
          <w:szCs w:val="18"/>
          <w:color w:val="auto"/>
        </w:rPr>
        <w:t>See discussion above, in “Revenue Recognition.”</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In February 2018, the Financial Accounting Standards Board (FASB) issued ASU 2018-02,</w:t>
      </w:r>
      <w:r>
        <w:rPr>
          <w:rFonts w:ascii="Arial" w:cs="Arial" w:eastAsia="Arial" w:hAnsi="Arial"/>
          <w:sz w:val="18"/>
          <w:szCs w:val="18"/>
          <w:i w:val="1"/>
          <w:iCs w:val="1"/>
          <w:color w:val="auto"/>
        </w:rPr>
        <w:t xml:space="preserve"> Reclassification of Certain Tax Effects from Accumulated Other Comprehensive Income</w:t>
      </w:r>
      <w:r>
        <w:rPr>
          <w:rFonts w:ascii="Arial" w:cs="Arial" w:eastAsia="Arial" w:hAnsi="Arial"/>
          <w:sz w:val="18"/>
          <w:szCs w:val="18"/>
          <w:color w:val="auto"/>
        </w:rPr>
        <w:t>, which allows a reclassification from accumulated other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for stranded tax effects resulting from the TCJA. ASU 2018-02 is effective beginning January 1, 2019; we early adopted this ASU effective January 1, 2018. The effect of applying the guidance resulted in an immaterial impact to beginning retained earnings, as presented in the accompanying consolidated statement of stockholders’ equity.</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 November 2016, the FASB issued ASU 2016-18,</w:t>
      </w:r>
      <w:r>
        <w:rPr>
          <w:rFonts w:ascii="Arial" w:cs="Arial" w:eastAsia="Arial" w:hAnsi="Arial"/>
          <w:sz w:val="18"/>
          <w:szCs w:val="18"/>
          <w:i w:val="1"/>
          <w:iCs w:val="1"/>
          <w:color w:val="auto"/>
        </w:rPr>
        <w:t xml:space="preserve"> Restricted Cash, </w:t>
      </w:r>
      <w:r>
        <w:rPr>
          <w:rFonts w:ascii="Arial" w:cs="Arial" w:eastAsia="Arial" w:hAnsi="Arial"/>
          <w:sz w:val="18"/>
          <w:szCs w:val="18"/>
          <w:color w:val="auto"/>
        </w:rPr>
        <w:t>which requires us to include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the changes in the balances of cash, cash equivalents, restricted cash and restricted cash equivalents. We adopted ASU 2016-18 on January 1, 2018. We have applied the guidance retrospectively to all periods presented. Such retrospective adoption resulted in a $92 million reclassification of restricted cash and cash equivalents from “Investing activities” to the beginning and ending balances of cash and cash equivalents in our consolidated statements of cash flows for the six months ended June 30, 2017. There was no impact to our consolidated statements of operations, balance sheets, or stockholders’ equity. The reconciliation of cash and cash equivalents to cash, cash equivalents and restricted cash and cash equivalents is presented at the beginning of this note.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Rather than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credit losses when it is probable that the loss has been incurred, the revised guidance requires companies to recognize an allowance for credit losses for the difference between the amortized cost basis of a financial instrument and the amount of amortized cost that the company expects to collect over the instrument’s contractual life. ASU 2016-13 is effective beginning January 1, 2020, and must be adopted as a cumulative effect adjustment to retained earnings; early adoption is permitted. We are evaluating the effect of this guidance.</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xml:space="preserve"> Leases (Topic 842), </w:t>
      </w:r>
      <w:r>
        <w:rPr>
          <w:rFonts w:ascii="Arial" w:cs="Arial" w:eastAsia="Arial" w:hAnsi="Arial"/>
          <w:sz w:val="17"/>
          <w:szCs w:val="17"/>
          <w:color w:val="auto"/>
        </w:rPr>
        <w:t>as modified by ASU 2017-03,</w:t>
      </w:r>
      <w:r>
        <w:rPr>
          <w:rFonts w:ascii="Arial" w:cs="Arial" w:eastAsia="Arial" w:hAnsi="Arial"/>
          <w:sz w:val="17"/>
          <w:szCs w:val="17"/>
          <w:i w:val="1"/>
          <w:iCs w:val="1"/>
          <w:color w:val="auto"/>
        </w:rPr>
        <w:t xml:space="preserve"> Transition and Open Effective Date Information </w:t>
      </w:r>
      <w:r>
        <w:rPr>
          <w:rFonts w:ascii="Arial" w:cs="Arial" w:eastAsia="Arial" w:hAnsi="Arial"/>
          <w:sz w:val="17"/>
          <w:szCs w:val="17"/>
          <w:color w:val="auto"/>
        </w:rPr>
        <w:t>and ASU 2018-10,</w:t>
      </w:r>
      <w:r>
        <w:rPr>
          <w:rFonts w:ascii="Arial" w:cs="Arial" w:eastAsia="Arial" w:hAnsi="Arial"/>
          <w:sz w:val="17"/>
          <w:szCs w:val="17"/>
          <w:i w:val="1"/>
          <w:iCs w:val="1"/>
          <w:color w:val="auto"/>
        </w:rPr>
        <w:t xml:space="preserve"> Codification Improvements to Topic 842, Leases</w:t>
      </w:r>
      <w:r>
        <w:rPr>
          <w:rFonts w:ascii="Arial" w:cs="Arial" w:eastAsia="Arial" w:hAnsi="Arial"/>
          <w:sz w:val="17"/>
          <w:szCs w:val="17"/>
          <w:color w:val="auto"/>
        </w:rPr>
        <w:t>. Under ASU 2016-02, an entity will be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assets and liabilities for the rights and obligations created by leases on the entity’s balance sheet for both financing and operating leases. For leases with a term of 12 months or less, an entity may elect to not recognize lease assets and lease liabilities and expense the lease over a straight-line basis for the term of the lease. ASU 2016-02 will require new disclosures that depict the amount, timing,</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12</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and uncertainty of cash flows pertaining to an entity’s leases. ASU 2016-02 must be adopted using a modified retrospective approach for annual and interim periods beginning after December 15, 2018. Early adoption is permitted. Under this guidance, we will record right of use assets and liabilities relating primarily to our long-term office leases. We are currently updating the configuration of our lease database management system for the adoption of Topic 842; we do not currently expect the adoption of this guidance to have a material effect on our consolidated results of operations, financial condition or cash flows.</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(Loss) per Share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10"/>
        </w:trPr>
        <w:tc>
          <w:tcPr>
            <w:tcW w:w="4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9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1.625% Exchange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1.625% Convertible Notes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3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Potentially dilutive common shares excluded from calculations:</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9"/>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83" w:lineRule="exact"/>
        <w:rPr>
          <w:sz w:val="20"/>
          <w:szCs w:val="20"/>
          <w:color w:val="auto"/>
        </w:rPr>
      </w:pPr>
    </w:p>
    <w:p>
      <w:pPr>
        <w:ind w:left="340" w:right="1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more information and definitions regarding the 1.625% Exchange and the 1.625% Convertible Notes, refer to Note 7, “Debt.” For more information regarding the 1.125% Warrants, refer to Note 9, “Stockholders' Equity.” The dilutive effect of all potentially dilutive common shares is calculated using the treasury stock method. Certain potentially dilutive common shares issuable are not included in the computation of diluted net income (loss) per share because to do so would be anti-dilutive. For the three and six months ended June 30, 2017, the 1.125% Warrants were not included in diluted shares outstanding because to do so would have been anti-dilutive.</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consider the carrying amounts of cash, cash equivalents and other current assets and current liabilities (not including derivatives, the current portion of long-term debt, and certain accounts reported in assets and liabilities held for sale)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2017 Annual Report on Form 10-K.</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These derivatives are not actively traded and are valued based on an option pricing model that uses observable and unobservable market data for inputs. Significant market data inputs used to determine fair value as of June 30, 2018, included the price of our common stock, the time to maturity of the derivative instruments, the risk-free interest rate, and the implied volatility of our common stock. As described further in Note 8, “Derivatives,” the 1.125% Call Option derivative asset and the 1.125% Conversion Option derivative liability were designed such that changes in their fair values would offset, with minimal impact to the consolidated statements of operations. Therefore, the sensitivity of changes in the unobservable inputs to the option pricing model for such derivative instruments is mitigated.</w:t>
      </w:r>
    </w:p>
    <w:p>
      <w:pPr>
        <w:spacing w:after="0" w:line="9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six months ended June 30,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2018,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Certificate of deposit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Subtotal - current investments</w:t>
            </w:r>
          </w:p>
        </w:tc>
        <w:tc>
          <w:tcPr>
            <w:tcW w:w="9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9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color w:val="auto"/>
              </w:rPr>
              <w:t>1.125% Call Option derivative asset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657</w:t>
            </w:r>
          </w:p>
        </w:tc>
      </w:tr>
      <w:tr>
        <w:trPr>
          <w:trHeight w:val="240"/>
        </w:trPr>
        <w:tc>
          <w:tcPr>
            <w:tcW w:w="5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657</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1"/>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657</w:t>
            </w:r>
          </w:p>
        </w:tc>
      </w:tr>
      <w:tr>
        <w:trPr>
          <w:trHeight w:val="240"/>
        </w:trPr>
        <w:tc>
          <w:tcPr>
            <w:tcW w:w="50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657</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8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2,524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3,215</w:t>
            </w:r>
          </w:p>
        </w:tc>
        <w:tc>
          <w:tcPr>
            <w:tcW w:w="10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84"/>
        </w:trPr>
        <w:tc>
          <w:tcPr>
            <w:tcW w:w="5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37"/>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carrying amounts and estimated fair values of our senior notes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amount due under our Credit Facility was classified as a Level 3 financial instrument, because certain inputs used to determine its fair value were not observable. The carrying amount of the amount due under the Credit Facility as of December 31, 2017, approximated its fair value because the Credit Facility’s interest rate is a variable rate that approximates rates currently available to us.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820"/>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7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7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4.875%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1.625%</w:t>
            </w:r>
          </w:p>
        </w:tc>
        <w:tc>
          <w:tcPr>
            <w:tcW w:w="456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180" w:hanging="332"/>
        <w:spacing w:after="0" w:line="26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the 1.125% Conversion Option (the embedded cash conversion option) amounted to $657 million and $522 million as of June 30, 2018, and December 31, 2017, respectively. See further discussion at Note 7, “Debt,” and Note 8, “Derivatives.”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consider all of our investments classified as current assets (including restricted investments) to be available-for-sale. Our 4.875% Notes, as further discussed in Note 7, “Debt,” contain a limitation on the use of proceeds which required us to deposit the net proceeds from their issuance into a segregated deposit account, a current asset reported as “Restricted investments” in the accompanying consolidated balance sheets. Such proceeds, while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restricted as to their use and held in a segregated deposit account, are available-for-sale based upon our contractual liquidity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investments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rPr>
              <w:t>Gross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center"/>
              <w:ind w:right="28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4"/>
          </w:tcPr>
          <w:p>
            <w:pPr>
              <w:jc w:val="center"/>
              <w:ind w:left="58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1,382</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330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207</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4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2,176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r>
      <w:tr>
        <w:trPr>
          <w:trHeight w:val="25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r>
      <w:tr>
        <w:trPr>
          <w:trHeight w:val="237"/>
        </w:trPr>
        <w:tc>
          <w:tcPr>
            <w:tcW w:w="516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0"/>
                <w:szCs w:val="20"/>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2,256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rPr>
              <w:t>Gross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center"/>
              <w:ind w:right="28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4"/>
          </w:tcPr>
          <w:p>
            <w:pPr>
              <w:jc w:val="center"/>
              <w:ind w:left="58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37</w:t>
            </w:r>
          </w:p>
        </w:tc>
      </w:tr>
      <w:tr>
        <w:trPr>
          <w:trHeight w:val="25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2,531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2,524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101</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169</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2,693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8820" w:type="dxa"/>
            <w:vAlign w:val="bottom"/>
            <w:gridSpan w:val="9"/>
          </w:tcPr>
          <w:p>
            <w:pPr>
              <w:spacing w:after="0"/>
              <w:rPr>
                <w:sz w:val="20"/>
                <w:szCs w:val="20"/>
                <w:color w:val="auto"/>
              </w:rPr>
            </w:pPr>
            <w:r>
              <w:rPr>
                <w:rFonts w:ascii="Arial" w:cs="Arial" w:eastAsia="Arial" w:hAnsi="Arial"/>
                <w:sz w:val="18"/>
                <w:szCs w:val="18"/>
                <w:color w:val="auto"/>
              </w:rPr>
              <w:t>The contractual maturities of our available-for-sale investments as of June 30, 2018 are summarized below:</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 through five years</w:t>
            </w: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902</w:t>
            </w: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2,256</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three and six months ended June 30, 2018 and 2017 were insignificant.</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determined that unrealized losses at June 30, 2018 and December 31, 2017,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3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64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783"/>
              <w:spacing w:after="0"/>
              <w:rPr>
                <w:sz w:val="20"/>
                <w:szCs w:val="20"/>
                <w:color w:val="auto"/>
              </w:rPr>
            </w:pPr>
            <w:r>
              <w:rPr>
                <w:rFonts w:ascii="Arial" w:cs="Arial" w:eastAsia="Arial" w:hAnsi="Arial"/>
                <w:sz w:val="14"/>
                <w:szCs w:val="14"/>
                <w:b w:val="1"/>
                <w:bCs w:val="1"/>
                <w:color w:val="auto"/>
              </w:rPr>
              <w:t>for Less than 12 Months</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Positions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52</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180</w:t>
            </w: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76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Less than 12 Months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rPr>
              <w:t>for 12 Months or More</w:t>
            </w:r>
          </w:p>
        </w:tc>
        <w:tc>
          <w:tcPr>
            <w:tcW w:w="110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9"/>
              </w:rPr>
              <w:t>Losses</w:t>
            </w: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w:t>
            </w:r>
          </w:p>
        </w:tc>
      </w:tr>
      <w:tr>
        <w:trPr>
          <w:trHeight w:val="237"/>
        </w:trPr>
        <w:tc>
          <w:tcPr>
            <w:tcW w:w="33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held-to-maturity restricted investments are carried at amortized cost, which approximates fair value. Such investments amounted to $117 million at June 30, 2018, and mature in one year or less.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provides the details of our medical claims and benefits payable (including amounts payable for the provision of long-term services and supports, or LTSS) as of the dates indicated: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Fee-for-service claims incurred but not paid (IBNP)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Pharmacy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Capitation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04"/>
        </w:trPr>
        <w:tc>
          <w:tcPr>
            <w:tcW w:w="280" w:type="dxa"/>
            <w:vAlign w:val="bottom"/>
          </w:tcPr>
          <w:p>
            <w:pPr>
              <w:spacing w:after="0"/>
              <w:rPr>
                <w:sz w:val="17"/>
                <w:szCs w:val="17"/>
                <w:color w:val="auto"/>
              </w:rPr>
            </w:pPr>
          </w:p>
        </w:tc>
        <w:tc>
          <w:tcPr>
            <w:tcW w:w="280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millions)</w:t>
            </w:r>
          </w:p>
        </w:tc>
      </w:tr>
      <w:tr>
        <w:trPr>
          <w:trHeight w:val="263"/>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1,717</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67</w:t>
            </w:r>
          </w:p>
        </w:tc>
      </w:tr>
      <w:tr>
        <w:trPr>
          <w:trHeight w:val="283"/>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296</w:t>
            </w:r>
          </w:p>
        </w:tc>
      </w:tr>
      <w:tr>
        <w:trPr>
          <w:trHeight w:val="237"/>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4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17</w:t>
      </w:r>
    </w:p>
    <w:p>
      <w:pPr>
        <w:sectPr>
          <w:pgSz w:w="11900" w:h="16838" w:orient="portrait"/>
          <w:cols w:equalWidth="0" w:num="1">
            <w:col w:w="11420"/>
          </w:cols>
          <w:pgMar w:left="240" w:top="14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operations. Non-risk provider payables amounted to $158 million and $122 million as of June 30, 2018 and December 31, 2017, respectively.</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more than the actual amount of the liability based on information (principally the payment of claims) developed since that liability was first reported.</w:t>
      </w:r>
    </w:p>
    <w:p>
      <w:pPr>
        <w:spacing w:after="0" w:line="30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760"/>
        <w:spacing w:after="0"/>
        <w:tabs>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9"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8,633</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Prior periods</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5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7,572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8,602</w:t>
            </w:r>
          </w:p>
        </w:tc>
      </w:tr>
      <w:tr>
        <w:trPr>
          <w:trHeight w:val="122"/>
        </w:trPr>
        <w:tc>
          <w:tcPr>
            <w:tcW w:w="8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122"/>
        </w:trPr>
        <w:tc>
          <w:tcPr>
            <w:tcW w:w="8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6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6,883</w:t>
            </w: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6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8,340</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2,077</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Assuming that our initial estimate of IBNP is accurate, we believe that amounts ultimately paid would generally be between 8% and 10% less than the IBNP liability recorded at the end of the period as a result of the inclusion in that liability of the provision for adverse claims deviation and the accrued cost of settling those claims. Because we establish the provision for adverse claims deviation and the accrued cost of settling claims on a consistent basis every quarter, the lower cost recognized in a subsequent period if such a provision proved unnecessary would be offset by the establishment of a similar provision during that subsequent period.</w:t>
      </w:r>
    </w:p>
    <w:p>
      <w:pPr>
        <w:spacing w:after="0" w:line="9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Because the amount of our initial liability is an estimate, we will always experience variability in that estimate as new information becomes available with the passage of time. Therefore, there can be no assurance that amounts ultimately paid out will fall within the range of 8% to</w:t>
      </w:r>
    </w:p>
    <w:p>
      <w:pPr>
        <w:spacing w:after="0" w:line="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10% lower than the liability that was initially recorded. Furthermore, because our initial estimate of IBNP is derived from many factors, some of which are qualitative in nature rather than quantitative, we are seldom able to assign specific values to the reasons for a change in estimate— we only know when the circumstances for any one or more factors are out of the ordinary.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differences between our original estimates and the amounts ultimately paid out for the most part relate to IBNP. While many related factors working in conjunction with one another serve to determine the accuracy of our estimates, we are seldom able to quantify the impact that any single factor has on a change in estimate. In addition,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uncertainties surrounding our IBNP estimates at June 30, 2018 are as follows:</w:t>
      </w:r>
    </w:p>
    <w:p>
      <w:pPr>
        <w:spacing w:after="0" w:line="117" w:lineRule="exact"/>
        <w:rPr>
          <w:sz w:val="20"/>
          <w:szCs w:val="20"/>
          <w:color w:val="auto"/>
        </w:rPr>
      </w:pPr>
    </w:p>
    <w:p>
      <w:pPr>
        <w:ind w:left="660" w:right="14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and into 2018. Changes in claims inventories impact the timing between date of service and the date of claim payment, increasing the volatility of our liability estimates.</w:t>
      </w:r>
    </w:p>
    <w:p>
      <w:pPr>
        <w:spacing w:after="0" w:line="93"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2018, our Puerto Rico health plan implemented state prescribed claim billing requirements to ensure more accurate claims submissions. The billing requirements were more stringent and caused a significant number of claim denials. Although we expect providers to ultimately submit updated claims with</w:t>
      </w:r>
    </w:p>
    <w:p>
      <w:pPr>
        <w:spacing w:after="0" w:line="33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information, the impact of the new billing requirements create more uncertainty in our liability estimates.</w:t>
      </w:r>
    </w:p>
    <w:p>
      <w:pPr>
        <w:spacing w:after="0" w:line="131" w:lineRule="exact"/>
        <w:rPr>
          <w:sz w:val="20"/>
          <w:szCs w:val="20"/>
          <w:color w:val="auto"/>
        </w:rPr>
      </w:pPr>
    </w:p>
    <w:p>
      <w:pPr>
        <w:ind w:left="660" w:right="30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our Florida health plan, a new clinical service system was implemented in the first quarter of 2018. This system impacted the reporting of inpatient authorizations used in our development of claims liabilities, which makes our liability estimates subject to more than the usual amount of uncertainty.</w:t>
      </w:r>
    </w:p>
    <w:p>
      <w:pPr>
        <w:spacing w:after="0" w:line="93"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recently implemented a new process for increased quality review of claims payments in nine of our health plans. While we do not anticipate this new process will impact the percentage of claims paid within the timely turnaround requirements, we believe it will have a minor impact on the timing of some paid claims. For this reason, our liability estimates in the nine health plans are subject to more than the usual amount of uncertainty.</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recognized favorable prior period claims development in the amount of $222 million for the six months ended June 30, 2018. This amount represents our estimate as of June 30, 2018, of the extent to which our initial estimate of medical claims and benefits payable at December 31, 2017, was more than the amount that will ultimately be paid out in satisfaction of that liability. We believe the overestimation was due primarily to the following factors:</w:t>
      </w:r>
    </w:p>
    <w:p>
      <w:pPr>
        <w:spacing w:after="0" w:line="96" w:lineRule="exact"/>
        <w:rPr>
          <w:sz w:val="20"/>
          <w:szCs w:val="20"/>
          <w:color w:val="auto"/>
        </w:rPr>
      </w:pPr>
    </w:p>
    <w:p>
      <w:pPr>
        <w:ind w:left="660" w:right="24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impact of the provision for adverse claims deviation and the accrued cost of settling claims as discussed above. Because we re-establish the provision for adverse claims deviation and the accrued cost of settling claims on a consistent basis every quarter, the impact of this item on the first half of 2018 results was minimal.</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In hindsight, the impact of the changes in claims processing timing reduced our liabilities more than we had anticipated.</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December 2017 data from The Centers for Disease Control and Prevention indicated widespread influenza activity in several states in which we operate health plans. The additional liabilities established in consideration of increased claims related to a more severe influenza season turned out to be higher than our actual experience.</w:t>
      </w:r>
    </w:p>
    <w:p>
      <w:pPr>
        <w:spacing w:after="0" w:line="93" w:lineRule="exact"/>
        <w:rPr>
          <w:rFonts w:ascii="Arial" w:cs="Arial" w:eastAsia="Arial" w:hAnsi="Arial"/>
          <w:sz w:val="18"/>
          <w:szCs w:val="18"/>
          <w:color w:val="auto"/>
        </w:rPr>
      </w:pPr>
    </w:p>
    <w:p>
      <w:pPr>
        <w:ind w:left="660" w:right="26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establishing our liability at December 31, 2017, we anticipated an increase in the utilization of medical services by Marketplace members concerned about the future of their healthcare coverage as a result of uncertainties related to high premium increases and issuer exits. This induced demand did not materialize to the degree we expected.</w:t>
      </w:r>
    </w:p>
    <w:p>
      <w:pPr>
        <w:spacing w:after="0" w:line="312"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25"/>
          <w:szCs w:val="25"/>
          <w:color w:val="828282"/>
        </w:rPr>
      </w:pPr>
      <w:r>
        <w:rPr>
          <w:rFonts w:ascii="Arial" w:cs="Arial" w:eastAsia="Arial" w:hAnsi="Arial"/>
          <w:sz w:val="25"/>
          <w:szCs w:val="25"/>
          <w:color w:val="828282"/>
        </w:rPr>
        <w:t>Debt</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 of our debt is held at the parent, which is reported in the Other segment. The following table summarizes our outstanding debt obligations and their classification in the accompanying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7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1.125%</w:t>
            </w:r>
          </w:p>
        </w:tc>
        <w:tc>
          <w:tcPr>
            <w:tcW w:w="7380" w:type="dxa"/>
            <w:vAlign w:val="bottom"/>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422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499</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1.625%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Lease financing obligations</w:t>
            </w:r>
          </w:p>
        </w:tc>
        <w:tc>
          <w:tcPr>
            <w:tcW w:w="3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auto"/>
            </w:tcBorders>
            <w:shd w:val="clear" w:color="auto" w:fill="BFE4FF"/>
          </w:tcPr>
          <w:p>
            <w:pPr>
              <w:spacing w:after="0"/>
              <w:rPr>
                <w:sz w:val="23"/>
                <w:szCs w:val="23"/>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653</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portion of long-term debt: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5.375%</w:t>
            </w:r>
          </w:p>
        </w:tc>
        <w:tc>
          <w:tcPr>
            <w:tcW w:w="7380" w:type="dxa"/>
            <w:vAlign w:val="bottom"/>
          </w:tcPr>
          <w:p>
            <w:pPr>
              <w:ind w:left="20"/>
              <w:spacing w:after="0"/>
              <w:rPr>
                <w:sz w:val="20"/>
                <w:szCs w:val="20"/>
                <w:color w:val="auto"/>
              </w:rPr>
            </w:pPr>
            <w:r>
              <w:rPr>
                <w:rFonts w:ascii="Arial" w:cs="Arial" w:eastAsia="Arial" w:hAnsi="Arial"/>
                <w:sz w:val="16"/>
                <w:szCs w:val="16"/>
                <w:color w:val="auto"/>
              </w:rPr>
              <w:t>Notes</w:t>
            </w:r>
          </w:p>
        </w:tc>
        <w:tc>
          <w:tcPr>
            <w:tcW w:w="3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700</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4.875%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1,318</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37"/>
        </w:trPr>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1,701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2,169</w:t>
            </w:r>
          </w:p>
        </w:tc>
      </w:tr>
      <w:tr>
        <w:trPr>
          <w:trHeight w:val="20"/>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Interest cost recognized relating to our convertible senior notes for the periods presented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8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20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88"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color w:val="auto"/>
        </w:rPr>
        <w:t>In January 2017, we entered into an amended unsecured $500 million revolving credit facility (Credit Facility). The Credit Facility has a term of five years and all amounts outstanding will be due and payable on January 31, 2022. In May 2018, we repaid all outstanding borrowings under the Credit Facility. As of June 30, 2018, no amounts were outstanding under the Credit Facility, and outstanding letters of credit amounting to $6 million reduced our borrowing capacity under the Credit Facility to $494 million.</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In addition to interest payable on the principal amount of indebtedness outstanding from time to time under the Credit Facility, we are required to pay a quarterly commitment fee. The Credit Facility contains customary non-financial and financial covenants, including a net leverage ratio and an interest coverage ratio. As of June 30, 2018, we were in compliance with all financial and non-financial covenants under the Credit Facility and other long-term debt.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2018, we entered into a bridge credit agreement (Bridge Credit Agreement) with several banks. Under the Bridge Credit Agreement, we may borrow up to $550 million to: (i) satisfy conversions of our 1.125% Convertible Notes; (ii) satisfy and/or refinance indebtedness incurred to satisfy conversion of the 1.125% Convertible Notes; (iii) repay or refinance our Credit Facility; and (iv) pay fees and expenses in connection with the foregoing. Subject to the satisfaction of certain conditions, the remaining amount of any borrowing may be used for general corporate purposes.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Bridge Credit Agreement are reduced by the following:</w:t>
      </w:r>
    </w:p>
    <w:p>
      <w:pPr>
        <w:spacing w:after="0" w:line="117" w:lineRule="exact"/>
        <w:rPr>
          <w:sz w:val="20"/>
          <w:szCs w:val="20"/>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future debt and/or equity transactions including term loans, but excluding any Credit Facility drawing (excluding transactions with proceeds used for working capital purposes and acquisition financings up to $300 million); and</w:t>
      </w:r>
    </w:p>
    <w:p>
      <w:pPr>
        <w:spacing w:after="0" w:line="88" w:lineRule="exact"/>
        <w:rPr>
          <w:rFonts w:ascii="Arial" w:cs="Arial" w:eastAsia="Arial" w:hAnsi="Arial"/>
          <w:sz w:val="18"/>
          <w:szCs w:val="18"/>
          <w:color w:val="auto"/>
        </w:rPr>
      </w:pPr>
    </w:p>
    <w:p>
      <w:pPr>
        <w:jc w:val="both"/>
        <w:ind w:left="660" w:right="20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20, 2018 (the first put date for the 1.625% Convertible Notes), the Bridge Credit Agreement shall permanently be reduced by the greater of $150 million; and the principal amount of the 1.625% Convertible Notes that are exchanged into equity or otherwise defeased on or prior to that date.</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Bridge Credit Agreement matures on January 1, 2019 and, subject to the satisfaction of certain conditions, we may elect to extend twice the initial maturity date by a period of six months each. The amount available for borrowing under the Bridge Credit Agreement at June 30, 2018, was $550 million.</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under the Bridge Credit Agreement bear interest based, at our election, at a base rate or an adjusted LIBOR rate, plus in each case the applicable margin. Our wholly owned subsidiaries that guarantee our obligations under the indenture governing the 4.875% Notes, the 5.375% Notes, and the Credit Facility have jointly and severally guaranteed our obligations under the Bridge Credit Agreement.</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Bridge Credit Agreement contains usual and customary (a) affirmative covenants for credit facilities of this type which are substantially similar to those contained in the Credit Facility, (b) negative covenants consistent with those contained in the 4.875% Notes and (c) events of default for credit facilities of this type which are substantially similar to those contained in the 4.875%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outstanding $ 330 million aggregate principal amount of senior notes (4.875% Notes) due June 15, 2025, unless earlier redeemed. Interest on the 4.875% Notes is payable semiannually in arrears on June 15 and December 15. Guarantees under the 4.875% Notes mirror those of the Credit Facility. See Note 13, “Supplemental Condensed Consolidating Financial Information,” for more information on the guarantors. The 4.875% Notes contain customary non-financial covenants and change of control provisions.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4.875% Notes contain a limitation on the use of proceeds which required us to deposit a portion of the net proceeds from their issuance into a segregated deposit account. These funds may be used by us as follows:</w:t>
      </w:r>
    </w:p>
    <w:p>
      <w:pPr>
        <w:spacing w:after="0" w:line="8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prior to August 20, 2018, to:</w:t>
      </w:r>
    </w:p>
    <w:p>
      <w:pPr>
        <w:spacing w:after="0" w:line="117" w:lineRule="exact"/>
        <w:rPr>
          <w:rFonts w:ascii="Arial" w:cs="Arial" w:eastAsia="Arial" w:hAnsi="Arial"/>
          <w:sz w:val="18"/>
          <w:szCs w:val="18"/>
          <w:color w:val="auto"/>
        </w:rPr>
      </w:pPr>
    </w:p>
    <w:p>
      <w:pPr>
        <w:ind w:left="980" w:right="360" w:hanging="324"/>
        <w:spacing w:after="0" w:line="256"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Redeem, repurchase, repay, tender for, or acquire for value all or any portion of our 1.625% Convertible Notes, defined and discussed further below, or to satisfy the cash portion of any consideration due upon any conversion of the 1.625% Convertible Notes and/or</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 any interest due on all or any portion of the 4.875%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after August 20, 2018, to repurchase all or any portion of the 1.625% Convertible Notes that we are obligated to repurchase; and</w:t>
      </w:r>
    </w:p>
    <w:p>
      <w:pPr>
        <w:spacing w:after="0" w:line="117"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Subsequent to August 20, 2018 (or such earlier date in the event that there are no longer any 1.625% Convertible Notes outstanding), in any other manner not otherwise prohibited in the indenture governing the 4.875% Notes.</w:t>
      </w:r>
    </w:p>
    <w:p>
      <w:pPr>
        <w:spacing w:after="0" w:line="8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investments that constitute the segregated funds are current assets reported as “Restricted investments” in the accompanying consolidated balance sheets. As a result of the 1.625% Exchange described below, approximately $94 million of such investments were transferred to unrestricted current investments in the first quarter of 2018. As of June 30, 2018, the balance of current restricted investments was $80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outstanding $700 million aggregate principal amount of senior notes (5.375% Notes) due November 15, 2022, unless earlier redeemed. Interest on the 5.375% Notes is payable semiannually in arrears on May 15 and November 15. Certain of our wholly owned subsidiaries guarantee our obligations under the 5.375% Notes. Such guarantees mirror those of the Credit Facility. See Note 13, “Supplemental Condensed Consolidating Financial Information,” for more information on the guarantors. The 5.375% Notes contain customary non-financial covenants and change in control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2018, we entered into two separate, privately negotiated note purchase agreements with certain holders of our outstanding 1.125% cash convertible senior notes due January 15, 2020 (1.125% Convertible Notes). In these transactions, we repaid $96 million aggregate principal amount of the 1.125% Convertible Notes, plus accrued interest, for an aggregate cash payment of $228 million. The $132 million difference between the principal amount extinguished and our cash payment represents primarily the settlement of the fair value of the 1.125% Convertible Notes’ embedded cash conversion option feature (which is a derivative liability we refer to as the 1.125% Conversion Option). In addition, we recorded a loss on debt extinguishment of $5 million, primarily relating to the acceleration of the debt discount, which is recorded in “Other expenses (income), net” in the accompanying consolidated statements of operations. No common shares were issued in connection with these transactions.</w:t>
      </w:r>
    </w:p>
    <w:p>
      <w:pPr>
        <w:spacing w:after="0" w:line="20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Also in June 2018, in connection with the 1.125% Notes purchases, we entered into privately negotiated termination agreements with each of the counterparties to partially terminate the Call Spread Overlay, defined and further discussed in Notes 8, “Derivatives,” and 9,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transactions described above, we have outstanding $454 million aggregate principal amount of 1.125% Convertible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is payable semiannually in arrears on January 15 and July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1.125% Convertible Notes are convertible only into cash, and not into shares of our common stock or any other securities.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for the 1.125% Convertible Notes is 24.5277 shares of our common stock per $1,000 principal amount, 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$40.77 per share of our common stock. Upon conversion, in lieu of receiving shares of our common stock, a holder will receive an amount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per $1,000 principal amount of 1.125% Convertible Notes, equal to the settlement amount, determined in the manner set forth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indenture. We may not redeem the 1.125% Convertible Notes prior to the maturity date.</w:t>
      </w:r>
    </w:p>
    <w:p>
      <w:pPr>
        <w:spacing w:after="0" w:line="11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stock price trigger for the 1.125% Convertible Notes is $53.00 per share. The 1.125% Convertible Notes met this trigger in the quarter ended June 30, 2018; therefore, they are convertible into cash and are reported in current portion of long-term debt as of June 30, 2018.</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1.125% Conversion Option was separated from the 1.125% Convertible Notes and accounted for separately as a derivative liability, with changes in fair value reported in our consolidated statements of operations until the 1.125% Conversion Option settles or expires. The effective interest rate approximating what we would have incurred had nonconvertible debt with otherwise similar terms been issued is approximately 6%. As of June 30,</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2018, the 1.125% Convertible Notes had a remaining amortization period of 1.5 years. The 1.125% Convertible Notes’ if-converted value exceeded their principal amount by approximately $503 million and $406 million as of June 30, 2018 and December 31, 2017,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Convertible Senior Notes due 2044</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2018, we entered into separate, privately negotiated, synthetic exchange agreements (1.625% Exchange) with certain holders of our outstanding 1.625% convertible senior notes due 2044 (1.625% Convertible Notes). In this transaction, we exchanged $97 million aggregate principal amount and accrued interest for 1.8 million shares of our common stock. We recorded a loss on debt extinguishment, including transaction fees, of $10 million for the transaction, primarily relating to the inducement premium paid to the bondholders, which is recorded in “Other expenses (income), net” in the accompanying consolidated statements of operations. We did not receive any proceeds from the 1.625% Exchange.</w:t>
      </w:r>
    </w:p>
    <w:p>
      <w:pPr>
        <w:spacing w:after="0" w:line="10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On July 11, 2018, we announced notice of our election to redeem the remaining $64 million aggregate principal amount of the 1.625% Convertible Notes on August 20, 2018 (the Redemption Date). Pursuant to the terms of the indenture, the 1.625% Convertible Notes will be redeemed for cash equal to 100% of the principal amount plus accrued and unpaid interest to, but excluding the Redemption Date (the Redemption Price).</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Also pursuant to the indenture, the 1.625% Convertible Notes may be converted until August 17, 2018, at a conversion rate of 17.2157 shares of our common stock per $1,000 principal amount, or approximately $58.09 per share of our common stock. Upon conversion, we will pay cash for the principal and, if applicable, deliver shares of our common stock to the converting holders in an amount per $1,000 principal amount equal to the settlement amount (as defined in the related indenture). After August 17, 2018, holders will be entitled only to the Redemption Price.</w:t>
      </w:r>
    </w:p>
    <w:p>
      <w:pPr>
        <w:spacing w:after="0" w:line="9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Because the 1.625% Convertible Notes are convertible within 12 months, they are reported in current portion of long-term debt as of June 30, 2018.</w:t>
      </w:r>
    </w:p>
    <w:p>
      <w:pPr>
        <w:spacing w:after="0" w:line="8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From the issuance date in 2014, the expected life of the 1.625% Convertible Notes has been approximately four years, ending on the first date we may redeem the 1.625% Convertible Notes in August 2018. As of June 30, 2018, the 1.625% Convertible Notes had a remaining amortization period of 0.1 years. The effective interest rate approximating what we would have incurred had nonconvertible debt with otherwise similar terms been issued is approximately 5%. The outstanding 1.625% Convertible Notes’ if-converted value exceeded their principal amount at June 30, 2018 and December 31, 2017 by approximately $39 million and $50 million, respectively. At June 30, 2018 and December</w:t>
      </w:r>
    </w:p>
    <w:p>
      <w:pPr>
        <w:spacing w:after="0" w:line="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31, 2017, the equity component of the 1.625% Convertible Notes, including the impact of deferred taxes, was $5 million and $12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indentures governing the 4.875% Notes, the 5.375% Notes, the 1.125% Convertible Notes and the 1.625% Convertible Notes contain cross-default provisions that are triggered upon default by us or any of our subsidiaries on any indebtedness in excess of the amount specified in the applicable indenture.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8. Derivatives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120" w:type="dxa"/>
            <w:vAlign w:val="bottom"/>
          </w:tcPr>
          <w:p>
            <w:pPr>
              <w:spacing w:after="0"/>
              <w:rPr>
                <w:sz w:val="17"/>
                <w:szCs w:val="17"/>
                <w:color w:val="auto"/>
              </w:rPr>
            </w:pPr>
          </w:p>
        </w:tc>
        <w:tc>
          <w:tcPr>
            <w:tcW w:w="4240" w:type="dxa"/>
            <w:vAlign w:val="bottom"/>
            <w:gridSpan w:val="2"/>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jc w:val="right"/>
              <w:ind w:right="83"/>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64"/>
        </w:trPr>
        <w:tc>
          <w:tcPr>
            <w:tcW w:w="4120" w:type="dxa"/>
            <w:vAlign w:val="bottom"/>
          </w:tcPr>
          <w:p>
            <w:pPr>
              <w:spacing w:after="0"/>
              <w:rPr>
                <w:sz w:val="22"/>
                <w:szCs w:val="22"/>
                <w:color w:val="auto"/>
              </w:rPr>
            </w:pPr>
          </w:p>
        </w:tc>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asset:</w:t>
            </w: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9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1.125% Call Option</w:t>
            </w:r>
          </w:p>
        </w:tc>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Current assets: Derivative asset</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522</w:t>
            </w: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liability:</w:t>
            </w:r>
          </w:p>
        </w:tc>
        <w:tc>
          <w:tcPr>
            <w:tcW w:w="4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4"/>
        </w:trPr>
        <w:tc>
          <w:tcPr>
            <w:tcW w:w="4120" w:type="dxa"/>
            <w:vAlign w:val="bottom"/>
          </w:tcPr>
          <w:p>
            <w:pPr>
              <w:ind w:left="380"/>
              <w:spacing w:after="0"/>
              <w:rPr>
                <w:sz w:val="20"/>
                <w:szCs w:val="20"/>
                <w:color w:val="auto"/>
              </w:rPr>
            </w:pPr>
            <w:r>
              <w:rPr>
                <w:rFonts w:ascii="Arial" w:cs="Arial" w:eastAsia="Arial" w:hAnsi="Arial"/>
                <w:sz w:val="16"/>
                <w:szCs w:val="16"/>
                <w:color w:val="auto"/>
              </w:rPr>
              <w:t>1.125% Conversion Option</w:t>
            </w:r>
          </w:p>
        </w:tc>
        <w:tc>
          <w:tcPr>
            <w:tcW w:w="4240" w:type="dxa"/>
            <w:vAlign w:val="bottom"/>
            <w:gridSpan w:val="2"/>
          </w:tcPr>
          <w:p>
            <w:pPr>
              <w:ind w:left="40"/>
              <w:spacing w:after="0"/>
              <w:rPr>
                <w:sz w:val="20"/>
                <w:szCs w:val="20"/>
                <w:color w:val="auto"/>
              </w:rPr>
            </w:pPr>
            <w:r>
              <w:rPr>
                <w:rFonts w:ascii="Arial" w:cs="Arial" w:eastAsia="Arial" w:hAnsi="Arial"/>
                <w:sz w:val="16"/>
                <w:szCs w:val="16"/>
                <w:color w:val="auto"/>
              </w:rPr>
              <w:t>Current liabilities: Derivative liability</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522</w:t>
            </w:r>
          </w:p>
        </w:tc>
      </w:tr>
      <w:tr>
        <w:trPr>
          <w:trHeight w:val="20"/>
        </w:trPr>
        <w:tc>
          <w:tcPr>
            <w:tcW w:w="4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operations, and reported in “Other expenses (income), net.” Gains and losses for our derivative financial instruments are presented individually in the accompanying consolidated statements of cash flows, “Supplemental cash flow information.”</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 xml:space="preserve">1.125% Notes Call Spread Overlay. </w:t>
      </w:r>
      <w:r>
        <w:rPr>
          <w:rFonts w:ascii="Arial" w:cs="Arial" w:eastAsia="Arial" w:hAnsi="Arial"/>
          <w:sz w:val="17"/>
          <w:szCs w:val="17"/>
          <w:color w:val="auto"/>
        </w:rPr>
        <w:t>Concurrent with the issuance of the 1.125% Convertible Notes in 2013, we entered into privately</w:t>
      </w:r>
      <w:r>
        <w:rPr>
          <w:rFonts w:ascii="Arial" w:cs="Arial" w:eastAsia="Arial" w:hAnsi="Arial"/>
          <w:sz w:val="17"/>
          <w:szCs w:val="17"/>
          <w:i w:val="1"/>
          <w:iCs w:val="1"/>
          <w:color w:val="auto"/>
        </w:rPr>
        <w:t xml:space="preserve"> </w:t>
      </w:r>
      <w:r>
        <w:rPr>
          <w:rFonts w:ascii="Arial" w:cs="Arial" w:eastAsia="Arial" w:hAnsi="Arial"/>
          <w:sz w:val="17"/>
          <w:szCs w:val="17"/>
          <w:color w:val="auto"/>
        </w:rPr>
        <w:t>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w:t>
      </w:r>
    </w:p>
    <w:p>
      <w:pPr>
        <w:spacing w:after="0" w:line="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2018, in connection with the 1.125% Convertible Notes purchases (described in Note 7, “Debt”), we entered into privately negotiated termination agreements with each of the Counterparties to partially terminate the Call Spread Overlay, in notional amounts corresponding to the aggregate principal amount of the 1.125% Convertible Notes purchased. This resulted in our receipt of $134 million for the settlement of the 1.125% Call Option (which is a derivative asset), and the payment of $113 million for the partial termination of the 1.125% Warrants, for an aggregate net cash receipt of $21 million from the Counterparties.</w:t>
      </w:r>
    </w:p>
    <w:p>
      <w:pPr>
        <w:spacing w:after="0" w:line="24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23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Convertible Notes is accounted for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with changes in fair value reported in our consolidated statements of operations until the cash conversion option settles or expires. For further discussion of the inputs used to determine the fair value of the 1.125% Conversion Option, refer to Note 4, “Fair Value Measurements.”</w:t>
      </w:r>
    </w:p>
    <w:p>
      <w:pPr>
        <w:spacing w:after="0" w:line="9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June 30, 2018, the 1.125% Call Option and the 1.125% Conversion Option were classified as a current asset and current liability, respectively, because the 1.125% Convertible Notes may be converted within twelve months of June 30, 2018, as described in Note 7, “Debt.”</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Exchange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7, “Debt,” we issued 1.8 million shares of our common stock in connection with the 1.625% Exchange in March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13.5 million warrants with a strike price of $53.8475 per share. Under certain circumstances, beginning in April 2020, if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Income (Loss) per Share,” for dilution information for the periods presented. We will not receive any additional proceeds if the 1.125% Warrants are exercised.</w:t>
      </w:r>
    </w:p>
    <w:p>
      <w:pPr>
        <w:spacing w:after="0" w:line="10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As described in Note 8, “Derivatives,” in June 2018, we entered into privately negotiated termination agreements with each of the Counterparties to partially terminate the Call Spread Overlay, in notional amounts corresponding to the aggregate principal amount of the</w:t>
      </w:r>
    </w:p>
    <w:p>
      <w:pPr>
        <w:spacing w:after="0" w:line="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1.125% Convertible Notes purchased. We paid $113 million to the Counterparties for the termination of 2.4 million of the 1.125% Warrants outstanding, which resulted in a reduction of additional paid-in capital for the same amount. Following this transaction, 11.1 million of the 1.125% Warrants remain outstanding.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connection with our equity incentive plans and employee stock purchase plan, approximately 276,000 shares of common stock vested or were purchased, net of shares used to settle employees’ income tax obligations, during the six months ended June 30, 2018.</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record share-based compensation as “General and administrative expenses” in the accompanying consolidated statements of operations. As of June 30, 2018, there was $46 million of total unrecognized compensation expense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related to unvested restricted stock awards (RSAs), performance stock awards (PSAs), and performance stock units (PSUs), which we expect to recognize over a remaining weighted-average period of 3.1 years, 0.7 years and 2.6 years, respectively. This unrecognized compensation cost assumes an estimated forfeiture rate of 10.8% for non-executive employees as of June 30, 2018.</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as of June 30, 2018, there was $12 million of total unrecognized compensation expense related to unvested stock options, which we expect to recognize over a weighted-average period of 2.3 years. No stock options were granted or exercised in the six months ended June 30,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PSAs and PSUs, for the six months ended June 30, 2018,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54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Performance Stock</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35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2017</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401,804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84,762</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91,828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578,394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58.35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346,491</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211,969</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558,460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73.43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(183,595)</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57.04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(124,690)</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(101,320)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63.38</w:t>
            </w:r>
          </w:p>
        </w:tc>
      </w:tr>
      <w:tr>
        <w:trPr>
          <w:trHeight w:val="24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balance, June 30,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440,010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3,132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202,477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645,619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69.69</w:t>
            </w: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PSAs and PSUs granted and vested are presented in the following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14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units</w:t>
            </w:r>
          </w:p>
        </w:tc>
        <w:tc>
          <w:tcPr>
            <w:tcW w:w="1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77"/>
        </w:trPr>
        <w:tc>
          <w:tcPr>
            <w:tcW w:w="8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14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8120" w:type="dxa"/>
            <w:vAlign w:val="bottom"/>
          </w:tcPr>
          <w:p>
            <w:pPr>
              <w:ind w:left="180"/>
              <w:spacing w:after="0"/>
              <w:rPr>
                <w:sz w:val="20"/>
                <w:szCs w:val="20"/>
                <w:color w:val="auto"/>
              </w:rPr>
            </w:pPr>
            <w:r>
              <w:rPr>
                <w:rFonts w:ascii="Arial" w:cs="Arial" w:eastAsia="Arial" w:hAnsi="Arial"/>
                <w:sz w:val="16"/>
                <w:szCs w:val="16"/>
                <w:color w:val="auto"/>
              </w:rPr>
              <w:t>Performance stock units</w:t>
            </w:r>
          </w:p>
        </w:tc>
        <w:tc>
          <w:tcPr>
            <w:tcW w:w="11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8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828282"/>
        </w:rPr>
        <w:t>10. Restructuring and Separation Costs</w:t>
      </w:r>
    </w:p>
    <w:p>
      <w:pPr>
        <w:spacing w:after="0" w:line="22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Following a management-initiated, broad operational assessment in early 2017, our board of directors approved, and we committed to, a comprehensive restructuring and profitability improvement plan in June 2017 (the 2017 Restructuring Plan). Key activities under this plan to date have included:</w:t>
      </w:r>
    </w:p>
    <w:p>
      <w:pPr>
        <w:spacing w:after="0" w:line="202" w:lineRule="exact"/>
        <w:rPr>
          <w:sz w:val="20"/>
          <w:szCs w:val="20"/>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Streamlining of our organizational structure to eliminate redundant layers of management, consolidate regional support services, and other staff reductions to improve efficiency and the speed and quality of decision making;</w:t>
      </w:r>
    </w:p>
    <w:p>
      <w:pPr>
        <w:spacing w:after="0" w:line="196"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 of core operating processes such as provider payment, utilization management, quality monitoring and improvement, and information technology, to achieve more effective and cost-efficient outcomes;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Remediation of high-cost provider contracts and enhancement of high quality, cost-effective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including selective exits, of direct delivery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Partnering with the lowest-cost, most effective vendors.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our 2017 Annual Report on Form 10-K, we reported that we had incurred substantially all of the costs associated with the 2017 Restructuring Plan in 2017, amounting to $234 million. In the first half of 2018, we incurred an</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 $33 million in such costs, primarily as a result of our further evaluation and write-off of a utilization and care management project terminated because of its inconsistency with the goals of the 2017 Restructuring Plan. We also recorded nominal amounts for one-time termination benefits, true-ups of certain lease contract termination costs, and consulting fees recorded in 2017. As of June 30, 2018, we had incurred $267 million in total costs under the 2017 Restructuring Plan; we expect to complete all activities under the 2017 Restructuring Plan in 2018, with the exception of the cash settlement of lease termination liabilities. We expect to continue to settle those liabilities through 2025, unless the leases are terminated sooner.</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Restructuring and separation costs are reported by the same name in the accompanying consolidated statements of operations. The following tables present the major types of such costs by segment. Current and long-lived assets include current and non-current capitalized project costs, and capitalized software determined to be unrecoverable.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10"/>
          </w:tcPr>
          <w:p>
            <w:pPr>
              <w:jc w:val="center"/>
              <w:ind w:left="64"/>
              <w:spacing w:after="0"/>
              <w:rPr>
                <w:sz w:val="20"/>
                <w:szCs w:val="20"/>
                <w:color w:val="auto"/>
              </w:rPr>
            </w:pPr>
            <w:r>
              <w:rPr>
                <w:rFonts w:ascii="Arial" w:cs="Arial" w:eastAsia="Arial" w:hAnsi="Arial"/>
                <w:sz w:val="14"/>
                <w:szCs w:val="14"/>
                <w:b w:val="1"/>
                <w:bCs w:val="1"/>
                <w:color w:val="auto"/>
              </w:rPr>
              <w:t>Three Months Ended June 30, 2018</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64"/>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12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One-Time</w:t>
            </w:r>
          </w:p>
        </w:tc>
        <w:tc>
          <w:tcPr>
            <w:tcW w:w="180" w:type="dxa"/>
            <w:vAlign w:val="bottom"/>
          </w:tcPr>
          <w:p>
            <w:pPr>
              <w:spacing w:after="0"/>
              <w:rPr>
                <w:sz w:val="15"/>
                <w:szCs w:val="15"/>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Termination</w:t>
            </w: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2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shd w:val="clear" w:color="auto" w:fill="CCEEFF"/>
          </w:tcPr>
          <w:p>
            <w:pPr>
              <w:spacing w:after="0"/>
              <w:rPr>
                <w:sz w:val="23"/>
                <w:szCs w:val="23"/>
                <w:color w:val="auto"/>
              </w:rPr>
            </w:pPr>
          </w:p>
        </w:tc>
      </w:tr>
      <w:tr>
        <w:trPr>
          <w:trHeight w:val="237"/>
        </w:trPr>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0"/>
          </w:tcPr>
          <w:p>
            <w:pPr>
              <w:jc w:val="center"/>
              <w:ind w:left="84"/>
              <w:spacing w:after="0"/>
              <w:rPr>
                <w:sz w:val="20"/>
                <w:szCs w:val="20"/>
                <w:color w:val="auto"/>
              </w:rPr>
            </w:pPr>
            <w:r>
              <w:rPr>
                <w:rFonts w:ascii="Arial" w:cs="Arial" w:eastAsia="Arial" w:hAnsi="Arial"/>
                <w:sz w:val="14"/>
                <w:szCs w:val="14"/>
                <w:b w:val="1"/>
                <w:bCs w:val="1"/>
                <w:color w:val="auto"/>
              </w:rPr>
              <w:t>Six Months Ended June 30, 2018</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12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One-Time</w:t>
            </w:r>
          </w:p>
        </w:tc>
        <w:tc>
          <w:tcPr>
            <w:tcW w:w="180" w:type="dxa"/>
            <w:vAlign w:val="bottom"/>
          </w:tcPr>
          <w:p>
            <w:pPr>
              <w:spacing w:after="0"/>
              <w:rPr>
                <w:sz w:val="15"/>
                <w:szCs w:val="15"/>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Termination</w:t>
            </w: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2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4"/>
                <w:szCs w:val="24"/>
                <w:color w:val="auto"/>
              </w:rPr>
            </w:pP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22"/>
                <w:szCs w:val="22"/>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15"/>
          </w:tcPr>
          <w:p>
            <w:pPr>
              <w:jc w:val="center"/>
              <w:ind w:left="64"/>
              <w:spacing w:after="0"/>
              <w:rPr>
                <w:sz w:val="20"/>
                <w:szCs w:val="20"/>
                <w:color w:val="auto"/>
              </w:rPr>
            </w:pPr>
            <w:r>
              <w:rPr>
                <w:rFonts w:ascii="Arial" w:cs="Arial" w:eastAsia="Arial" w:hAnsi="Arial"/>
                <w:sz w:val="14"/>
                <w:szCs w:val="14"/>
                <w:b w:val="1"/>
                <w:bCs w:val="1"/>
                <w:color w:val="auto"/>
              </w:rPr>
              <w:t>Three Months and Six Months Ended June 30, 2017</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12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One-Time</w:t>
            </w:r>
          </w:p>
        </w:tc>
        <w:tc>
          <w:tcPr>
            <w:tcW w:w="180" w:type="dxa"/>
            <w:vAlign w:val="bottom"/>
          </w:tcPr>
          <w:p>
            <w:pPr>
              <w:spacing w:after="0"/>
              <w:rPr>
                <w:sz w:val="15"/>
                <w:szCs w:val="15"/>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Separation Costs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Termination</w:t>
            </w: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Former Executives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2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gridSpan w:val="2"/>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shd w:val="clear" w:color="auto" w:fill="CCEEFF"/>
          </w:tcPr>
          <w:p>
            <w:pPr>
              <w:spacing w:after="0"/>
              <w:rPr>
                <w:sz w:val="23"/>
                <w:szCs w:val="23"/>
                <w:color w:val="auto"/>
              </w:rPr>
            </w:pPr>
          </w:p>
        </w:tc>
      </w:tr>
      <w:tr>
        <w:trPr>
          <w:trHeight w:val="237"/>
        </w:trPr>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5"/>
          </w:tcPr>
          <w:p>
            <w:pPr>
              <w:jc w:val="right"/>
              <w:spacing w:after="0"/>
              <w:rPr>
                <w:sz w:val="20"/>
                <w:szCs w:val="20"/>
                <w:color w:val="auto"/>
              </w:rPr>
            </w:pPr>
            <w:r>
              <w:rPr>
                <w:rFonts w:ascii="Arial" w:cs="Arial" w:eastAsia="Arial" w:hAnsi="Arial"/>
                <w:sz w:val="16"/>
                <w:szCs w:val="16"/>
                <w:color w:val="auto"/>
              </w:rPr>
              <w:t>—   $</w:t>
            </w:r>
          </w:p>
        </w:tc>
        <w:tc>
          <w:tcPr>
            <w:tcW w:w="1420" w:type="dxa"/>
            <w:vAlign w:val="bottom"/>
            <w:gridSpan w:val="5"/>
          </w:tcPr>
          <w:p>
            <w:pPr>
              <w:jc w:val="right"/>
              <w:spacing w:after="0"/>
              <w:rPr>
                <w:sz w:val="20"/>
                <w:szCs w:val="20"/>
                <w:color w:val="auto"/>
              </w:rPr>
            </w:pPr>
            <w:r>
              <w:rPr>
                <w:rFonts w:ascii="Arial" w:cs="Arial" w:eastAsia="Arial" w:hAnsi="Arial"/>
                <w:sz w:val="16"/>
                <w:szCs w:val="16"/>
                <w:color w:val="auto"/>
              </w:rPr>
              <w:t>—   $</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6"/>
                <w:szCs w:val="16"/>
                <w:color w:val="auto"/>
              </w:rPr>
              <w:t>—   $</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9600" w:type="dxa"/>
            <w:vAlign w:val="bottom"/>
            <w:gridSpan w:val="22"/>
          </w:tcPr>
          <w:p>
            <w:pPr>
              <w:spacing w:after="0"/>
              <w:rPr>
                <w:sz w:val="20"/>
                <w:szCs w:val="20"/>
                <w:color w:val="auto"/>
              </w:rPr>
            </w:pPr>
            <w:r>
              <w:rPr>
                <w:rFonts w:ascii="Arial" w:cs="Arial" w:eastAsia="Arial" w:hAnsi="Arial"/>
                <w:sz w:val="18"/>
                <w:szCs w:val="18"/>
                <w:color w:val="auto"/>
              </w:rPr>
              <w:t>As of June 30, 2018, we had incurred cumulative restructuring costs under the 2017 Restructuring Plan as follows: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0"/>
          </w:tcPr>
          <w:p>
            <w:pPr>
              <w:jc w:val="center"/>
              <w:ind w:left="6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One-Time</w:t>
            </w:r>
          </w:p>
        </w:tc>
        <w:tc>
          <w:tcPr>
            <w:tcW w:w="180" w:type="dxa"/>
            <w:vAlign w:val="bottom"/>
          </w:tcPr>
          <w:p>
            <w:pPr>
              <w:spacing w:after="0"/>
              <w:rPr>
                <w:sz w:val="15"/>
                <w:szCs w:val="15"/>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Separation Costs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9"/>
              </w:rPr>
              <w:t>Termination</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Former Executives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7"/>
                <w:szCs w:val="17"/>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lived Assets</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50"/>
        </w:trPr>
        <w:tc>
          <w:tcPr>
            <w:tcW w:w="26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4"/>
                <w:szCs w:val="24"/>
                <w:color w:val="auto"/>
              </w:rPr>
            </w:pPr>
          </w:p>
        </w:tc>
      </w:tr>
      <w:tr>
        <w:trPr>
          <w:trHeight w:val="26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Molina Medicaid Solutions</w:t>
            </w:r>
          </w:p>
        </w:tc>
        <w:tc>
          <w:tcPr>
            <w:tcW w:w="6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r>
      <w:tr>
        <w:trPr>
          <w:trHeight w:val="273"/>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23"/>
                <w:szCs w:val="23"/>
                <w:color w:val="auto"/>
              </w:rPr>
            </w:pPr>
          </w:p>
        </w:tc>
      </w:tr>
      <w:tr>
        <w:trPr>
          <w:trHeight w:val="264"/>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ind w:right="42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2"/>
                <w:szCs w:val="22"/>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2"/>
                <w:szCs w:val="22"/>
                <w:color w:val="auto"/>
              </w:rPr>
            </w:pPr>
          </w:p>
        </w:tc>
        <w:tc>
          <w:tcPr>
            <w:tcW w:w="1120" w:type="dxa"/>
            <w:vAlign w:val="bottom"/>
            <w:gridSpan w:val="3"/>
          </w:tcPr>
          <w:p>
            <w:pPr>
              <w:jc w:val="right"/>
              <w:ind w:right="845"/>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22"/>
                <w:szCs w:val="22"/>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Liability</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those restructuring and separation costs that require cash settlement (primarily separation costs, one-time termination benefits, consulting fees and contract termination costs), the following table presents a roll-forward of</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accrued liability, which is reported in “Accounts payable and accrued liabilities” in the accompanying consolidated balance sheets. The adjustments are due to true-ups of costs recorded in 2017.</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One-Time</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Separation Costs -</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Termination</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Other Restructuring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Former Executives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Benefits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payments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828282"/>
        </w:rPr>
        <w:t>11. Segments</w:t>
      </w:r>
    </w:p>
    <w:p>
      <w:pPr>
        <w:spacing w:after="0" w:line="11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have three reportable segments. These segments consist of our Health Plans segment, which constitutes the vast majority of our operations; our Molina Medicaid Solutions segment; and our Other segment. Our reportable segments are consistent with how we currently manage the business and view the markets we serve.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Molina Medicaid Solutions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late 2017, as part of the 2017 Restructuring Plan, management decided to pursue the divestiture of MMS.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June 2018, we entered into a definitive agreement to sell Molina Medicaid Solutions (MMS) to DXC Technology Company. The divestiture, expected to close in the third quarter of 2018, is subject to the satisfaction of customary closing conditions and the receipt of certain third party consents and regulatory approvals. We expect the net cash selling price for the equity interests of MMS to approximate $220 million after certain adjustments.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Molina Medicaid Solutions’ major classes of assets and liabilities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33"/>
        </w:trPr>
        <w:tc>
          <w:tcPr>
            <w:tcW w:w="9820" w:type="dxa"/>
            <w:vAlign w:val="bottom"/>
          </w:tcPr>
          <w:p>
            <w:pPr>
              <w:ind w:left="40"/>
              <w:spacing w:after="0"/>
              <w:rPr>
                <w:sz w:val="20"/>
                <w:szCs w:val="20"/>
                <w:color w:val="auto"/>
              </w:rPr>
            </w:pPr>
            <w:r>
              <w:rPr>
                <w:rFonts w:ascii="Arial" w:cs="Arial" w:eastAsia="Arial" w:hAnsi="Arial"/>
                <w:sz w:val="16"/>
                <w:szCs w:val="16"/>
                <w:color w:val="auto"/>
              </w:rPr>
              <w:t>Receivables and prepaid expenses</w:t>
            </w: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253"/>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property, equipment, and capitalized software, net</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3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contract costs and other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r>
      <w:tr>
        <w:trPr>
          <w:trHeight w:val="24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 held for sale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8"/>
        </w:trPr>
        <w:tc>
          <w:tcPr>
            <w:tcW w:w="9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accrued and other liabilities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w:t>
            </w:r>
          </w:p>
        </w:tc>
      </w:tr>
      <w:tr>
        <w:trPr>
          <w:trHeight w:val="24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held for sale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Earnings Measures for Reportable Segments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Gross 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Medical margin represents the amount earned by the Health Plans segment after medical care costs are deducted from premium revenue. The medical care ratio represents medical care costs as a percentage of premium revenue, and is one of the key metrics used to assess the performance of the Health Plans segment. Therefore, the underlying medical margin is the most important measure of earnings reviewed by the chief operating decision maker. The service margin is equal to service revenue minus cost of service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7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620" w:type="dxa"/>
            <w:vAlign w:val="bottom"/>
          </w:tcPr>
          <w:p>
            <w:pPr>
              <w:spacing w:after="0"/>
              <w:rPr>
                <w:sz w:val="22"/>
                <w:szCs w:val="22"/>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4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620" w:type="dxa"/>
            <w:vAlign w:val="bottom"/>
          </w:tcPr>
          <w:p>
            <w:pPr>
              <w:ind w:left="260"/>
              <w:spacing w:after="0"/>
              <w:rPr>
                <w:sz w:val="20"/>
                <w:szCs w:val="20"/>
                <w:color w:val="auto"/>
              </w:rPr>
            </w:pPr>
            <w:r>
              <w:rPr>
                <w:rFonts w:ascii="Arial" w:cs="Arial" w:eastAsia="Arial" w:hAnsi="Arial"/>
                <w:sz w:val="16"/>
                <w:szCs w:val="16"/>
                <w:color w:val="auto"/>
              </w:rPr>
              <w:t>Health Plans</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4,752</w:t>
            </w:r>
          </w:p>
        </w:tc>
        <w:tc>
          <w:tcPr>
            <w:tcW w:w="120" w:type="dxa"/>
            <w:vAlign w:val="bottom"/>
          </w:tcPr>
          <w:p>
            <w:pPr>
              <w:spacing w:after="0"/>
              <w:rPr>
                <w:sz w:val="22"/>
                <w:szCs w:val="22"/>
                <w:color w:val="auto"/>
              </w:rPr>
            </w:pP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9,261</w:t>
            </w:r>
          </w:p>
        </w:tc>
        <w:tc>
          <w:tcPr>
            <w:tcW w:w="1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9,639</w:t>
            </w:r>
          </w:p>
        </w:tc>
      </w:tr>
      <w:tr>
        <w:trPr>
          <w:trHeight w:val="280"/>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Molina Medicaid Solutions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r>
      <w:tr>
        <w:trPr>
          <w:trHeight w:val="264"/>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171</w:t>
            </w:r>
          </w:p>
        </w:tc>
      </w:tr>
      <w:tr>
        <w:trPr>
          <w:trHeight w:val="24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Consolidated</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4,999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9,529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9,903</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gross margin by segment to consolidated income (loss)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7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2"/>
                <w:szCs w:val="22"/>
                <w:color w:val="auto"/>
              </w:rPr>
            </w:pP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Molina Medicaid Solutions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gross margin</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40"/>
        </w:trPr>
        <w:tc>
          <w:tcPr>
            <w:tcW w:w="470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(income), net</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113" w:lineRule="exact"/>
        <w:rPr>
          <w:rFonts w:ascii="Arial" w:cs="Arial" w:eastAsia="Arial" w:hAnsi="Arial"/>
          <w:sz w:val="16"/>
          <w:szCs w:val="16"/>
          <w:color w:val="auto"/>
        </w:rPr>
      </w:pPr>
    </w:p>
    <w:p>
      <w:pPr>
        <w:ind w:left="340" w:right="58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impairment losses, and restructuring and separation costs.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828282"/>
        </w:rPr>
        <w:t>12.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Risk Adjustment Program</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July 7, 2018, the Centers for Medicare and Medicaid Services (CMS) announced that a February 28, 2018 ruling in the U.S. District Court for the District of New Mexico prevents CMS from making further collections or payments under the risk adjustment program, including amounts for the 2017 benefit year, until the litigation is resolved. In light of a contrary decision by the U.S. District Court for the District of Massachusetts, the government moved the New Mexico district court to reconsider its decision, and CMS is currently awaiting the court’s ruling. On July 30, 2018, CMS published in the Federal Register the final rule that reissues, with additional policy explanation, the risk adjustment methodology that CMS had previously established. Due to the reissuance of the rule, the risk adjustment program for the 2017 benefit year will proceed, with solely a one-month delay — from August 2018 to September 2018 — in collection settlement.</w:t>
      </w:r>
    </w:p>
    <w:p>
      <w:pPr>
        <w:spacing w:after="0" w:line="9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reported in Note 2, “Significant Accounting Policies,” our Marketplace risk adjustment payable amounted to $1,159 million as of June 30, 2018, and is reported in “Amounts due government agencies” in the accompanying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Medicaid Expansion Risk Corridor</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the second quarter of 2018, California health plans participating in the Medicaid Expansion program received unofficial and unverified information that CMS did not approve premium rates for the state fiscal year ended June 30, 2017. It is our understanding that, as a condition of approving the rates, CMS may require the application of a risk corridor similar to the risk corridor that was in effect for periods prior to July 2016. The risk corridor for that prior period applied a minimum medical loss ratio (MLR) of 85% and a maximum MLR of 95%. It is our understanding that the state of California is currently evaluating what actions it will take, if any, with respect to the 2016-2017 rates</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27</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risk corridor issue. The potential impact of retroactively reinstating a minimum MLR requirement, if effected, would be a reduction to premium revenue relating to 2016 and 2017. Such an adjustment for these prior periods, if effected, could have a material adverse effect on our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health plans are subject to state laws and regulations that, among other things, require the maintenance of minimum levels of statutory capital, as defined by each state. Regulators in some states may also attempt to enforce capital requirements that require the retention of net worth in excess of amounts formally required by statute or regulation. Such 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(after intercompany eliminations) which may not be transferable to us in the form of loans, advances, or cash dividends was approximately $2,008 million at June 30, 2018, and $1,691 million at December 31, 2017.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approximately $350 million and $696 million as of June 30, 2018 and December 31, 2017, respectively.</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June 30, 2018, our health plans had aggregate statutory capital and surplus of approximately $2,152 million compared with the required minimum aggregate statutory capital and surplus of approximately $1,180 million. All of our health plans were in compliance with the minimum capital requirements at June 30, 2018. We have the ability, and have committed to provide, additional capital to each of our health plans as necessary to ensure compliance with statutory capital and surplus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health 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or factual development to enable us to reasonably estimate a range of possible loss. An adverse determination in one or more of these pending matters could have a material adverse effect on our consolidated financial position, results of operations, or cash flows.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Steamfitters Local 449 Pension Plan v. Molina Healthcare, Inc, et al. </w:t>
      </w:r>
      <w:r>
        <w:rPr>
          <w:rFonts w:ascii="Arial" w:cs="Arial" w:eastAsia="Arial" w:hAnsi="Arial"/>
          <w:sz w:val="18"/>
          <w:szCs w:val="18"/>
          <w:color w:val="auto"/>
        </w:rPr>
        <w:t>On April 27, 2018, the Steamfitters Local 449 Pension Plan filed a class</w:t>
      </w:r>
      <w:r>
        <w:rPr>
          <w:rFonts w:ascii="Arial" w:cs="Arial" w:eastAsia="Arial" w:hAnsi="Arial"/>
          <w:sz w:val="18"/>
          <w:szCs w:val="18"/>
          <w:i w:val="1"/>
          <w:iCs w:val="1"/>
          <w:color w:val="auto"/>
        </w:rPr>
        <w:t xml:space="preserve"> </w:t>
      </w:r>
      <w:r>
        <w:rPr>
          <w:rFonts w:ascii="Arial" w:cs="Arial" w:eastAsia="Arial" w:hAnsi="Arial"/>
          <w:sz w:val="18"/>
          <w:szCs w:val="18"/>
          <w:color w:val="auto"/>
        </w:rPr>
        <w:t>action securities complaint in the Central District Court of California against the Company and its former executive officers, J. Mario Molina, John C. Molina, Terry P. Bayer, and Rick Hopfer, Case 2:18-cv-03579. The complaint purports to seek recovery on behalf of all persons or entities who purchased Molina common stock between October 31, 2014, and August 2, 2017, for alleged violations under Sections 10(b) and 20(a) of the Securities Exchange Act and Rule 10b-5 promulgated thereunder. The plaintiff alleges the defendants misled investors regarding the scalability of the Company’s administrative infrastructure during the identified class period. The Company believes it has meritorious defenses to the alleged claims and intends to defend the matter vigorously.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Children’s Health Insurance Program (CHIP) programs. The states and Commonwealth in which we operate our health plans regularly face significant budgetary pressures.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13. Supplemental Condensed Consolidating Financial Information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discussed in Note 7, “Debt,” we have outstanding $700 million aggregate principal amount of 5.375% Notes due November 15, 2022, unless earlier redeemed. The 5.375% Notes were registered in September 2016, and are fully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and unconditionally guaranteed by certain of our wholly owned subsidiaries on a joint and several basis, with exceptions considered customary for such guarantees.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all periods presented, the following condensed consolidating financial statements present Molina Healthcare, Inc. (as “Parent Guarantor”), the subsidiary guarantors (as “Other Guarantors”), the subsidiary non-guarantors (as “Non-Guarantors”) and “Eliminations”, according to the guarantor structure as assessed as of and for the six months ended June 30,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6"/>
                <w:szCs w:val="16"/>
                <w:b w:val="1"/>
                <w:bCs w:val="1"/>
                <w:color w:val="auto"/>
              </w:rPr>
              <w:t>Three Months Ended June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4,883</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3,850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4,541</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net earnings</w:t>
            </w: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(losses) of subsidiaries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6"/>
                <w:szCs w:val="16"/>
                <w:b w:val="1"/>
                <w:bCs w:val="1"/>
                <w:color w:val="auto"/>
              </w:rPr>
              <w:t>Three Months Ended June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gain, net of tax</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4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6"/>
                <w:szCs w:val="16"/>
                <w:b w:val="1"/>
                <w:bCs w:val="1"/>
                <w:color w:val="auto"/>
              </w:rPr>
              <w:t>Three Months Ended June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4,999</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bl>
    <w:p>
      <w:pPr>
        <w:spacing w:after="0" w:line="29" w:lineRule="exact"/>
        <w:rPr>
          <w:sz w:val="20"/>
          <w:szCs w:val="20"/>
          <w:color w:val="auto"/>
        </w:rPr>
      </w:pPr>
    </w:p>
    <w:p>
      <w:pPr>
        <w:sectPr>
          <w:pgSz w:w="11900" w:h="16838" w:orient="portrait"/>
          <w:cols w:equalWidth="0" w:num="1">
            <w:col w:w="11420"/>
          </w:cols>
          <w:pgMar w:left="240" w:top="140" w:right="239" w:bottom="1440" w:gutter="0" w:footer="0" w:header="0"/>
        </w:sectPr>
      </w:pPr>
    </w:p>
    <w:p>
      <w:pPr>
        <w:ind w:left="40"/>
        <w:spacing w:after="0"/>
        <w:rPr>
          <w:sz w:val="20"/>
          <w:szCs w:val="20"/>
          <w:color w:val="auto"/>
        </w:rPr>
      </w:pPr>
      <w:r>
        <w:rPr>
          <w:rFonts w:ascii="Arial" w:cs="Arial" w:eastAsia="Arial" w:hAnsi="Arial"/>
          <w:sz w:val="16"/>
          <w:szCs w:val="16"/>
          <w:color w:val="auto"/>
        </w:rPr>
        <w:t>Medical care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service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Premium tax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losses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Restructuring and separation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(loss)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benefit</w:t>
      </w:r>
    </w:p>
    <w:p>
      <w:pPr>
        <w:spacing w:after="0" w:line="86" w:lineRule="exact"/>
        <w:rPr>
          <w:sz w:val="20"/>
          <w:szCs w:val="20"/>
          <w:color w:val="auto"/>
        </w:rPr>
      </w:pPr>
    </w:p>
    <w:p>
      <w:pPr>
        <w:ind w:left="200" w:right="500" w:hanging="161"/>
        <w:spacing w:after="0" w:line="260" w:lineRule="auto"/>
        <w:rPr>
          <w:sz w:val="20"/>
          <w:szCs w:val="20"/>
          <w:color w:val="auto"/>
        </w:rPr>
      </w:pPr>
      <w:r>
        <w:rPr>
          <w:rFonts w:ascii="Arial" w:cs="Arial" w:eastAsia="Arial" w:hAnsi="Arial"/>
          <w:sz w:val="16"/>
          <w:szCs w:val="16"/>
          <w:color w:val="auto"/>
        </w:rPr>
        <w:t>Net (loss) income before equity in net losses of subsidiaries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losses of subsidiaries</w:t>
      </w:r>
    </w:p>
    <w:p>
      <w:pPr>
        <w:spacing w:after="0" w:line="86"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Net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6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4,491</w:t>
            </w:r>
          </w:p>
        </w:tc>
      </w:tr>
      <w:tr>
        <w:trPr>
          <w:trHeight w:val="27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7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258</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27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7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6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7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83"/>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43</w:t>
            </w:r>
          </w:p>
        </w:tc>
        <w:tc>
          <w:tcPr>
            <w:tcW w:w="6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0"/>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329</w:t>
            </w:r>
          </w:p>
        </w:tc>
        <w:tc>
          <w:tcPr>
            <w:tcW w:w="6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5,286</w:t>
            </w:r>
          </w:p>
        </w:tc>
      </w:tr>
      <w:tr>
        <w:trPr>
          <w:trHeight w:val="237"/>
        </w:trPr>
        <w:tc>
          <w:tcPr>
            <w:tcW w:w="56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6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83"/>
        </w:trPr>
        <w:tc>
          <w:tcPr>
            <w:tcW w:w="560" w:type="dxa"/>
            <w:vAlign w:val="bottom"/>
          </w:tcPr>
          <w:p>
            <w:pPr>
              <w:jc w:val="right"/>
              <w:ind w:right="159"/>
              <w:spacing w:after="0"/>
              <w:rPr>
                <w:sz w:val="20"/>
                <w:szCs w:val="20"/>
                <w:color w:val="auto"/>
              </w:rPr>
            </w:pPr>
            <w:r>
              <w:rPr>
                <w:rFonts w:ascii="Arial" w:cs="Arial" w:eastAsia="Arial" w:hAnsi="Arial"/>
                <w:sz w:val="16"/>
                <w:szCs w:val="16"/>
                <w:color w:val="auto"/>
              </w:rPr>
              <w:t>27</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56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6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83"/>
        </w:trPr>
        <w:tc>
          <w:tcPr>
            <w:tcW w:w="56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399"/>
        </w:trPr>
        <w:tc>
          <w:tcPr>
            <w:tcW w:w="56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6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83"/>
        </w:trPr>
        <w:tc>
          <w:tcPr>
            <w:tcW w:w="560" w:type="dxa"/>
            <w:vAlign w:val="bottom"/>
          </w:tcPr>
          <w:p>
            <w:pPr>
              <w:jc w:val="right"/>
              <w:ind w:right="99"/>
              <w:spacing w:after="0"/>
              <w:rPr>
                <w:sz w:val="20"/>
                <w:szCs w:val="20"/>
                <w:color w:val="auto"/>
              </w:rPr>
            </w:pPr>
            <w:r>
              <w:rPr>
                <w:rFonts w:ascii="Arial" w:cs="Arial" w:eastAsia="Arial" w:hAnsi="Arial"/>
                <w:sz w:val="16"/>
                <w:szCs w:val="16"/>
                <w:color w:val="auto"/>
                <w:w w:val="96"/>
              </w:rPr>
              <w:t>(177)</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0" w:type="dxa"/>
            <w:vAlign w:val="bottom"/>
          </w:tcPr>
          <w:p>
            <w:pPr>
              <w:jc w:val="right"/>
              <w:ind w:right="99"/>
              <w:spacing w:after="0"/>
              <w:rPr>
                <w:sz w:val="20"/>
                <w:szCs w:val="20"/>
                <w:color w:val="auto"/>
              </w:rPr>
            </w:pPr>
            <w:r>
              <w:rPr>
                <w:rFonts w:ascii="Arial" w:cs="Arial" w:eastAsia="Arial" w:hAnsi="Arial"/>
                <w:sz w:val="16"/>
                <w:szCs w:val="16"/>
                <w:color w:val="auto"/>
                <w:w w:val="96"/>
              </w:rPr>
              <w:t>(230)</w:t>
            </w: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-2520950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-2177415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-1834515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-1148715</wp:posOffset>
            </wp:positionV>
            <wp:extent cx="7246620" cy="1149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1493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-1491615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800"/>
          </w:cols>
          <w:pgMar w:left="240" w:top="140" w:right="2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6"/>
                <w:szCs w:val="16"/>
                <w:b w:val="1"/>
                <w:bCs w:val="1"/>
                <w:color w:val="auto"/>
              </w:rPr>
              <w:t>Three Months Ended June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30</w:t>
      </w:r>
    </w:p>
    <w:p>
      <w:pPr>
        <w:sectPr>
          <w:pgSz w:w="11900" w:h="16838" w:orient="portrait"/>
          <w:cols w:equalWidth="0" w:num="1">
            <w:col w:w="11420"/>
          </w:cols>
          <w:pgMar w:left="240" w:top="14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9,529</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7,572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8,965</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net earnings</w:t>
            </w: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(losses of subsidiaries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9,903</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8,602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9,987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10,108</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before equity in net losses of</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losses of subsidiaries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32</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70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3,392</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2,176</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1,148</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Assets held for sale</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8,027</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net</w:t>
            </w:r>
          </w:p>
        </w:tc>
        <w:tc>
          <w:tcPr>
            <w:tcW w:w="3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77"/>
        </w:trPr>
        <w:tc>
          <w:tcPr>
            <w:tcW w:w="35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8,763</w:t>
            </w:r>
          </w:p>
        </w:tc>
      </w:tr>
      <w:tr>
        <w:trPr>
          <w:trHeight w:val="284"/>
        </w:trPr>
        <w:tc>
          <w:tcPr>
            <w:tcW w:w="3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8"/>
          </w:tcPr>
          <w:p>
            <w:pPr>
              <w:jc w:val="center"/>
              <w:ind w:right="7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1,920</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Liabilities held for sale</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7,105</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1,658</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8,763</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7,511</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520" w:type="dxa"/>
            <w:vAlign w:val="bottom"/>
            <w:gridSpan w:val="8"/>
            <w:shd w:val="clear" w:color="auto" w:fill="CCEEFF"/>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64"/>
        </w:trPr>
        <w:tc>
          <w:tcPr>
            <w:tcW w:w="3540" w:type="dxa"/>
            <w:vAlign w:val="bottom"/>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522</w:t>
            </w:r>
          </w:p>
        </w:tc>
      </w:tr>
      <w:tr>
        <w:trPr>
          <w:trHeight w:val="257"/>
        </w:trPr>
        <w:tc>
          <w:tcPr>
            <w:tcW w:w="3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34</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from subsidiaries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(used in) by investing</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 of credit facility</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Repayment of 1.125% Convertible Notes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partial settlement of 1.125%</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Conversion Option</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Cash received for partial termination of 1.125%</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Call Option</w:t>
            </w:r>
          </w:p>
        </w:tc>
        <w:tc>
          <w:tcPr>
            <w:tcW w:w="6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partial termination of 1.125%</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Warrants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(decrease) increase in cash, cash</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0"/>
              <w:spacing w:after="0"/>
              <w:rPr>
                <w:sz w:val="20"/>
                <w:szCs w:val="20"/>
                <w:color w:val="auto"/>
              </w:rPr>
            </w:pPr>
            <w:r>
              <w:rPr>
                <w:rFonts w:ascii="Arial" w:cs="Arial" w:eastAsia="Arial" w:hAnsi="Arial"/>
                <w:sz w:val="16"/>
                <w:szCs w:val="16"/>
                <w:color w:val="auto"/>
              </w:rPr>
              <w:t>equivalents, and restricted cash and cash</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198"/>
        </w:trPr>
        <w:tc>
          <w:tcPr>
            <w:tcW w:w="3540" w:type="dxa"/>
            <w:vAlign w:val="bottom"/>
          </w:tcPr>
          <w:p>
            <w:pPr>
              <w:ind w:left="200"/>
              <w:spacing w:after="0"/>
              <w:rPr>
                <w:sz w:val="20"/>
                <w:szCs w:val="20"/>
                <w:color w:val="auto"/>
              </w:rPr>
            </w:pPr>
            <w:r>
              <w:rPr>
                <w:rFonts w:ascii="Arial" w:cs="Arial" w:eastAsia="Arial" w:hAnsi="Arial"/>
                <w:sz w:val="16"/>
                <w:szCs w:val="16"/>
                <w:color w:val="auto"/>
              </w:rPr>
              <w:t>cash equivalents at end of period</w:t>
            </w:r>
          </w:p>
        </w:tc>
        <w:tc>
          <w:tcPr>
            <w:tcW w:w="6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Six Months Ended June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from subsidiaries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senior notes offerings, net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costs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restricted cash and cash equivalents</w:t>
            </w:r>
          </w:p>
        </w:tc>
        <w:tc>
          <w:tcPr>
            <w:tcW w:w="6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198"/>
        </w:trPr>
        <w:tc>
          <w:tcPr>
            <w:tcW w:w="3540" w:type="dxa"/>
            <w:vAlign w:val="bottom"/>
          </w:tcPr>
          <w:p>
            <w:pPr>
              <w:ind w:left="200"/>
              <w:spacing w:after="0"/>
              <w:rPr>
                <w:sz w:val="20"/>
                <w:szCs w:val="20"/>
                <w:color w:val="auto"/>
              </w:rPr>
            </w:pPr>
            <w:r>
              <w:rPr>
                <w:rFonts w:ascii="Arial" w:cs="Arial" w:eastAsia="Arial" w:hAnsi="Arial"/>
                <w:sz w:val="16"/>
                <w:szCs w:val="16"/>
                <w:color w:val="auto"/>
              </w:rPr>
              <w:t>cash equivalents at end of period</w:t>
            </w:r>
          </w:p>
        </w:tc>
        <w:tc>
          <w:tcPr>
            <w:tcW w:w="6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36</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ind w:right="18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included in this quarterly report, other than statements of historical fact,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or expected. Those known risks and uncertainties include, but are not limited to, the following:</w:t>
      </w:r>
    </w:p>
    <w:p>
      <w:pPr>
        <w:spacing w:after="0" w:line="85" w:lineRule="exact"/>
        <w:rPr>
          <w:sz w:val="20"/>
          <w:szCs w:val="20"/>
          <w:color w:val="auto"/>
        </w:rPr>
      </w:pPr>
    </w:p>
    <w:p>
      <w:pPr>
        <w:ind w:left="340" w:right="280" w:hanging="332"/>
        <w:spacing w:after="0" w:line="26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profit improvement and maintenance initiatives, including the timing and amounts of the benefits realized, and administrative and medical cost savings achieved;</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w:t>
      </w:r>
    </w:p>
    <w:p>
      <w:pPr>
        <w:spacing w:after="0" w:line="9" w:lineRule="exact"/>
        <w:rPr>
          <w:rFonts w:ascii="Arial" w:cs="Arial" w:eastAsia="Arial" w:hAnsi="Arial"/>
          <w:sz w:val="16"/>
          <w:szCs w:val="16"/>
          <w:i w:val="1"/>
          <w:iCs w:val="1"/>
          <w:color w:val="auto"/>
        </w:rPr>
      </w:pPr>
    </w:p>
    <w:p>
      <w:pPr>
        <w:ind w:left="340" w:right="28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the Company’s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26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efforts to retain existing or awarded government contracts, including those in New Mexico and Texas, and those for Regions 8 and 11 in Florida, including the success of any protest filings or defenses;</w:t>
      </w:r>
    </w:p>
    <w:p>
      <w:pPr>
        <w:ind w:left="340" w:right="52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manage its operations, including maintaining and creating adequate internal systems and controls relating to authorizations, approvals, provider payments, and the overall success of its care management initiatives;</w:t>
      </w:r>
    </w:p>
    <w:p>
      <w:pPr>
        <w:ind w:left="340" w:right="56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consummate and realize benefits from divestitures and acquisitions, including the timely closing of the MMS divestiture;</w:t>
      </w:r>
    </w:p>
    <w:p>
      <w:pPr>
        <w:ind w:left="340" w:right="26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receipt of adequate premium rates to support increasing pharmacy costs, including costs associated with specialty drugs and costs resulting from formulary changes that allow the option of higher-priced non-generic drugs;</w:t>
      </w:r>
    </w:p>
    <w:p>
      <w:pPr>
        <w:ind w:left="340" w:right="4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260" w:hanging="332"/>
        <w:spacing w:after="0" w:line="262"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estimates of amounts owed for such cost expenditure floors, administrative cost and profit ceilings, premium stabilization programs, profit-sharing arrangements, and risk adjustment provisions;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right="580" w:hanging="332"/>
        <w:spacing w:after="0" w:line="25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16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the Company’s ability to recognize revenue amounts associated therewith;</w:t>
      </w: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6"/>
          <w:szCs w:val="16"/>
          <w:i w:val="1"/>
          <w:iCs w:val="1"/>
          <w:color w:val="auto"/>
        </w:rPr>
      </w:pPr>
    </w:p>
    <w:p>
      <w:pPr>
        <w:ind w:left="340" w:right="32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the Company’s health plan in Puerto Rico, including the resolution of the debt crisis and the effect of the PROMESA law, and the impact of any future significant weather events;</w:t>
      </w:r>
    </w:p>
    <w:p>
      <w:pPr>
        <w:ind w:left="340" w:hanging="332"/>
        <w:spacing w:after="0"/>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and renewal of the Company’s duals demonstration programs in California, Illinois, Michigan, Ohio, South Carolina, and Texas;</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the Company’s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6"/>
          <w:szCs w:val="16"/>
          <w:i w:val="1"/>
          <w:iCs w:val="1"/>
          <w:color w:val="auto"/>
        </w:rPr>
      </w:pPr>
    </w:p>
    <w:p>
      <w:pPr>
        <w:ind w:left="340" w:right="46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w:t>
      </w: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the Company’s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the Company’s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the Company’s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16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ourselves are not a direct party;</w:t>
      </w:r>
    </w:p>
    <w:p>
      <w:pPr>
        <w:ind w:left="340" w:right="76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the Company’s California, Ohio, Texas, and Washington health plans;</w:t>
      </w:r>
    </w:p>
    <w:p>
      <w:pPr>
        <w:ind w:left="340" w:right="30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availability of adequate financing on acceptable terms to fund and capitalize the Company’s expansion and growth, repay the Company’s outstanding indebtedness at maturity and meet its liquidity needs, including the interest expense and other costs associated with such financing;</w:t>
      </w:r>
    </w:p>
    <w:p>
      <w:pPr>
        <w:spacing w:after="0" w:line="1" w:lineRule="exact"/>
        <w:rPr>
          <w:rFonts w:ascii="Arial" w:cs="Arial" w:eastAsia="Arial" w:hAnsi="Arial"/>
          <w:sz w:val="16"/>
          <w:szCs w:val="16"/>
          <w:i w:val="1"/>
          <w:iCs w:val="1"/>
          <w:color w:val="auto"/>
        </w:rPr>
      </w:pPr>
    </w:p>
    <w:p>
      <w:pPr>
        <w:ind w:left="340" w:right="240" w:hanging="332"/>
        <w:spacing w:after="0" w:line="250"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Company’s failure to comply with the financial or other covenants in its credit agreements or the indentures governing its outstanding notes;</w:t>
      </w: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the Company’s funds on hand to pay the amounts due upon conversion or maturity of its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Readers should refer to the section entitled “Risk Factors” in our Annual Report on Form 10-K for the year ended December 31, 2017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ABOUT MOLINA HEALTHCARE</w:t>
      </w:r>
    </w:p>
    <w:p>
      <w:pPr>
        <w:spacing w:after="0" w:line="258" w:lineRule="exact"/>
        <w:rPr>
          <w:sz w:val="20"/>
          <w:szCs w:val="20"/>
          <w:color w:val="auto"/>
        </w:rPr>
      </w:pPr>
    </w:p>
    <w:p>
      <w:pPr>
        <w:ind w:right="80"/>
        <w:spacing w:after="0" w:line="261" w:lineRule="auto"/>
        <w:rPr>
          <w:sz w:val="20"/>
          <w:szCs w:val="20"/>
          <w:color w:val="auto"/>
        </w:rPr>
      </w:pPr>
      <w:r>
        <w:rPr>
          <w:rFonts w:ascii="Arial" w:cs="Arial" w:eastAsia="Arial" w:hAnsi="Arial"/>
          <w:sz w:val="25"/>
          <w:szCs w:val="25"/>
          <w:color w:val="828282"/>
        </w:rPr>
        <w:t>OUR MISSION IS TO PROVIDE QUALITY HEALTHCARE TO PEOPLE RECEIVING GOVERNMENT ASSISTANCE.</w:t>
      </w:r>
    </w:p>
    <w:p>
      <w:pPr>
        <w:spacing w:after="0" w:line="18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KEY PERFORMANCE INDICATORS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35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9"/>
                <w:szCs w:val="19"/>
                <w:color w:val="auto"/>
              </w:rPr>
            </w:pPr>
          </w:p>
        </w:tc>
        <w:tc>
          <w:tcPr>
            <w:tcW w:w="30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45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33"/>
        </w:trPr>
        <w:tc>
          <w:tcPr>
            <w:tcW w:w="4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4"/>
          </w:tcPr>
          <w:p>
            <w:pPr>
              <w:jc w:val="right"/>
              <w:ind w:right="119"/>
              <w:spacing w:after="0"/>
              <w:rPr>
                <w:sz w:val="20"/>
                <w:szCs w:val="20"/>
                <w:color w:val="auto"/>
              </w:rPr>
            </w:pPr>
            <w:r>
              <w:rPr>
                <w:rFonts w:ascii="Arial" w:cs="Arial" w:eastAsia="Arial" w:hAnsi="Arial"/>
                <w:sz w:val="16"/>
                <w:szCs w:val="16"/>
                <w:b w:val="1"/>
                <w:bCs w:val="1"/>
                <w:i w:val="1"/>
                <w:iCs w:val="1"/>
                <w:color w:val="auto"/>
              </w:rPr>
              <w:t>(In millions, except per-share amounts)</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r>
      <w:tr>
        <w:trPr>
          <w:trHeight w:val="284"/>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8,837</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9,388</w:t>
            </w:r>
          </w:p>
        </w:tc>
      </w:tr>
      <w:tr>
        <w:trPr>
          <w:trHeight w:val="270"/>
        </w:trPr>
        <w:tc>
          <w:tcPr>
            <w:tcW w:w="4500" w:type="dxa"/>
            <w:vAlign w:val="bottom"/>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664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1,265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786</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564</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(205)</w:t>
            </w:r>
          </w:p>
        </w:tc>
      </w:tr>
      <w:tr>
        <w:trPr>
          <w:trHeight w:val="284"/>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Net income (loss) per diluted share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3.02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4.68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(2.74)</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66.7</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66.0</w:t>
            </w: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56.1</w:t>
            </w:r>
          </w:p>
        </w:tc>
      </w:tr>
      <w:tr>
        <w:trPr>
          <w:trHeight w:val="284"/>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income (loss) per diluted share*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(2.55)</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EBITDA*</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370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616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(40)</w:t>
            </w:r>
          </w:p>
        </w:tc>
      </w:tr>
      <w:tr>
        <w:trPr>
          <w:trHeight w:val="293"/>
        </w:trPr>
        <w:tc>
          <w:tcPr>
            <w:tcW w:w="45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(2)</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94.8 %</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91.6 %</w:t>
            </w:r>
          </w:p>
        </w:tc>
      </w:tr>
      <w:tr>
        <w:trPr>
          <w:trHeight w:val="270"/>
        </w:trPr>
        <w:tc>
          <w:tcPr>
            <w:tcW w:w="4500" w:type="dxa"/>
            <w:vAlign w:val="bottom"/>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(3)</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4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(2)</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26.8 %</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36.2%</w:t>
            </w:r>
          </w:p>
        </w:tc>
        <w:tc>
          <w:tcPr>
            <w:tcW w:w="4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16.0 %</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profit (loss) margin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450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10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Medical margin is equal to premium revenue minus medical care costs.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Net profit margin represents net income as a percentage of total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use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 These non-GAAP financial measures should be considered as supplements to, and not as substitutes for or superior to, GAAP measures.</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further information regarding non-GAAP measures in the “Supplemental Information” section of this MD&amp;A, including the reconciliations to U.S. GAAP. Non-GAAP financial measures referred to in this report are designated with an asterisk (*).</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CONSOLIDATED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with Three Months Ended June 30, 2017</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income for the second quarter of 2018 was $202 million, compared with a net loss of $230 million for the second quarter of 2017. Net income per diluted share was $3.02 for the second quarter of 2018, compared with net loss per diluted share of $4.10 reported for the second quarter of 2017.</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Premium revenue decreased approximately 5%, or $226 million, in the second quarter of 2018, when compared with the second quarter of 2017. Member months declined 14%, partially offset by a PMPM revenue increase of 9%. Lower premium revenue was driven by a decrease in Marketplace membership, partially offset by Marketplace premium rate increases.</w:t>
      </w:r>
    </w:p>
    <w:p>
      <w:pPr>
        <w:spacing w:after="0" w:line="20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Overall, the medical care ratio improved to 85.3%, from 94.8% in the second quarter of 2017. See further discussion below in “Financial Performance by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Medical margin increased 167% in the second quarter of 2018, compared with the second quarter of 2017.</w:t>
      </w:r>
    </w:p>
    <w:p>
      <w:pPr>
        <w:spacing w:after="0" w:line="225"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general and administrative (G&amp;A) expense ratio decreased to 6.9%, from 8.1% in the second quarter of 2017. Excluding the impact of Marketplace broker commissions and exchange fees in both periods, the G&amp;A ratio decreased to 6.2%, from 6.7% in the second quarter of 2017. This year-over-year improvement was primarily the result of our efforts to reduce G&amp;A costs under the 2017 Restructuring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for the six months ended June 30, 2018 was $309 million, compared with a net loss of $153 million for the six months ended June 30, 2017. Net income per diluted share was $4.68 in the six months ended June 30, 2018, compared with net loss per diluted share of $2.74 reported in the six months ended June 30, 2017.</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Premium revenue decreased approximately 6%, or $551 million, in the six months ended June 30, 2018, when compared with the six months ended June 30, 2017. Member months declined 13%, partially offset by a revenue PMPM increase of 7%, primarily relating to Marketplace membership as noted above.</w:t>
      </w:r>
    </w:p>
    <w:p>
      <w:pPr>
        <w:spacing w:after="0" w:line="202"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Overall, the medical care ratio improved to 85.7%, from 91.6% in the six months ended June 30, 2017. See further discussion below in “Financial Performance by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Medical margin increased 61% in the six months ended June 30, 2018, compared with the six months ended June 30, 2017.</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Approximately $8 million ($0.10 per diluted share) and $33 million ($0.39 per diluted share) of restructuring costs were recognized in the second quarter and six months ended June 30, 2018, respectively. For more information, refer to Notes to Consolidated Financial Statements, Note 10, “Restructuring and Separation Costs.”</w:t>
      </w:r>
    </w:p>
    <w:p>
      <w:pPr>
        <w:spacing w:after="0" w:line="20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Approximately $5 million ($0.06 per diluted share) and $15 million ($0.21 per diluted share) loss on debt extinguishment was recognized in the second quarter and six months ended June 30, 2018, respectively. For more information, refer to Notes to Consolidated Financial Statements, Note 7, “Debt.”</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presented in the table below, in the second quarter and six months ended June 30, 2017, we recorded significant medical care costs relating to prior year dates of service in excess of historical expectations, and Marketplace-related premium deficiency reserves and changes in estimates for prior year dates of service. In addition, we recorded significant impairment losses and restructuring costs under the 2017 Restructuring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of Medicaid Contracts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Year to date in 2018, we renewed Medicaid contracts in Washington, Florida and Puerto Rico as follows:</w:t>
      </w:r>
    </w:p>
    <w:p>
      <w:pPr>
        <w:spacing w:after="0" w:line="225" w:lineRule="exact"/>
        <w:rPr>
          <w:sz w:val="20"/>
          <w:szCs w:val="20"/>
          <w:color w:val="auto"/>
        </w:rPr>
      </w:pPr>
    </w:p>
    <w:p>
      <w:pPr>
        <w:jc w:val="both"/>
        <w:ind w:left="340" w:hanging="332"/>
        <w:spacing w:after="0" w:line="25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May 2018, our Washington health plan was selected by the Washington State Health Care Authority (HCA) to enter into a managed care contract for the eight remaining regions of the state’s Apple Health Integrated Managed Care program, in addition to the two regions previously awarded to us. We were selected by HCA for the following regions: Greater Columbia, King, North Sound, Pierce, and Spokane beginning January 1, 2019; and Salish, Thurston-Mason, and Great Rivers beginning January 1, 2020. As of June 30, 2018, we served approximately 742,000 Medicaid members in Washington, which represented premium revenue of $1,083 million for the six months ended June 30, 2018.</w:t>
      </w:r>
    </w:p>
    <w:p>
      <w:pPr>
        <w:spacing w:after="0" w:line="20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2018, our Florida health plan was awarded comprehensive Medicaid Managed Care contracts by the Florida Agency for Health Care Administration (AHCA) in Regions 8 and 11 of the Florida Statewide Medicaid Managed Care Invitation to Negotiate. As of June 30, 2018, we served approximately 96,000 Medicaid members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color w:val="auto"/>
        </w:rPr>
        <w:t>in those regions, which represented premium revenue of approximately $232 million for the six months ended June 30, 2018. Services under the new contract are expected to begin on January 1, 2019. We will be serving both the Medicaid and long-term care populations in the two regions.</w:t>
      </w:r>
    </w:p>
    <w:p>
      <w:pPr>
        <w:spacing w:after="0" w:line="175" w:lineRule="exact"/>
        <w:rPr>
          <w:sz w:val="20"/>
          <w:szCs w:val="20"/>
          <w:color w:val="auto"/>
        </w:rPr>
      </w:pPr>
    </w:p>
    <w:p>
      <w:pPr>
        <w:jc w:val="both"/>
        <w:ind w:left="340" w:hanging="332"/>
        <w:spacing w:after="0" w:line="25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July 2018, our Puerto Rico health plan was selected by the Puerto Rico Health Insurance Administration to be one of the organizations to administer the Commonwealth’s new Medicaid Managed Care contract. Services under the new contract, currently expected to begin on November 1, 2018, would cover the entire island. The base contract runs for a period of three years with an optional one year extension. As of June 30, 2018, we served approximately 326,000 Medicaid members in the East and Southwest regions of Puerto Rico, which represented premium revenue of $370 million for the six months ended June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 Progress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second quarter of 2018, we repaid $300 million outstanding under the revolving credit facility. In addition, we repaid $96 million aggregate principal amount of our 1.125% Notes, and entered into privately negotiated termination agreements to partially terminate the related 1.125% Call Option and 1.125% Warrants. In the first quarter of 2018, we exchanged $97 million aggregate principal amount and accrued interest of our 1.625% Convertible Notes for 1.8 million shares of our common stock. Year to date, we have reduced the principal amount of outstanding debt by $493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Molina Medicaid Solutions Segment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2018, we entered into a definitive agreement to sell Molina Medicaid Solutions (MMS) to DXC Technology Company. The divestiture, expected to close in the third quarter of 2018, is subject to the satisfaction of customary closing conditions and the receipt of certain third party consents and regulatory approvals. We expect the net cash selling price for the equity interests of Molina Medicaid Solutions to approximate $220 million after certain adjustments.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tables below summarize the impact of certain items significant to our financial performance in the periods presented. The individual items presented below increase (decrease) income before income tax expense.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5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6"/>
                <w:szCs w:val="16"/>
                <w:color w:val="auto"/>
              </w:rPr>
            </w:pPr>
          </w:p>
        </w:tc>
        <w:tc>
          <w:tcPr>
            <w:tcW w:w="22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r>
      <w:tr>
        <w:trPr>
          <w:trHeight w:val="228"/>
        </w:trPr>
        <w:tc>
          <w:tcPr>
            <w:tcW w:w="65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19"/>
                <w:szCs w:val="19"/>
                <w:color w:val="auto"/>
              </w:rPr>
            </w:pPr>
          </w:p>
        </w:tc>
      </w:tr>
      <w:tr>
        <w:trPr>
          <w:trHeight w:val="198"/>
        </w:trPr>
        <w:tc>
          <w:tcPr>
            <w:tcW w:w="6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Diluted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Per Diluted</w:t>
            </w:r>
          </w:p>
        </w:tc>
      </w:tr>
      <w:tr>
        <w:trPr>
          <w:trHeight w:val="234"/>
        </w:trPr>
        <w:tc>
          <w:tcPr>
            <w:tcW w:w="65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r>
      <w:tr>
        <w:trPr>
          <w:trHeight w:val="240"/>
        </w:trPr>
        <w:tc>
          <w:tcPr>
            <w:tcW w:w="6520" w:type="dxa"/>
            <w:vAlign w:val="bottom"/>
          </w:tcPr>
          <w:p>
            <w:pPr>
              <w:spacing w:after="0"/>
              <w:rPr>
                <w:sz w:val="20"/>
                <w:szCs w:val="20"/>
                <w:color w:val="auto"/>
              </w:rPr>
            </w:pPr>
          </w:p>
        </w:tc>
        <w:tc>
          <w:tcPr>
            <w:tcW w:w="4900" w:type="dxa"/>
            <w:vAlign w:val="bottom"/>
            <w:gridSpan w:val="11"/>
          </w:tcPr>
          <w:p>
            <w:pPr>
              <w:jc w:val="right"/>
              <w:ind w:right="559"/>
              <w:spacing w:after="0"/>
              <w:rPr>
                <w:sz w:val="20"/>
                <w:szCs w:val="20"/>
                <w:color w:val="auto"/>
              </w:rPr>
            </w:pPr>
            <w:r>
              <w:rPr>
                <w:rFonts w:ascii="Arial" w:cs="Arial" w:eastAsia="Arial" w:hAnsi="Arial"/>
                <w:sz w:val="16"/>
                <w:szCs w:val="16"/>
                <w:b w:val="1"/>
                <w:bCs w:val="1"/>
                <w:i w:val="1"/>
                <w:iCs w:val="1"/>
                <w:color w:val="auto"/>
              </w:rPr>
              <w:t>(In millions, except per diluted share amounts)</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 risk adjustment, for 2017 dates of service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Marketplace cost sharing reduction (CSR) subsidies, for 2017 dates of service</w:t>
            </w:r>
          </w:p>
        </w:tc>
        <w:tc>
          <w:tcPr>
            <w:tcW w:w="860" w:type="dxa"/>
            <w:vAlign w:val="bottom"/>
          </w:tcPr>
          <w:p>
            <w:pPr>
              <w:spacing w:after="0"/>
              <w:rPr>
                <w:sz w:val="22"/>
                <w:szCs w:val="22"/>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0.90</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costs</w:t>
            </w: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on debt extinguishment</w:t>
            </w:r>
          </w:p>
        </w:tc>
        <w:tc>
          <w:tcPr>
            <w:tcW w:w="8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r>
      <w:tr>
        <w:trPr>
          <w:trHeight w:val="237"/>
        </w:trPr>
        <w:tc>
          <w:tcPr>
            <w:tcW w:w="6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r>
      <w:tr>
        <w:trPr>
          <w:trHeight w:val="20"/>
        </w:trPr>
        <w:tc>
          <w:tcPr>
            <w:tcW w:w="6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5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6"/>
                <w:szCs w:val="16"/>
                <w:color w:val="auto"/>
              </w:rPr>
            </w:pPr>
          </w:p>
        </w:tc>
        <w:tc>
          <w:tcPr>
            <w:tcW w:w="22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Diluted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Per Diluted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0"/>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00" w:type="dxa"/>
            <w:vAlign w:val="bottom"/>
            <w:gridSpan w:val="10"/>
          </w:tcPr>
          <w:p>
            <w:pPr>
              <w:jc w:val="right"/>
              <w:ind w:right="559"/>
              <w:spacing w:after="0"/>
              <w:rPr>
                <w:sz w:val="20"/>
                <w:szCs w:val="20"/>
                <w:color w:val="auto"/>
              </w:rPr>
            </w:pPr>
            <w:r>
              <w:rPr>
                <w:rFonts w:ascii="Arial" w:cs="Arial" w:eastAsia="Arial" w:hAnsi="Arial"/>
                <w:sz w:val="16"/>
                <w:szCs w:val="16"/>
                <w:b w:val="1"/>
                <w:bCs w:val="1"/>
                <w:i w:val="1"/>
                <w:iCs w:val="1"/>
                <w:color w:val="auto"/>
              </w:rPr>
              <w:t>(In millions, except per diluted share amounts)</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Losses at behavioral health subsidiary exclusive of impairment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care costs related to prior year dates of service that were in excess of historical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expectations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8"/>
        </w:trPr>
        <w:tc>
          <w:tcPr>
            <w:tcW w:w="6520" w:type="dxa"/>
            <w:vAlign w:val="bottom"/>
          </w:tcPr>
          <w:p>
            <w:pPr>
              <w:ind w:left="40"/>
              <w:spacing w:after="0"/>
              <w:rPr>
                <w:sz w:val="20"/>
                <w:szCs w:val="20"/>
                <w:color w:val="auto"/>
              </w:rPr>
            </w:pPr>
            <w:r>
              <w:rPr>
                <w:rFonts w:ascii="Arial" w:cs="Arial" w:eastAsia="Arial" w:hAnsi="Arial"/>
                <w:sz w:val="16"/>
                <w:szCs w:val="16"/>
                <w:color w:val="auto"/>
              </w:rPr>
              <w:t>Marketplace adjustments related to risk adjustment, CSR, and other items for 2016 dates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Pr>
          <w:p>
            <w:pPr>
              <w:ind w:left="200"/>
              <w:spacing w:after="0"/>
              <w:rPr>
                <w:sz w:val="20"/>
                <w:szCs w:val="20"/>
                <w:color w:val="auto"/>
              </w:rPr>
            </w:pPr>
            <w:r>
              <w:rPr>
                <w:rFonts w:ascii="Arial" w:cs="Arial" w:eastAsia="Arial" w:hAnsi="Arial"/>
                <w:sz w:val="16"/>
                <w:szCs w:val="16"/>
                <w:color w:val="auto"/>
              </w:rPr>
              <w:t>of service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 premium deficiency reserve for 2017 dates of service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 received for terminated acquisition</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40" w:right="28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for certain items that are not deductible for tax purposes, per diluted share amounts are generally calculated at the statutory income tax rates of 22% for 2018, and 37% for 2017.</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TRENDS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MEDICAID CONTRACT RE-PROCUREMENT</w:t>
      </w:r>
    </w:p>
    <w:p>
      <w:pPr>
        <w:spacing w:after="0" w:line="11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illustrates Health Plans segment Medicaid contracts scheduled for re-procurement in the near term. While we have been notified of the Medicaid regulators’ intention to re-procure the contracts, the anticipated award dates and effective dates are management’s current best estimates; such dates are subject to change. Premium revenue is stated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Premium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3"/>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340"/>
              <w:spacing w:after="0"/>
              <w:rPr>
                <w:sz w:val="20"/>
                <w:szCs w:val="20"/>
                <w:color w:val="auto"/>
              </w:rPr>
            </w:pPr>
            <w:r>
              <w:rPr>
                <w:rFonts w:ascii="Arial" w:cs="Arial" w:eastAsia="Arial" w:hAnsi="Arial"/>
                <w:sz w:val="16"/>
                <w:szCs w:val="16"/>
                <w:b w:val="1"/>
                <w:bCs w:val="1"/>
                <w:color w:val="auto"/>
              </w:rPr>
              <w:t>Membership as of</w:t>
            </w:r>
          </w:p>
        </w:tc>
        <w:tc>
          <w:tcPr>
            <w:tcW w:w="260" w:type="dxa"/>
            <w:vAlign w:val="bottom"/>
          </w:tcPr>
          <w:p>
            <w:pPr>
              <w:spacing w:after="0"/>
              <w:rPr>
                <w:sz w:val="24"/>
                <w:szCs w:val="2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Six Months Ended</w:t>
            </w:r>
          </w:p>
        </w:tc>
        <w:tc>
          <w:tcPr>
            <w:tcW w:w="282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Anticipated</w:t>
            </w:r>
          </w:p>
        </w:tc>
      </w:tr>
      <w:tr>
        <w:trPr>
          <w:trHeight w:val="26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State Health Plan</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Medicaid Program(s)</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Award Date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Effective Date</w:t>
            </w:r>
          </w:p>
        </w:tc>
      </w:tr>
      <w:tr>
        <w:trPr>
          <w:trHeight w:val="257"/>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ABD, MMP</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6/1/2020</w:t>
            </w:r>
          </w:p>
        </w:tc>
      </w:tr>
      <w:tr>
        <w:trPr>
          <w:trHeight w:val="251"/>
        </w:trPr>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TANF, CHIP</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127,000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Q1 2019</w:t>
            </w:r>
          </w:p>
        </w:tc>
        <w:tc>
          <w:tcPr>
            <w:tcW w:w="1480" w:type="dxa"/>
            <w:vAlign w:val="bottom"/>
          </w:tcPr>
          <w:p>
            <w:pPr>
              <w:jc w:val="center"/>
              <w:spacing w:after="0"/>
              <w:rPr>
                <w:sz w:val="20"/>
                <w:szCs w:val="20"/>
                <w:color w:val="auto"/>
              </w:rPr>
            </w:pPr>
            <w:r>
              <w:rPr>
                <w:rFonts w:ascii="Arial" w:cs="Arial" w:eastAsia="Arial" w:hAnsi="Arial"/>
                <w:sz w:val="16"/>
                <w:szCs w:val="16"/>
                <w:color w:val="auto"/>
              </w:rPr>
              <w:t>1/1/2020</w:t>
            </w:r>
          </w:p>
        </w:tc>
      </w:tr>
    </w:tbl>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New Mexico Health Plan Update. </w:t>
      </w:r>
      <w:r>
        <w:rPr>
          <w:rFonts w:ascii="Arial" w:cs="Arial" w:eastAsia="Arial" w:hAnsi="Arial"/>
          <w:sz w:val="18"/>
          <w:szCs w:val="18"/>
          <w:color w:val="auto"/>
        </w:rPr>
        <w:t>In our Annual Report on Form 10-K for 2017, we reported that we were notified by the New Mexico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agency that we had not been selected for a tentative award of a 2019 Medicaid contract. We filed a brief in support of our judicial protest on July 20, 2018, with proposed protest hearing dates set for September 2018, and a decision expected in or around October 2018. In the interim, a temporary stay allows us to participate in the readiness review process for the new contract award. We are continuing to manage the business in run-off until such time as a different outcome is determined.</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Ohio Health Plan MMP Update. </w:t>
      </w:r>
      <w:r>
        <w:rPr>
          <w:rFonts w:ascii="Arial" w:cs="Arial" w:eastAsia="Arial" w:hAnsi="Arial"/>
          <w:sz w:val="18"/>
          <w:szCs w:val="18"/>
          <w:color w:val="auto"/>
        </w:rPr>
        <w:t>In July 2018, the Ohio Medicaid agency submitted a request to Centers for Medicare and Medicaid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(CMS) for a three-year extension of the MyCare Ohio Duals Demonstration program, through December 31, 2022. The current authority for the program ends December 31, 2019. We estimate annualized premium revenues of approximately $680 million in 2018 under the Ohio MMP program.</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828282"/>
        </w:rPr>
        <w:t>PRESSURES ON MEDICAID FUNDING</w:t>
      </w:r>
    </w:p>
    <w:p>
      <w:pPr>
        <w:spacing w:after="0" w:line="2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Currently, there are a number of different legislative proposals being considered, some of which would involve significantly reduced federal spending on the Medicaid program and constitute a fundamental change in the federal role in health care. These proposals include elements such as the following:</w:t>
      </w:r>
    </w:p>
    <w:p>
      <w:pPr>
        <w:spacing w:after="0" w:line="202" w:lineRule="exact"/>
        <w:rPr>
          <w:sz w:val="20"/>
          <w:szCs w:val="20"/>
          <w:color w:val="auto"/>
        </w:rPr>
      </w:pPr>
    </w:p>
    <w:p>
      <w:pPr>
        <w:ind w:left="660" w:right="4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Ending the entitlement nature of Medicaid by capping future increases in federal health spending for these programs, and shifting more of the risk for health costs in the future to states and consumers;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basis (a “per capita cap”);</w:t>
      </w:r>
    </w:p>
    <w:p>
      <w:pPr>
        <w:spacing w:after="0" w:line="23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Medicaid beneficiaries to 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Numerous other potential changes and reforms.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828282"/>
        </w:rPr>
        <w:t>ACA AND THE MARKETPLACE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future of the Affordable Care Act (ACA) and its underlying programs, including the Marketplace, are subject to substantial uncertainty.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2018, we have:</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Exited the Utah and Wisconsin Marketplaces. We are currently evaluating the re-entry into these markets in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the scope of our Washington state Marketplace participation;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premiums averaging 58%;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Mitigated our exposure to uncertainties relating to cost share reduction (CSR) funding and reconciliation;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broker commissions to market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2019, we have filed rates in nine Marketplace states, including the Utah and Wisconsin Marketplaces.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derive our revenues primarily from health insurance premiums, and our primary customers are state Medicaid agencies and the federal government.</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One of the key metrics used to assess the performance of our most significant segment, the Health Plans segment, is the medical care ratio (MCR). The MCR represents medical care costs as a percentage of premium revenue. Therefore, the underlying gross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The service margin is equal to service revenue minus cost of service revenue. Management’s discussion and analysis of the changes in the individual components of medical margin and service margin follows.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SEGMENT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color w:val="auto"/>
              </w:rPr>
              <w:t xml:space="preserve">Molina Medicaid Solutions segment service margin </w:t>
            </w:r>
            <w:r>
              <w:rPr>
                <w:rFonts w:ascii="Arial" w:cs="Arial" w:eastAsia="Arial" w:hAnsi="Arial"/>
                <w:sz w:val="21"/>
                <w:szCs w:val="21"/>
                <w:color w:val="auto"/>
                <w:vertAlign w:val="superscript"/>
              </w:rPr>
              <w:t>(2)</w:t>
            </w:r>
          </w:p>
        </w:tc>
        <w:tc>
          <w:tcPr>
            <w:tcW w:w="106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segment service margin </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1,288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11"/>
        </w:trPr>
        <w:tc>
          <w:tcPr>
            <w:tcW w:w="4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40"/>
              <w:spacing w:after="0"/>
              <w:rPr>
                <w:sz w:val="20"/>
                <w:szCs w:val="20"/>
                <w:color w:val="auto"/>
              </w:rPr>
            </w:pPr>
            <w:r>
              <w:rPr>
                <w:rFonts w:ascii="Arial" w:cs="Arial" w:eastAsia="Arial" w:hAnsi="Arial"/>
                <w:sz w:val="16"/>
                <w:szCs w:val="16"/>
                <w:color w:val="auto"/>
              </w:rPr>
              <w:t>Health Plans segment medical care ratio</w:t>
            </w:r>
          </w:p>
        </w:tc>
        <w:tc>
          <w:tcPr>
            <w:tcW w:w="1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premium revenue minus medical care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service revenue minus cost of service revenue.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June 30, 2018, these health plans served approximately 4.1 million members eligible for Medicaid, Medicare, and other government-sponsored health care programs for low-income families and individuals. This membership includes Marketplace members, most of whom receive government premium subsidies.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BUSINESS OVERVIEW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Membership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740" w:type="dxa"/>
            <w:vAlign w:val="bottom"/>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 Program</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00"/>
              <w:spacing w:after="0"/>
              <w:rPr>
                <w:sz w:val="20"/>
                <w:szCs w:val="20"/>
                <w:color w:val="auto"/>
              </w:rPr>
            </w:pPr>
            <w:r>
              <w:rPr>
                <w:rFonts w:ascii="Arial" w:cs="Arial" w:eastAsia="Arial" w:hAnsi="Arial"/>
                <w:sz w:val="16"/>
                <w:szCs w:val="16"/>
                <w:color w:val="auto"/>
              </w:rPr>
              <w:t>(CHIP)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2,464,000</w:t>
            </w:r>
          </w:p>
        </w:tc>
        <w:tc>
          <w:tcPr>
            <w:tcW w:w="12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2,457,000</w:t>
            </w: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2,517,000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675,000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678,000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Aged, Blind or Disabled (ABD)</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415,000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408,000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Medicaid</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3,554,000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3,537,000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3,603,000</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Medicare-Medicaid Plan (MMP)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57,000</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54,000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Medicare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Medicaid and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3,654,000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3,638,000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3,701,000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815,000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949,000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4,063,000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639,000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746,000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766,000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398,000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219,000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163,000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397,000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241,000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266,000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326,000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314,000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322,000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430,000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465,000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776,000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788,000</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183,000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302,000</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331,000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4,063,000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MMP members receive both Medicaid and Medicare coverage from Molina Healthcare.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includes the Idaho, New York, Utah and Wisconsin health plans, which are not individually significant to our consolidated operating results.</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by Program</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amount of the premiums paid to our health plans vary substantially between states and among various government programs. The following table sets forth the ranges of premiums paid to our state health plans by program on a per member per month (PMPM) basis, for the six months ended June 30, 2018. The “Consolidated” column represents the weighted-average amounts for our total membership by program.</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PMPM Premiums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2"/>
                <w:szCs w:val="22"/>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MMP – Integrated</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1,360.00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3,180.00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2,180.00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1,180.00</w:t>
            </w:r>
          </w:p>
        </w:tc>
      </w:tr>
      <w:tr>
        <w:trPr>
          <w:trHeight w:val="251"/>
        </w:trPr>
        <w:tc>
          <w:tcPr>
            <w:tcW w:w="6740" w:type="dxa"/>
            <w:vAlign w:val="bottom"/>
          </w:tcPr>
          <w:p>
            <w:pPr>
              <w:ind w:left="40"/>
              <w:spacing w:after="0"/>
              <w:rPr>
                <w:sz w:val="20"/>
                <w:szCs w:val="20"/>
                <w:color w:val="auto"/>
              </w:rPr>
            </w:pPr>
            <w:r>
              <w:rPr>
                <w:rFonts w:ascii="Arial" w:cs="Arial" w:eastAsia="Arial" w:hAnsi="Arial"/>
                <w:sz w:val="16"/>
                <w:szCs w:val="16"/>
                <w:color w:val="auto"/>
              </w:rPr>
              <w:t>Marketplace</w:t>
            </w:r>
          </w:p>
        </w:tc>
        <w:tc>
          <w:tcPr>
            <w:tcW w:w="3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370.00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PROGRAM</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program for the periods indicated (PMPM amounts are in whole dollars; member months and other dollar amounts are in millions):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2"/>
                <w:szCs w:val="22"/>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9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TANF and CHIP</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60"/>
        </w:trPr>
        <w:tc>
          <w:tcPr>
            <w:tcW w:w="1920" w:type="dxa"/>
            <w:vAlign w:val="bottom"/>
          </w:tcPr>
          <w:p>
            <w:pPr>
              <w:ind w:left="20"/>
              <w:spacing w:after="0"/>
              <w:rPr>
                <w:sz w:val="20"/>
                <w:szCs w:val="20"/>
                <w:color w:val="auto"/>
              </w:rPr>
            </w:pPr>
            <w:r>
              <w:rPr>
                <w:rFonts w:ascii="Arial" w:cs="Arial" w:eastAsia="Arial" w:hAnsi="Arial"/>
                <w:sz w:val="16"/>
                <w:szCs w:val="16"/>
                <w:color w:val="auto"/>
              </w:rPr>
              <w:t>Medicaid Expansion</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330.83</w:t>
            </w:r>
          </w:p>
        </w:tc>
        <w:tc>
          <w:tcPr>
            <w:tcW w:w="1420" w:type="dxa"/>
            <w:vAlign w:val="bottom"/>
            <w:gridSpan w:val="2"/>
          </w:tcPr>
          <w:p>
            <w:pPr>
              <w:jc w:val="right"/>
              <w:ind w:right="108"/>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ABD</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1,033.34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969.27</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93.8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Medicaid</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319.52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3,090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286.89</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MMP</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2,224.30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1,893.91</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Medicare</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1,168.40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989.33</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Medicare</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1,751.49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1,488.85</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8"/>
        </w:trPr>
        <w:tc>
          <w:tcPr>
            <w:tcW w:w="1920" w:type="dxa"/>
            <w:vAlign w:val="bottom"/>
          </w:tcPr>
          <w:p>
            <w:pPr>
              <w:ind w:left="20"/>
              <w:spacing w:after="0"/>
              <w:rPr>
                <w:sz w:val="20"/>
                <w:szCs w:val="20"/>
                <w:color w:val="auto"/>
              </w:rPr>
            </w:pPr>
            <w:r>
              <w:rPr>
                <w:rFonts w:ascii="Arial" w:cs="Arial" w:eastAsia="Arial" w:hAnsi="Arial"/>
                <w:sz w:val="16"/>
                <w:szCs w:val="16"/>
                <w:color w:val="auto"/>
              </w:rPr>
              <w:t>Total Medicaid and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20" w:type="dxa"/>
            <w:vAlign w:val="bottom"/>
          </w:tcPr>
          <w:p>
            <w:pPr>
              <w:ind w:left="180"/>
              <w:spacing w:after="0"/>
              <w:rPr>
                <w:sz w:val="20"/>
                <w:szCs w:val="20"/>
                <w:color w:val="auto"/>
              </w:rPr>
            </w:pPr>
            <w:r>
              <w:rPr>
                <w:rFonts w:ascii="Arial" w:cs="Arial" w:eastAsia="Arial" w:hAnsi="Arial"/>
                <w:sz w:val="16"/>
                <w:szCs w:val="16"/>
                <w:color w:val="auto"/>
              </w:rPr>
              <w:t>Medicare</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319.37</w:t>
            </w:r>
          </w:p>
        </w:tc>
        <w:tc>
          <w:tcPr>
            <w:tcW w:w="1420" w:type="dxa"/>
            <w:vAlign w:val="bottom"/>
            <w:gridSpan w:val="2"/>
          </w:tcPr>
          <w:p>
            <w:pPr>
              <w:jc w:val="right"/>
              <w:ind w:right="108"/>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7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440.93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253.04</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4,514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366.57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312.68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9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2"/>
                <w:szCs w:val="22"/>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9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TANF and CHIP</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0"/>
        </w:trPr>
        <w:tc>
          <w:tcPr>
            <w:tcW w:w="1920" w:type="dxa"/>
            <w:vAlign w:val="bottom"/>
          </w:tcPr>
          <w:p>
            <w:pPr>
              <w:ind w:left="20"/>
              <w:spacing w:after="0"/>
              <w:rPr>
                <w:sz w:val="20"/>
                <w:szCs w:val="20"/>
                <w:color w:val="auto"/>
              </w:rPr>
            </w:pPr>
            <w:r>
              <w:rPr>
                <w:rFonts w:ascii="Arial" w:cs="Arial" w:eastAsia="Arial" w:hAnsi="Arial"/>
                <w:sz w:val="16"/>
                <w:szCs w:val="16"/>
                <w:color w:val="auto"/>
              </w:rPr>
              <w:t>Medicaid Expansion</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383.07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335.26</w:t>
            </w:r>
          </w:p>
        </w:tc>
        <w:tc>
          <w:tcPr>
            <w:tcW w:w="1420" w:type="dxa"/>
            <w:vAlign w:val="bottom"/>
            <w:gridSpan w:val="2"/>
          </w:tcPr>
          <w:p>
            <w:pPr>
              <w:jc w:val="right"/>
              <w:ind w:right="108"/>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ABD</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1,053.89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1,020.85</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Medicaid</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3,462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317.79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298.10</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MMP</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2,217.44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2,050.20</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Medicare</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1,126.14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963.34</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Medicare</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1,730.91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1,565.65</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8"/>
        </w:trPr>
        <w:tc>
          <w:tcPr>
            <w:tcW w:w="1920" w:type="dxa"/>
            <w:vAlign w:val="bottom"/>
          </w:tcPr>
          <w:p>
            <w:pPr>
              <w:ind w:left="20"/>
              <w:spacing w:after="0"/>
              <w:rPr>
                <w:sz w:val="20"/>
                <w:szCs w:val="20"/>
                <w:color w:val="auto"/>
              </w:rPr>
            </w:pPr>
            <w:r>
              <w:rPr>
                <w:rFonts w:ascii="Arial" w:cs="Arial" w:eastAsia="Arial" w:hAnsi="Arial"/>
                <w:sz w:val="16"/>
                <w:szCs w:val="16"/>
                <w:color w:val="auto"/>
              </w:rPr>
              <w:t>Total Medicaid and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20" w:type="dxa"/>
            <w:vAlign w:val="bottom"/>
          </w:tcPr>
          <w:p>
            <w:pPr>
              <w:ind w:left="180"/>
              <w:spacing w:after="0"/>
              <w:rPr>
                <w:sz w:val="20"/>
                <w:szCs w:val="20"/>
                <w:color w:val="auto"/>
              </w:rPr>
            </w:pPr>
            <w:r>
              <w:rPr>
                <w:rFonts w:ascii="Arial" w:cs="Arial" w:eastAsia="Arial" w:hAnsi="Arial"/>
                <w:sz w:val="16"/>
                <w:szCs w:val="16"/>
                <w:color w:val="auto"/>
              </w:rPr>
              <w:t>Medicare</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3,708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331.36</w:t>
            </w:r>
          </w:p>
        </w:tc>
        <w:tc>
          <w:tcPr>
            <w:tcW w:w="1420" w:type="dxa"/>
            <w:vAlign w:val="bottom"/>
            <w:gridSpan w:val="2"/>
          </w:tcPr>
          <w:p>
            <w:pPr>
              <w:jc w:val="right"/>
              <w:ind w:right="108"/>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267.37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272.37</w:t>
            </w:r>
          </w:p>
        </w:tc>
        <w:tc>
          <w:tcPr>
            <w:tcW w:w="1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4,740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336.98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4,491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Six Months Ended June 30, 2018</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9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ind w:left="420"/>
              <w:spacing w:after="0" w:line="202" w:lineRule="exact"/>
              <w:rPr>
                <w:sz w:val="20"/>
                <w:szCs w:val="20"/>
                <w:color w:val="auto"/>
              </w:rPr>
            </w:pPr>
            <w:r>
              <w:rPr>
                <w:rFonts w:ascii="Arial" w:cs="Arial" w:eastAsia="Arial" w:hAnsi="Arial"/>
                <w:sz w:val="23"/>
                <w:szCs w:val="23"/>
                <w:b w:val="1"/>
                <w:bCs w:val="1"/>
                <w:color w:val="auto"/>
                <w:vertAlign w:val="subscript"/>
              </w:rPr>
              <w:t>MCR</w:t>
            </w:r>
            <w:r>
              <w:rPr>
                <w:rFonts w:ascii="Arial" w:cs="Arial" w:eastAsia="Arial" w:hAnsi="Arial"/>
                <w:sz w:val="8"/>
                <w:szCs w:val="8"/>
                <w:b w:val="1"/>
                <w:bCs w:val="1"/>
                <w:color w:val="auto"/>
              </w:rPr>
              <w:t xml:space="preserve"> (2)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2,766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166.32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324.19</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1,023.83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951.99</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6,821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318.11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6,158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287.22</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2,180.86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1,858.87</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1,178.58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992.05</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1,735.05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1,473.30</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8"/>
        </w:trPr>
        <w:tc>
          <w:tcPr>
            <w:tcW w:w="1940" w:type="dxa"/>
            <w:vAlign w:val="bottom"/>
          </w:tcPr>
          <w:p>
            <w:pPr>
              <w:ind w:left="40"/>
              <w:spacing w:after="0"/>
              <w:rPr>
                <w:sz w:val="20"/>
                <w:szCs w:val="20"/>
                <w:color w:val="auto"/>
              </w:rPr>
            </w:pPr>
            <w:r>
              <w:rPr>
                <w:rFonts w:ascii="Arial" w:cs="Arial" w:eastAsia="Arial" w:hAnsi="Arial"/>
                <w:sz w:val="16"/>
                <w:szCs w:val="16"/>
                <w:color w:val="auto"/>
              </w:rPr>
              <w:t>Total Medicaid and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200"/>
              <w:spacing w:after="0"/>
              <w:rPr>
                <w:sz w:val="20"/>
                <w:szCs w:val="20"/>
                <w:color w:val="auto"/>
              </w:rPr>
            </w:pPr>
            <w:r>
              <w:rPr>
                <w:rFonts w:ascii="Arial" w:cs="Arial" w:eastAsia="Arial" w:hAnsi="Arial"/>
                <w:sz w:val="16"/>
                <w:szCs w:val="16"/>
                <w:color w:val="auto"/>
              </w:rPr>
              <w:t>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356.59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7,040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319.43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373.67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203.34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40"/>
        </w:trPr>
        <w:tc>
          <w:tcPr>
            <w:tcW w:w="194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8,837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307.11</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Six Months Ended June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9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171.25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390.88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335.88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1,030.68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986.54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315.39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292.22</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2,152.75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1,954.15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1,097.36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933.20</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1,685.72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1,502.36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8"/>
        </w:trPr>
        <w:tc>
          <w:tcPr>
            <w:tcW w:w="1940" w:type="dxa"/>
            <w:vAlign w:val="bottom"/>
          </w:tcPr>
          <w:p>
            <w:pPr>
              <w:ind w:left="40"/>
              <w:spacing w:after="0"/>
              <w:rPr>
                <w:sz w:val="20"/>
                <w:szCs w:val="20"/>
                <w:color w:val="auto"/>
              </w:rPr>
            </w:pPr>
            <w:r>
              <w:rPr>
                <w:rFonts w:ascii="Arial" w:cs="Arial" w:eastAsia="Arial" w:hAnsi="Arial"/>
                <w:sz w:val="16"/>
                <w:szCs w:val="16"/>
                <w:color w:val="auto"/>
              </w:rPr>
              <w:t>Total Medicaid and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200"/>
              <w:spacing w:after="0"/>
              <w:rPr>
                <w:sz w:val="20"/>
                <w:szCs w:val="20"/>
                <w:color w:val="auto"/>
              </w:rPr>
            </w:pPr>
            <w:r>
              <w:rPr>
                <w:rFonts w:ascii="Arial" w:cs="Arial" w:eastAsia="Arial" w:hAnsi="Arial"/>
                <w:sz w:val="16"/>
                <w:szCs w:val="16"/>
                <w:color w:val="auto"/>
              </w:rPr>
              <w:t>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351.35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7,255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323.98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234.62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9,388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333.68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8,602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305.74</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3810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20955</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3810</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20955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3810</wp:posOffset>
            </wp:positionV>
            <wp:extent cx="165544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Medical care costs as a percent of premium revenue improved to 85.3% in the second quarter of 2018, from 94.8% in the second quarter of 2017. Excluding the Marketplace risk adjustments and cost sharing reduction (CSR) adjustments relating to prior year dates of service in both periods noted in the tables above in “Overview—Consolidated Results,” the overall medical care ratio would have been 87.0% in the second quarter of 2018, and 93.9% in the second quarter of 2017.</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Medical care costs as a percent of premium revenue improved to 85.7% in the six months ended June 30, 2018, from 91.6% in the six months ended June 30, 2017. Excluding the Marketplace risk adjustments and CSR adjustments relating to prior year dates of service in both periods, the overall medical care ratio would have been 87.1% in the six months ended June 30, 2018, and 91.2% in the six months ended June 30,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TANF and CHIP</w:t>
      </w:r>
      <w:r>
        <w:rPr>
          <w:rFonts w:ascii="Arial" w:cs="Arial" w:eastAsia="Arial" w:hAnsi="Arial"/>
          <w:sz w:val="18"/>
          <w:szCs w:val="18"/>
          <w:color w:val="auto"/>
        </w:rPr>
        <w:t>. The medical care ratio for TANF and CHIP improved to 86.5% in the second quarter of 2018, from 94.5%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and was 89.6% in the six months ended June 30, 2018, down from 93.8% in the six months ended June 30, 2017. The year over year improvement was primarily due to improved performance at our Illinois and Puerto Rico health plans.</w:t>
      </w:r>
    </w:p>
    <w:p>
      <w:pPr>
        <w:spacing w:after="0" w:line="17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The medical care ratio for Medicaid Expansion was 88.9% in the second quarter of 2018, up from 87.5%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and was 87.1% in the six months ended June 30, 2018, up from 85.9% in the six months ended June 30, 2017. These increases were primarily due to the premium reduction we received</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California in July 2017. Medicaid Expansion has generally performed well because rate adequacy has trended favorably, and membership is concentrated in our higher performing health plans, particularly California, Michigan, and Washington.</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ABD</w:t>
      </w:r>
      <w:r>
        <w:rPr>
          <w:rFonts w:ascii="Arial" w:cs="Arial" w:eastAsia="Arial" w:hAnsi="Arial"/>
          <w:sz w:val="18"/>
          <w:szCs w:val="18"/>
          <w:color w:val="auto"/>
        </w:rPr>
        <w:t>. The medical care ratio for ABD improved to 93.8% in the second quarter of 2018, compared with 96.9% in the second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93.0% in the six months ended June 30, 2018, down from 95.7% in the six months ended June 30, 2017. The year over year improvement can be attributed to our continued advancement on key, high acuity management fundamentals.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MMP</w:t>
      </w:r>
    </w:p>
    <w:p>
      <w:pPr>
        <w:spacing w:after="0" w:line="247"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The medical care ratio for the combined Medicare programs improved to 85.0% in the second quarter of 2018, from 90.5% in the second quarter of 2017; and was 84.9% in the six months ended June 30, 2018, down from 89.1% in the six months ended June 30, 2017. This improvement was partly driven by the recognition of additional MMP at</w:t>
      </w:r>
      <w:r>
        <w:rPr>
          <w:rFonts w:ascii="MS PGothic" w:cs="MS PGothic" w:eastAsia="MS PGothic" w:hAnsi="MS PGothic"/>
          <w:sz w:val="18"/>
          <w:szCs w:val="18"/>
          <w:color w:val="auto"/>
        </w:rPr>
        <w:t>‑</w:t>
      </w:r>
      <w:r>
        <w:rPr>
          <w:rFonts w:ascii="Arial" w:cs="Arial" w:eastAsia="Arial" w:hAnsi="Arial"/>
          <w:sz w:val="18"/>
          <w:szCs w:val="18"/>
          <w:color w:val="auto"/>
        </w:rPr>
        <w:t>risk revenue for dates of service in 2016 and 2017, because at</w:t>
      </w:r>
      <w:r>
        <w:rPr>
          <w:rFonts w:ascii="MS PGothic" w:cs="MS PGothic" w:eastAsia="MS PGothic" w:hAnsi="MS PGothic"/>
          <w:sz w:val="18"/>
          <w:szCs w:val="18"/>
          <w:color w:val="auto"/>
        </w:rPr>
        <w:t>‑</w:t>
      </w:r>
      <w:r>
        <w:rPr>
          <w:rFonts w:ascii="Arial" w:cs="Arial" w:eastAsia="Arial" w:hAnsi="Arial"/>
          <w:sz w:val="18"/>
          <w:szCs w:val="18"/>
          <w:color w:val="auto"/>
        </w:rPr>
        <w:t>risk revenue is often recognized long after medical services have been provided. The Medicare business also benefited from favorable medical care trends and improved medical management of inpatient utilization for this population. Accurate and complete risk score documentation and effective management of chronic and high acuity conditions are critical to the successful management of this program for the rest of the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Lower Marketplace premium revenue was driven by a decrease in membership of over 50%, offset by premium rate increases. As previously disclosed, we increased premium rates and reduced our Marketplace presence effective January 1, 2018, as part of our overall program to improve profitability.</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medical care ratio for the Marketplace program decreased to 57.4% in the second quarter of 2018, from 101.9% in the second quarter of 2017; and was 54.4% in the six months ended June 30, 2018, down from 88.6% in the six months ended June 30, 2017.</w:t>
      </w:r>
    </w:p>
    <w:p>
      <w:pPr>
        <w:spacing w:after="0" w:line="1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Excluding the Marketplace risk adjustments and CSR adjustments relating to prior year dates of service in both periods, the Marketplace medical care ratio would have been 68.4% in the second quarter of 2018, compared with 96.3% in second quarter of 2017, and would have been 66.0% in the six months ended June 30, 2018, compared with 86.2% in the six months ended June 30, 2017.</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STATE</w:t>
      </w:r>
    </w:p>
    <w:p>
      <w:pPr>
        <w:spacing w:after="0" w:line="2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state health plan for the periods indicated (PMPM amounts are in whole dollars; member months and other dollar amounts are in millions):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Medicaid and Medicare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June 30, 2018</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247.36</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353.81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339.31</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261.59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342.45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292.20</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469.88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435.36</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571.08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514.57</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168.20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304.20</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835.66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740.55</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252.61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232.49</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322.99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274.59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3,966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358.23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3,536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319.37</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June 30, 2017</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347.20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337.92</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336.76</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333.26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305.40</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443.13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428.58</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536.90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496.41</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194.42</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326.57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304.14</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752.01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679.43</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244.58</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294.15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268.91</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3,971</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354.87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3,708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331.36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Six Months Ended June 30, 2018</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281.14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237.26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328.26</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305.94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259.87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339.56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294.19</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468.00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444.44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573.87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497.75</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174.74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349.15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300.87</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822.72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744.05</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254.64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242.48</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318.94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273.97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7,859</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356.59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319.43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Six Months Ended June 30, 2017</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343.29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333.23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322.63</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330.34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295.02</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432.98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419.65</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532.35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482.73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181.24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321.85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298.79</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751.94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687.96</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243.18</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291.93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262.97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7,868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351.35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7,255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323.98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jc w:val="right"/>
              <w:spacing w:after="0"/>
              <w:rPr>
                <w:sz w:val="20"/>
                <w:szCs w:val="20"/>
                <w:color w:val="auto"/>
              </w:rPr>
            </w:pPr>
            <w:r>
              <w:rPr>
                <w:rFonts w:ascii="Arial" w:cs="Arial" w:eastAsia="Arial" w:hAnsi="Arial"/>
                <w:sz w:val="16"/>
                <w:szCs w:val="16"/>
                <w:color w:val="auto"/>
              </w:rPr>
              <w:t>______________________</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Idaho, New York, Utah and Wisconsin health plans, which are not individually significant to our consolidated operating results.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48</w:t>
      </w:r>
    </w:p>
    <w:p>
      <w:pPr>
        <w:sectPr>
          <w:pgSz w:w="11900" w:h="16838" w:orient="portrait"/>
          <w:cols w:equalWidth="0" w:num="1">
            <w:col w:w="11420"/>
          </w:cols>
          <w:pgMar w:left="240" w:top="140"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2018</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426.16</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117.92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698.31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269.86</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38.6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288.67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146.97</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50.9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418.82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247.06</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59.0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518.64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381.46</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73.6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330.12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238.72</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72.3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787.80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572.48</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72.7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540"/>
              <w:spacing w:after="0"/>
              <w:rPr>
                <w:sz w:val="20"/>
                <w:szCs w:val="20"/>
                <w:color w:val="auto"/>
              </w:rPr>
            </w:pPr>
            <w:r>
              <w:rPr>
                <w:rFonts w:ascii="Arial" w:cs="Arial" w:eastAsia="Arial" w:hAnsi="Arial"/>
                <w:sz w:val="16"/>
                <w:szCs w:val="16"/>
                <w:color w:val="auto"/>
              </w:rPr>
              <w:t>NM</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NM</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548</w:t>
            </w:r>
          </w:p>
        </w:tc>
        <w:tc>
          <w:tcPr>
            <w:tcW w:w="360" w:type="dxa"/>
            <w:vAlign w:val="bottom"/>
            <w:tcBorders>
              <w:top w:val="single" w:sz="8" w:color="CCEEFF"/>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400" w:type="dxa"/>
            <w:vAlign w:val="bottom"/>
            <w:tcBorders>
              <w:top w:val="single" w:sz="8" w:color="CCEEFF"/>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253.04</w:t>
            </w:r>
          </w:p>
        </w:tc>
        <w:tc>
          <w:tcPr>
            <w:tcW w:w="13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2017</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186.90</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154.23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284.60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336.78</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204.15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135.89</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66.6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367.98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266.91</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72.5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377.94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404.20</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106.9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247.49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180.92</w:t>
            </w:r>
          </w:p>
        </w:tc>
        <w:tc>
          <w:tcPr>
            <w:tcW w:w="1300" w:type="dxa"/>
            <w:vAlign w:val="bottom"/>
            <w:gridSpan w:val="3"/>
          </w:tcPr>
          <w:p>
            <w:pPr>
              <w:jc w:val="right"/>
              <w:ind w:right="104"/>
              <w:spacing w:after="0"/>
              <w:rPr>
                <w:sz w:val="20"/>
                <w:szCs w:val="20"/>
                <w:color w:val="auto"/>
              </w:rPr>
            </w:pPr>
            <w:r>
              <w:rPr>
                <w:rFonts w:ascii="Arial" w:cs="Arial" w:eastAsia="Arial" w:hAnsi="Arial"/>
                <w:sz w:val="16"/>
                <w:szCs w:val="16"/>
                <w:color w:val="auto"/>
              </w:rPr>
              <w:t>73.1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317.42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359.87</w:t>
            </w:r>
          </w:p>
        </w:tc>
        <w:tc>
          <w:tcPr>
            <w:tcW w:w="13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113.4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304.00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383.02</w:t>
            </w:r>
          </w:p>
        </w:tc>
        <w:tc>
          <w:tcPr>
            <w:tcW w:w="1300" w:type="dxa"/>
            <w:vAlign w:val="bottom"/>
            <w:tcBorders>
              <w:bottom w:val="single" w:sz="8" w:color="CCEEFF"/>
            </w:tcBorders>
            <w:gridSpan w:val="3"/>
          </w:tcPr>
          <w:p>
            <w:pPr>
              <w:jc w:val="right"/>
              <w:ind w:right="104"/>
              <w:spacing w:after="0"/>
              <w:rPr>
                <w:sz w:val="20"/>
                <w:szCs w:val="20"/>
                <w:color w:val="auto"/>
              </w:rPr>
            </w:pPr>
            <w:r>
              <w:rPr>
                <w:rFonts w:ascii="Arial" w:cs="Arial" w:eastAsia="Arial" w:hAnsi="Arial"/>
                <w:sz w:val="16"/>
                <w:szCs w:val="16"/>
                <w:color w:val="auto"/>
              </w:rPr>
              <w:t>126.0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769</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783</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272.37</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Six Months Ended June 30, 2018</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334.47</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141.73</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42.4%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468.36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73.13</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254.69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145.49</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57.1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429.19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246.77</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57.5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458.48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319.53</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69.7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318.93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216.83</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68.0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653.89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486.90</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74.5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NM</w:t>
            </w: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gridSpan w:val="3"/>
          </w:tcPr>
          <w:p>
            <w:pPr>
              <w:jc w:val="center"/>
              <w:ind w:right="80"/>
              <w:spacing w:after="0"/>
              <w:rPr>
                <w:sz w:val="20"/>
                <w:szCs w:val="20"/>
                <w:color w:val="auto"/>
              </w:rPr>
            </w:pPr>
            <w:r>
              <w:rPr>
                <w:rFonts w:ascii="Arial" w:cs="Arial" w:eastAsia="Arial" w:hAnsi="Arial"/>
                <w:sz w:val="16"/>
                <w:szCs w:val="16"/>
                <w:color w:val="auto"/>
                <w:w w:val="96"/>
              </w:rPr>
              <w:t>NM</w:t>
            </w: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978</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373.67</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532</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203.34</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54.4%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Six Months Ended June 30, 2017</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288.81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269.48</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177.12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116.21</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317.10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249.90</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356.20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339.26</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235.07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171.07</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310.26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362.78</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313.77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342.88</w:t>
            </w:r>
          </w:p>
        </w:tc>
        <w:tc>
          <w:tcPr>
            <w:tcW w:w="13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4"/>
        </w:trPr>
        <w:tc>
          <w:tcPr>
            <w:tcW w:w="20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234.62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8890</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8890</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8890</wp:posOffset>
            </wp:positionV>
            <wp:extent cx="1732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28" w:lineRule="exact"/>
        <w:rPr>
          <w:sz w:val="20"/>
          <w:szCs w:val="20"/>
          <w:color w:val="auto"/>
        </w:rPr>
      </w:pPr>
    </w:p>
    <w:p>
      <w:pPr>
        <w:ind w:left="3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includes the Utah and Wisconsin health plans, which are not individually significant to our consolidated operating results. We terminated Marketplace operations at these plans effective January 1, 2018, so the ratios for 2018 periods are not meaningful (NM).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June 30, 2018</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236.04</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394.38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331.13</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261.59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340.08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285.78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416.99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567.96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506.66</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168.20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304.20</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585.50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492.23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268.84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242.80</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360.90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285.65</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4"/>
        </w:trPr>
        <w:tc>
          <w:tcPr>
            <w:tcW w:w="2040" w:type="dxa"/>
            <w:vAlign w:val="bottom"/>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4,514</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366.57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312.68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3"/>
                <w:szCs w:val="23"/>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50</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Three Months Ended June 30, 2017</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294.09</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606</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262.34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318.21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337.39</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106.0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336.76</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116.3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295.06</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435.34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411.83</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94.6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527.14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490.75</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194.42</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105.5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326.57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304.14</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495.93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426.41</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279.21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251.16</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298.29</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316.89</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106.2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4,740</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336.98</w:t>
            </w:r>
          </w:p>
        </w:tc>
        <w:tc>
          <w:tcPr>
            <w:tcW w:w="10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4,491</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319.29</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94.8%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 2018</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286.07</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228.44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367.18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296.29</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80.7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259.87</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84.9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335.59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287.23</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85.6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424.58</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91.5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566.77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486.79</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85.9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174.74</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91.6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349.15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300.87</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86.2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567.95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477.43</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84.1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267.01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250.05</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93.6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263.24</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79.0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8,837</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358.40</w:t>
            </w:r>
          </w:p>
        </w:tc>
        <w:tc>
          <w:tcPr>
            <w:tcW w:w="10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7,572</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307.11</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 2017</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1,116</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245.02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303.09</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95.5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282.66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322.63</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114.1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284.24</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88.5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421.11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402.27</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95.5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521.57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473.95</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90.9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181.24</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97.8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321.85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298.79</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92.8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491.46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427.48</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87.0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276.99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249.79</w:t>
            </w:r>
          </w:p>
        </w:tc>
        <w:tc>
          <w:tcPr>
            <w:tcW w:w="1300" w:type="dxa"/>
            <w:vAlign w:val="bottom"/>
            <w:gridSpan w:val="3"/>
          </w:tcPr>
          <w:p>
            <w:pPr>
              <w:jc w:val="right"/>
              <w:ind w:right="88"/>
              <w:spacing w:after="0"/>
              <w:rPr>
                <w:sz w:val="20"/>
                <w:szCs w:val="20"/>
                <w:color w:val="auto"/>
              </w:rPr>
            </w:pPr>
            <w:r>
              <w:rPr>
                <w:rFonts w:ascii="Arial" w:cs="Arial" w:eastAsia="Arial" w:hAnsi="Arial"/>
                <w:sz w:val="16"/>
                <w:szCs w:val="16"/>
                <w:color w:val="auto"/>
              </w:rPr>
              <w:t>90.2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296.58</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98.5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9,388</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333.68</w:t>
            </w:r>
          </w:p>
        </w:tc>
        <w:tc>
          <w:tcPr>
            <w:tcW w:w="10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8,602</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305.74</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91.6%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Idaho, New York, Utah and Wisconsin health plans, which are not individually significant to our consolidated operating results.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51</w:t>
      </w:r>
    </w:p>
    <w:p>
      <w:pPr>
        <w:sectPr>
          <w:pgSz w:w="11900" w:h="16838" w:orient="portrait"/>
          <w:cols w:equalWidth="0" w:num="1">
            <w:col w:w="11420"/>
          </w:cols>
          <w:pgMar w:left="240" w:top="140"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COSTS BY TYPE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consolidated medical care costs by category for the periods indicated (dollars in millions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PMPM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75"/>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r>
      <w:tr>
        <w:trPr>
          <w:trHeight w:val="196"/>
        </w:trPr>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232.40</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238.04</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46.05</w:t>
            </w:r>
          </w:p>
        </w:tc>
        <w:tc>
          <w:tcPr>
            <w:tcW w:w="120" w:type="dxa"/>
            <w:vAlign w:val="bottom"/>
          </w:tcPr>
          <w:p>
            <w:pPr>
              <w:spacing w:after="0"/>
              <w:rPr>
                <w:sz w:val="22"/>
                <w:szCs w:val="22"/>
                <w:color w:val="auto"/>
              </w:rPr>
            </w:pP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46.23</w:t>
            </w:r>
          </w:p>
        </w:tc>
        <w:tc>
          <w:tcPr>
            <w:tcW w:w="100" w:type="dxa"/>
            <w:vAlign w:val="bottom"/>
          </w:tcPr>
          <w:p>
            <w:pPr>
              <w:spacing w:after="0"/>
              <w:rPr>
                <w:sz w:val="22"/>
                <w:szCs w:val="22"/>
                <w:color w:val="auto"/>
              </w:rPr>
            </w:pPr>
          </w:p>
        </w:tc>
        <w:tc>
          <w:tcPr>
            <w:tcW w:w="1540" w:type="dxa"/>
            <w:vAlign w:val="bottom"/>
          </w:tcPr>
          <w:p>
            <w:pPr>
              <w:jc w:val="right"/>
              <w:ind w:right="101"/>
              <w:spacing w:after="0"/>
              <w:rPr>
                <w:sz w:val="20"/>
                <w:szCs w:val="20"/>
                <w:color w:val="auto"/>
              </w:rPr>
            </w:pPr>
            <w:r>
              <w:rPr>
                <w:rFonts w:ascii="Arial" w:cs="Arial" w:eastAsia="Arial" w:hAnsi="Arial"/>
                <w:sz w:val="16"/>
                <w:szCs w:val="16"/>
                <w:color w:val="auto"/>
              </w:rPr>
              <w:t>14.5</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22.89</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25.29</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7.9</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3.1</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312.68</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319.29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94"/>
        </w:trPr>
        <w:tc>
          <w:tcPr>
            <w:tcW w:w="1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64"/>
        </w:trPr>
        <w:tc>
          <w:tcPr>
            <w:tcW w:w="1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5,606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227.38</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6,434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228.68</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46.66</w:t>
            </w:r>
          </w:p>
        </w:tc>
        <w:tc>
          <w:tcPr>
            <w:tcW w:w="120" w:type="dxa"/>
            <w:vAlign w:val="bottom"/>
          </w:tcPr>
          <w:p>
            <w:pPr>
              <w:spacing w:after="0"/>
              <w:rPr>
                <w:sz w:val="22"/>
                <w:szCs w:val="22"/>
                <w:color w:val="auto"/>
              </w:rPr>
            </w:pP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2"/>
                <w:szCs w:val="22"/>
                <w:color w:val="auto"/>
              </w:rPr>
            </w:pPr>
          </w:p>
        </w:tc>
        <w:tc>
          <w:tcPr>
            <w:tcW w:w="1540" w:type="dxa"/>
            <w:vAlign w:val="bottom"/>
          </w:tcPr>
          <w:p>
            <w:pPr>
              <w:jc w:val="right"/>
              <w:ind w:right="101"/>
              <w:spacing w:after="0"/>
              <w:rPr>
                <w:sz w:val="20"/>
                <w:szCs w:val="20"/>
                <w:color w:val="auto"/>
              </w:rPr>
            </w:pPr>
            <w:r>
              <w:rPr>
                <w:rFonts w:ascii="Arial" w:cs="Arial" w:eastAsia="Arial" w:hAnsi="Arial"/>
                <w:sz w:val="16"/>
                <w:szCs w:val="16"/>
                <w:color w:val="auto"/>
              </w:rPr>
              <w:t>14.7</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24.09</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7.9</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307.11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305.74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828282"/>
        </w:rPr>
        <w:t>PREMIUM TAXES</w:t>
      </w:r>
    </w:p>
    <w:p>
      <w:pPr>
        <w:spacing w:after="0" w:line="2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2.3% in the second quarter of 2018 compared with 2.4% in the second quarter of 2017 and 2.3% in both the six months ended June 30, 2018 and 2017.</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Health insurer fees reimbursed amounted to $104 million and $ 165 million, and health insurer fees amounted to $ 99 million and $174 million, in the second quarter of 2018 and the six months ended June 30, 2018, respectively. In the second quarter of 2018, we recognized revenue related to the reimbursement of Medicaid health insurer fees from New Mexico, New York, and Puerto Rico, because we received adequate documentation of the intent to reimburse such fees.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reimbursed or expensed in 2017 due to the HIF moratorium under the Consolidated Appropriations Act of 2016.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MEDICAID SOLUTIONS</w:t>
      </w:r>
    </w:p>
    <w:p>
      <w:pPr>
        <w:spacing w:after="0" w:line="25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Molina Medicaid Solutions segment provides support to state government agencies’ administration of their Medicaid programs, including business processing, information technology development and administrative services.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June 2018, we entered into a definitive agreement to sell Molina Medicaid Solutions (MMS) to DXC Technology Company. The divestiture, expected to close in the third quarter of 2018, is subject to the satisfaction of customary closing conditions and the receipt of certain third party consents and regulatory approvals.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Molina Medicaid Solutions segment service margin for the second quarter of 2018 and 2017 and for the six months ended June 30, 2018 and 2017, was insignificant.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52</w:t>
      </w:r>
    </w:p>
    <w:p>
      <w:pPr>
        <w:sectPr>
          <w:pgSz w:w="11900" w:h="16838" w:orient="portrait"/>
          <w:cols w:equalWidth="0" w:num="1">
            <w:col w:w="11420"/>
          </w:cols>
          <w:pgMar w:left="240" w:top="140"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5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Other segment service margin for the second quarter of 2018 and 2017 and for the six months ended June 30, 2018 and 2017, was insignificant.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 CONSOLIDATED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EXPENSES</w:t>
      </w:r>
    </w:p>
    <w:p>
      <w:pPr>
        <w:spacing w:after="0" w:line="22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G&amp;A ratio decreased to 6.9% in the second quarter of 2018, compared with 8.1% in the second quarter of 2017. The G&amp;A ratio decreased to 7.2% for the six months ended June 30, 2018, compared with 8.5% for the six months ended June 30, 2017. Refer to the discussion above, in “Consolidated Results.”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IMPAIRMENT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were recorded in the first half of 2018.</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second quarter of 2017, we recorded $72 million in non-cash impairment losses for goodwill and intangibles, primarily relating to our Pathways subsidiary. In the course of developing the 2017 Restructuring Plan, we determined that future benefits to be derived from Pathways (including integration with our health plans) would be less than previously anticipated.</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RESTRUCTURING AND SEPARATION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10, “Restructuring and Separation Costs.”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Interest expense was $32 million for the second quarter of 2018, compared with $27 million for the second quarter of 2017. Interest expense was $65 million for the six months ended June 30, 2018, compared with $53 million for the six months ended June 30, 2017. As further described below in “Liquidity,” year to date we have reduced the principal amount of outstanding debt by $493 million.</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Interest expense includes non-cash interest expense relating primarily to the amortization of the discount on convertible senior notes, which amounted to $6 million and $8 million in the second quarter of 2018 and 2017, respectively and $13 million and $16 million in the six months ended June 30, 2018 and 2017, respectively. See further discussion in Notes to Consolidated Financial Statements, Note 7, “Debt.”</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six months ended June 30, 2018, we recorded other expenses of $15 million due to the loss on debt extinguishment resulting from our 1.125% Convertible Notes repayments and the 1.625% Exchange. These transactions are described further in Notes to Consolidated Financial Statements, Note 7, “Debt.” In February of 2017, we received a $75 million fee in connection with a terminated Medicare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provision for income taxes was recorded at an effective rate of 33.8% for the second quarter of 2018, compared with a benefit of 26.8% for the second quarter of 2017, and 36.2% for the six months ended June 30, 2018, compared with a benefit of 16.0% for the six months ended June 30, 2017. The effective tax rate for 2018 differs from 2017 as a result of the reduction in the federal statutory rate from 35% to 21% under the TCJA, combined with higher non-deductible expenses in 2018 primarily related to the non-deductible HIF as a percentage of pre-tax income (loss). The HIF was not applicable in 2017 due to the 2017 HIF moratorium.</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53</w:t>
      </w:r>
    </w:p>
    <w:p>
      <w:pPr>
        <w:sectPr>
          <w:pgSz w:w="11900" w:h="16838" w:orient="portrait"/>
          <w:cols w:equalWidth="0" w:num="1">
            <w:col w:w="11420"/>
          </w:cols>
          <w:pgMar w:left="240" w:top="140"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INTRODUCTION</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 majority of the assets held by our Health Plans segment regulated subsidiaries is in the form of cash, cash equivalents, and investments. 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that conform to applicable state laws and regulations.</w:t>
      </w:r>
    </w:p>
    <w:p>
      <w:pPr>
        <w:spacing w:after="0" w:line="20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investments are classified as current assets, except for our held-to-maturity restricted investments, which are classified as non-current assets, and which are not included in the totals below. Our held-to-maturity restricted investments are invested principally in certificates of deposit and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291465</wp:posOffset>
            </wp:positionV>
            <wp:extent cx="7212330" cy="3078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Investment income increased to $42 million for the six months ended June 30, 2018, compared with $22 million for the six months ended June 30, 2017, primarily due to increases in our average invested assets, and in our annualized portfolio yield.</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MARKET RISK</w:t>
      </w:r>
    </w:p>
    <w:p>
      <w:pPr>
        <w:spacing w:after="0" w:line="22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2018, the fair value of our fixed income investments would decrease by approximately $19 million. Declines in interest rates over time will reduce our investment income.</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96"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As of June 30, 2018, no amounts were outstanding under the Credit Facility.</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54</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condensed schedule of cash flows to facilitate our discussion of liquidity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left="121"/>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Pr>
          <w:p>
            <w:pPr>
              <w:spacing w:after="0"/>
              <w:rPr>
                <w:sz w:val="22"/>
                <w:szCs w:val="22"/>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1,244</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40"/>
        </w:trPr>
        <w:tc>
          <w:tcPr>
            <w:tcW w:w="6740" w:type="dxa"/>
            <w:vAlign w:val="bottom"/>
          </w:tcPr>
          <w:p>
            <w:pPr>
              <w:ind w:left="18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decreased $358 million in the six months ended June 30, 2018, compared with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2017. Increased net income of $462 million was offset by the following:</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Receivables and deferred revenue. </w:t>
      </w:r>
      <w:r>
        <w:rPr>
          <w:rFonts w:ascii="Arial" w:cs="Arial" w:eastAsia="Arial" w:hAnsi="Arial"/>
          <w:sz w:val="18"/>
          <w:szCs w:val="18"/>
          <w:color w:val="auto"/>
        </w:rPr>
        <w:t>The aggregate year-over-year change in receivables and deferred revenue reduced cash flows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by $293 million. Cash flows from operations in each period were impacted by the timing of premium receipts, including health insurer fees (HIF) to be reimbursed in 2018. In general, state or federal payors may delay our premium payments, which we record as a receivable, or they may prepay the following month’s premium payment, which we record as deferred revenue. We typically receive capitation payments monthly; however, state or federal payors may decide to adjust their payment schedules which could positively or negatively impact our reported cash flows from operating activities in any given period. In 2018, the year-over-year effect of the timing of premiums received at our California, Florida, Ohio, and Washington health plans negatively impacted our cash flows from operating activities. In 2017, no receivables were recorded for the HIF due to the moratorium in that year.</w:t>
      </w:r>
    </w:p>
    <w:p>
      <w:pPr>
        <w:spacing w:after="0" w:line="18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Prepaid expenses and other current assets, and accounts payable and accrued liabilities. </w:t>
      </w:r>
      <w:r>
        <w:rPr>
          <w:rFonts w:ascii="Arial" w:cs="Arial" w:eastAsia="Arial" w:hAnsi="Arial"/>
          <w:sz w:val="18"/>
          <w:szCs w:val="18"/>
          <w:color w:val="auto"/>
        </w:rPr>
        <w:t>Each of these accounts increased significantly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primarily due to amounts recorded in connection with the reinstatement of the HIF in 2018, with no comparable activity in 2017.</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In the six months ended June 30, 2018, the change in medical claims and benefits payable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from operations by $415 million, primarily due to the decline in reserves resulting from reduced Marketplace membership in Florida, Utah, Washington and Wisconsin.</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Amounts due government agencies. </w:t>
      </w:r>
      <w:r>
        <w:rPr>
          <w:rFonts w:ascii="Arial" w:cs="Arial" w:eastAsia="Arial" w:hAnsi="Arial"/>
          <w:sz w:val="18"/>
          <w:szCs w:val="18"/>
          <w:color w:val="auto"/>
        </w:rPr>
        <w:t>While amounts due government agencies increased $205 million in the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less than the increase experienced in the six months ended June 30, 2017, resulting in a year over year reduction in cash flows from operations of $437 million. This decrease was primarily due to a decline in the amounts accrued for Marketplace CSR subsidies year over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Investing activities were a source of cash of $398 million in the six months ended June 30, 2018, and a use of cash of $846 million in the six months ended June 30, 2017. This was primarily due to reduced purchases of investments and higher proceeds from sales and maturities of investments in the six months ended June 30, 2018, largely a result of the financing activities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Net cash used in financing activities increased $836 million in the six months ended June 30, 2018 compared with the six months ended June 30, 2017. The increase in cash used in the six months ended June 30, 2018 was due to the following:</w:t>
      </w:r>
    </w:p>
    <w:p>
      <w:pPr>
        <w:spacing w:after="0" w:line="1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$300 million repayment the Credit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$89 million repayment of the 1.125% Convertible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$134 million cash paid for partial settlement of the 1.125% Conversion Option;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$113 million cash paid for partial termination of the 1.125% Warrants.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55</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These uses of cash were partially offset by $134 million cash received for the settlement of a portion of the 1.125% Call Option. In the six months ended June 30, 2017, we received proceeds of $325 million from the sale of the 4.875% Notes.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our cash resources, our borrowing capacity available under our Bridge Credit Agreement and Credit Facility as discussed further below in “Future Sources and Uses of Liquidity—Future Sources,” and internally generated funds will be sufficient to support operations, regulatory requirements, debt repayment obligations and capital expenditures for at least the next 12 months.</w:t>
      </w:r>
    </w:p>
    <w:p>
      <w:pPr>
        <w:spacing w:after="0" w:line="20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On a consolidated basis, at June 30, 2018, our working capital was $2,207 million, compared with $1,954 million at December 31, 2017. At June 30, 2018, our cash and investments amounted to $5,767 million, compared with $6,000 million at December 31, 2017.</w:t>
      </w:r>
    </w:p>
    <w:p>
      <w:pPr>
        <w:spacing w:after="0" w:line="19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$350 million and $696 million as of June 30, 2018 and December 31, 2017, respectively.</w:t>
      </w:r>
    </w:p>
    <w:p>
      <w:pPr>
        <w:spacing w:after="0" w:line="7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Debt Ratings. </w:t>
      </w:r>
      <w:r>
        <w:rPr>
          <w:rFonts w:ascii="Arial" w:cs="Arial" w:eastAsia="Arial" w:hAnsi="Arial"/>
          <w:sz w:val="18"/>
          <w:szCs w:val="18"/>
          <w:color w:val="auto"/>
        </w:rPr>
        <w:t>Our 5.375% Notes are rated “BB-” by Standard &amp; Poor’s, and “B3” by Moody’s Investor Service, Inc. A significant downgrade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ratings could adversely affect our borrowing capacity and increase our borrowing costs.</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Our Credit Facility contains customary non-financial and financial covenants, including a net leverage ratio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coverage ratio. Such ratios, presented below, are computed as defined by the terms of the Credit Facility.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spacing w:after="0"/>
              <w:rPr>
                <w:sz w:val="16"/>
                <w:szCs w:val="16"/>
                <w:color w:val="auto"/>
              </w:rPr>
            </w:pPr>
          </w:p>
        </w:tc>
      </w:tr>
      <w:tr>
        <w:trPr>
          <w:trHeight w:val="228"/>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Credit Facility Financial Covenants</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As of June 30, 2018</w:t>
            </w:r>
          </w:p>
        </w:tc>
      </w:tr>
      <w:tr>
        <w:trPr>
          <w:trHeight w:val="324"/>
        </w:trPr>
        <w:tc>
          <w:tcPr>
            <w:tcW w:w="556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260" w:type="dxa"/>
            <w:vAlign w:val="bottom"/>
            <w:gridSpan w:val="2"/>
            <w:shd w:val="clear" w:color="auto" w:fill="CCEEFF"/>
          </w:tcPr>
          <w:p>
            <w:pPr>
              <w:jc w:val="center"/>
              <w:ind w:left="237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1.4x</w:t>
            </w:r>
          </w:p>
        </w:tc>
      </w:tr>
      <w:tr>
        <w:trPr>
          <w:trHeight w:val="251"/>
        </w:trPr>
        <w:tc>
          <w:tcPr>
            <w:tcW w:w="556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9.7x</w:t>
            </w:r>
          </w:p>
        </w:tc>
      </w:tr>
    </w:tbl>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the indentures governing the 4.875% Notes, the 5.375% Notes, the 1.125% Convertible Notes and the 1.625% Convertible Notes contain cross-default provisions that are triggered upon default by us or any of our subsidiaries on any indebtedness in excess of the amount specified in the applicable indenture. Our Bridge Credit Agreement contains customary non-financial covenants. As of June 30, 2018, we were in compliance with all covenants under the Credit Facility, our Bridge Credit Agreement and the indentures governing our outstanding notes.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In the six months ended June 30, 2018, the regulated health plan subsidiaries paid $50 million in dividends to the parent, and the unregulated subsidiaries paid $10 million in dividends to the parent. In July 2018, the regulated health plan subsidiaries paid $60 million in dividends to the parent. For more information on our regulatory capital requirements and dividend restrictions, refer to Notes to Consolidated Financial Statements, Note 12, “Commitments and Contingencies—Regulatory Capital Requirements and Dividend Restrictions.”</w:t>
      </w:r>
    </w:p>
    <w:p>
      <w:pPr>
        <w:spacing w:after="0" w:line="18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i w:val="1"/>
          <w:iCs w:val="1"/>
          <w:color w:val="auto"/>
        </w:rPr>
        <w:t xml:space="preserve">Borrowing Capacity and Debt Financing. </w:t>
      </w:r>
      <w:r>
        <w:rPr>
          <w:rFonts w:ascii="Arial" w:cs="Arial" w:eastAsia="Arial" w:hAnsi="Arial"/>
          <w:sz w:val="18"/>
          <w:szCs w:val="18"/>
          <w:color w:val="auto"/>
        </w:rPr>
        <w:t>We have available borrowing capacity of $550 million under our Bridge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is subject to the use of proceeds restrictions set forth in the Bridge Credit Agreement), and $494 million under our Credit Facility. In addition, we have adequate cash held in a restricted</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56</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account available to satisfy the redemption or conversion cash payments applicable to the $64 million principal balance outstanding under our 1.625% Convertible Notes, when they are redeemed or converted in the third quarter of 2018. See further discussion in the Notes to Consolidated Financial Statements, Note 7, “Debt.”</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Sale of MMS. </w:t>
      </w:r>
      <w:r>
        <w:rPr>
          <w:rFonts w:ascii="Arial" w:cs="Arial" w:eastAsia="Arial" w:hAnsi="Arial"/>
          <w:sz w:val="18"/>
          <w:szCs w:val="18"/>
          <w:color w:val="auto"/>
        </w:rPr>
        <w:t>We expect the net cash selling price for the equity interests of MMS to approximate $220 million after certain adjustments. See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in the Notes to Consolidated Financial Statements, Note 1, “Basis of Presentation.”</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2017 Restructuring Plan. </w:t>
      </w:r>
      <w:r>
        <w:rPr>
          <w:rFonts w:ascii="Arial" w:cs="Arial" w:eastAsia="Arial" w:hAnsi="Arial"/>
          <w:sz w:val="18"/>
          <w:szCs w:val="18"/>
          <w:color w:val="auto"/>
        </w:rPr>
        <w:t>As previously disclosed, we estimate that the 2017 Restructuring Plan will reduce annualized run-rate expenses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$300 million to $ 400 million when completed by the end of 2018. This estimate includes run-rate savings of approximately $10 million relating to actions taken in the first quarter of 2018. We expect the cost savings to reduce both “General and administrative expenses” and “Medical care costs” reported in our consolidated statements of operations. The following table illustrates our estimates of run-rate savings associated with the 2017 Restructuring Plan, which have not changed significantly since our estimate at December 31, 2017. Such savings will be offset, through the end of 2018, by the costs referred to in the Notes to Consolidated Financial Statements, Note 10, “Restructuring and Separation Costs.”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 Savings Expected to be Realized by Reportable Segment</w:t>
            </w: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Health Plans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Other</w:t>
            </w:r>
          </w:p>
        </w:tc>
        <w:tc>
          <w:tcPr>
            <w:tcW w:w="1480" w:type="dxa"/>
            <w:vAlign w:val="bottom"/>
          </w:tcPr>
          <w:p>
            <w:pPr>
              <w:ind w:left="560"/>
              <w:spacing w:after="0"/>
              <w:rPr>
                <w:sz w:val="20"/>
                <w:szCs w:val="20"/>
                <w:color w:val="auto"/>
              </w:rPr>
            </w:pPr>
            <w:r>
              <w:rPr>
                <w:rFonts w:ascii="Arial" w:cs="Arial" w:eastAsia="Arial" w:hAnsi="Arial"/>
                <w:sz w:val="16"/>
                <w:szCs w:val="16"/>
                <w:b w:val="1"/>
                <w:bCs w:val="1"/>
                <w:color w:val="auto"/>
              </w:rPr>
              <w:t>Total</w:t>
            </w:r>
          </w:p>
        </w:tc>
      </w:tr>
      <w:tr>
        <w:trPr>
          <w:trHeight w:val="260"/>
        </w:trPr>
        <w:tc>
          <w:tcPr>
            <w:tcW w:w="6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Borders>
              <w:top w:val="single" w:sz="8" w:color="auto"/>
            </w:tcBorders>
          </w:tcPr>
          <w:p>
            <w:pPr>
              <w:spacing w:after="0"/>
              <w:rPr>
                <w:sz w:val="22"/>
                <w:szCs w:val="22"/>
                <w:color w:val="auto"/>
              </w:rPr>
            </w:pPr>
          </w:p>
        </w:tc>
      </w:tr>
      <w:tr>
        <w:trPr>
          <w:trHeight w:val="28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 to $152</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$157 to $217</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Medical care costs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 to $166</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$143 to $183</w:t>
            </w:r>
          </w:p>
        </w:tc>
      </w:tr>
      <w:tr>
        <w:trPr>
          <w:trHeight w:val="237"/>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 to $231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 to $169</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$300 to $400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We have a shelf registration statement on file with the Securities and Exchange Commission to register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amount of any combination of debt or equity securities in one or more offerings. Specific information regarding the terms and securities being offered and the use of proceeds will be provided at the time of an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In the six months ended June 30, 2018, the parent company contributed capital of</w:t>
      </w:r>
      <w:r>
        <w:rPr>
          <w:rFonts w:ascii="Arial" w:cs="Arial" w:eastAsia="Arial" w:hAnsi="Arial"/>
          <w:sz w:val="18"/>
          <w:szCs w:val="18"/>
          <w:i w:val="1"/>
          <w:iCs w:val="1"/>
          <w:color w:val="auto"/>
        </w:rPr>
        <w:t xml:space="preserve"> </w:t>
      </w:r>
      <w:r>
        <w:rPr>
          <w:rFonts w:ascii="Arial" w:cs="Arial" w:eastAsia="Arial" w:hAnsi="Arial"/>
          <w:sz w:val="18"/>
          <w:szCs w:val="18"/>
          <w:color w:val="auto"/>
        </w:rPr>
        <w:t>$117 million to our regulated health plan subsidiaries to satisfy statutory net worth requirements.</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Refer to the Notes to Consolidated Financial Statements, Note 7, “Debt,” for a detailed discussion of our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including recent transactions.</w:t>
      </w:r>
    </w:p>
    <w:p>
      <w:pPr>
        <w:spacing w:after="0" w:line="180" w:lineRule="exact"/>
        <w:rPr>
          <w:sz w:val="20"/>
          <w:szCs w:val="20"/>
          <w:color w:val="auto"/>
        </w:rPr>
      </w:pPr>
    </w:p>
    <w:p>
      <w:pPr>
        <w:ind w:left="340" w:right="60" w:hanging="332"/>
        <w:spacing w:after="0" w:line="25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1.625% Convertible Notes. On July 11, 2018, we announced notice of our election to redeem the remaining $64 million aggregate principal amount of the 1.625% Convertible Notes on August 20, 2018 (the Redemption Date). Pursuant to the terms of the indenture, the 1.625% Convertible Notes will be redeemed for cash equal to 100% of the principal amount plus accrued and unpaid interest to, but excluding the Redemption Date (the Redemption Price).</w:t>
      </w:r>
    </w:p>
    <w:p>
      <w:pPr>
        <w:spacing w:after="0" w:line="96" w:lineRule="exact"/>
        <w:rPr>
          <w:rFonts w:ascii="Arial" w:cs="Arial" w:eastAsia="Arial" w:hAnsi="Arial"/>
          <w:sz w:val="18"/>
          <w:szCs w:val="18"/>
          <w:color w:val="auto"/>
        </w:rPr>
      </w:pPr>
    </w:p>
    <w:p>
      <w:pPr>
        <w:ind w:left="340" w:right="60"/>
        <w:spacing w:after="0" w:line="252" w:lineRule="auto"/>
        <w:rPr>
          <w:rFonts w:ascii="Arial" w:cs="Arial" w:eastAsia="Arial" w:hAnsi="Arial"/>
          <w:sz w:val="18"/>
          <w:szCs w:val="18"/>
          <w:color w:val="auto"/>
        </w:rPr>
      </w:pPr>
      <w:r>
        <w:rPr>
          <w:rFonts w:ascii="Arial" w:cs="Arial" w:eastAsia="Arial" w:hAnsi="Arial"/>
          <w:sz w:val="18"/>
          <w:szCs w:val="18"/>
          <w:color w:val="auto"/>
        </w:rPr>
        <w:t>Also pursuant to the indenture, the 1.625% Convertible Notes may be converted until August 17, 2018, at a conversion rate of 17.2157 shares of our common stock per $1,000 principal amount, or approximately $58.09 per share of our common stock. Upon conversion, we will pay cash for the principal and, if applicable, deliver shares of our common stock to the converting holders in an amount per $1,000 principal amount equal to the settlement amount (as defined in the related indenture). After August 17, 2018, holders will be entitled only to the Redemption Price. As noted above, we have adequate cash held in a restricted account available to satisfy the redemption or conversion cash payments applicable to the $64 million principal balance outstanding under our 1.625% Convertible Notes, when they are redeemed or converted in the third quarter of 2018.</w:t>
      </w:r>
    </w:p>
    <w:p>
      <w:pPr>
        <w:spacing w:after="0" w:line="99" w:lineRule="exact"/>
        <w:rPr>
          <w:rFonts w:ascii="Arial" w:cs="Arial" w:eastAsia="Arial" w:hAnsi="Arial"/>
          <w:sz w:val="18"/>
          <w:szCs w:val="18"/>
          <w:color w:val="auto"/>
        </w:rPr>
      </w:pPr>
    </w:p>
    <w:p>
      <w:pPr>
        <w:ind w:left="340" w:right="120" w:hanging="332"/>
        <w:spacing w:after="0" w:line="25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1.125% Convertible Notes. The principal amount of our 1.125% Convertible Notes is convertible into cash prior to its maturity date under certain circumstances, one of which relates to the closing price of our common stock over a specified period. We refer to this conversion trigger as the stock price trigger. The stock price trigger for the 1.125% Notes is $53.00 per share. The 1.125% Convertible Notes met this trigger in the quarter ended June 30, 2018, and are convertible to cash through at least September 30, 2018. Because the 1.125% Convertible Notes may be converted into cash within 12 months, the $420 million carrying amount is reported in current portion of long-term debt as of June 30, 2018. If conversion requests are received, the settlement of the notes must be paid in cash pursuant to the terms of the relevant indentures. We have sufficient available cash, combined with borrowing capacity available under our Credit Facility and Bridge Credit Agreement, to fund conversions should they occur.</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57</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2017, was disclosed in our 2017 Annual Report on Form 10-K. Other than the financing transactions noted in the Notes to Consolidated Financial Statements, Note 7, “Debt,” there were no material changes to this previously filed information outside the ordinary course of business during the six months ended June 30, 2018.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78" w:lineRule="exact"/>
        <w:rPr>
          <w:sz w:val="20"/>
          <w:szCs w:val="20"/>
          <w:color w:val="auto"/>
        </w:rPr>
      </w:pPr>
    </w:p>
    <w:p>
      <w:pPr>
        <w:ind w:left="660" w:right="12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Health Plans segment medical claims and benefits payable</w:t>
      </w:r>
      <w:r>
        <w:rPr>
          <w:rFonts w:ascii="Arial" w:cs="Arial" w:eastAsia="Arial" w:hAnsi="Arial"/>
          <w:sz w:val="18"/>
          <w:szCs w:val="18"/>
          <w:color w:val="auto"/>
        </w:rPr>
        <w:t>. Refer to Notes to Consolidated Financial Statements, Note 6,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six months ended June 30, 2018, to our disclosure reported in “Critical Accounting Estimates” in our Annual Report on Form 10-K for the year ended December 31, 2017.</w:t>
      </w:r>
    </w:p>
    <w:p>
      <w:pPr>
        <w:spacing w:after="0" w:line="182" w:lineRule="exact"/>
        <w:rPr>
          <w:rFonts w:ascii="Arial" w:cs="Arial" w:eastAsia="Arial" w:hAnsi="Arial"/>
          <w:sz w:val="18"/>
          <w:szCs w:val="18"/>
          <w:color w:val="auto"/>
        </w:rPr>
      </w:pPr>
    </w:p>
    <w:p>
      <w:pPr>
        <w:jc w:val="both"/>
        <w:ind w:left="660" w:right="60" w:hanging="328"/>
        <w:spacing w:after="0" w:line="26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Health Plans segment contractual provisions that may adjust or limit revenue or profit</w:t>
      </w:r>
      <w:r>
        <w:rPr>
          <w:rFonts w:ascii="Arial" w:cs="Arial" w:eastAsia="Arial" w:hAnsi="Arial"/>
          <w:sz w:val="18"/>
          <w:szCs w:val="18"/>
          <w:color w:val="auto"/>
        </w:rPr>
        <w:t>. For a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Notes to Consolidated Financial Statements, Note 2, “Significant Accounting Policies.”</w:t>
      </w:r>
    </w:p>
    <w:p>
      <w:pPr>
        <w:spacing w:after="0" w:line="176" w:lineRule="exact"/>
        <w:rPr>
          <w:rFonts w:ascii="Arial" w:cs="Arial" w:eastAsia="Arial" w:hAnsi="Arial"/>
          <w:sz w:val="18"/>
          <w:szCs w:val="18"/>
          <w:color w:val="auto"/>
        </w:rPr>
      </w:pPr>
    </w:p>
    <w:p>
      <w:pPr>
        <w:ind w:left="660" w:right="62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Health Plans segment quality incentives</w:t>
      </w:r>
      <w:r>
        <w:rPr>
          <w:rFonts w:ascii="Arial" w:cs="Arial" w:eastAsia="Arial" w:hAnsi="Arial"/>
          <w:sz w:val="18"/>
          <w:szCs w:val="18"/>
          <w:color w:val="auto"/>
        </w:rPr>
        <w:t>. For a discussion of this topic, including amounts recorded in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refer to Notes to Consolidated Financial Statements, Note 2, “Significant Accounting Policies.”</w:t>
      </w:r>
    </w:p>
    <w:p>
      <w:pPr>
        <w:spacing w:after="0" w:line="161" w:lineRule="exact"/>
        <w:rPr>
          <w:rFonts w:ascii="Arial" w:cs="Arial" w:eastAsia="Arial" w:hAnsi="Arial"/>
          <w:sz w:val="18"/>
          <w:szCs w:val="18"/>
          <w:color w:val="auto"/>
        </w:rPr>
      </w:pPr>
    </w:p>
    <w:p>
      <w:pPr>
        <w:ind w:left="660" w:right="500" w:hanging="328"/>
        <w:spacing w:after="0" w:line="31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Goodwill and intangible assets, net. </w:t>
      </w:r>
      <w:r>
        <w:rPr>
          <w:rFonts w:ascii="Arial" w:cs="Arial" w:eastAsia="Arial" w:hAnsi="Arial"/>
          <w:sz w:val="17"/>
          <w:szCs w:val="17"/>
          <w:color w:val="auto"/>
        </w:rPr>
        <w:t>There have been no significant changes during the six months ended June 30, 2018,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reported in “Critical Accounting Estimates” in our Annual Report on Form 10-K for the year ended December 31, 2017.</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SUPPLEMENTAL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FINANCIAL MEASURES THAT SUPPLEMENT U.S. GAAP (NON-GAAP FINANCIAL MEASURES)</w:t>
      </w:r>
    </w:p>
    <w:p>
      <w:pPr>
        <w:spacing w:after="0" w:line="22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use these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58</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believe that earnings before interest, taxes, depreciation and amortization (EBITDA*) is helpful in assessing our ability to meet the cash demands of our operating units.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software</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w:t>
            </w:r>
          </w:p>
        </w:tc>
      </w:tr>
      <w:tr>
        <w:trPr>
          <w:trHeight w:val="27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1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EBITDA*</w:t>
            </w:r>
          </w:p>
        </w:tc>
        <w:tc>
          <w:tcPr>
            <w:tcW w:w="110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AND ADJUSTED NET INCOME (LOSS) PER SHARE*</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that adjusted net income (loss)* and adjusted net income (loss) per diluted share* are helpful in assessing our financial performance exclusive of the non-cash impact of the amortization of purchased intangibles. The following table reconciles net income (loss), which we believe to be the most comparable GAAP measure, to adjusted net income (loss)*.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2018</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20" w:type="dxa"/>
            <w:vAlign w:val="bottom"/>
            <w:gridSpan w:val="12"/>
          </w:tcPr>
          <w:p>
            <w:pPr>
              <w:ind w:left="300"/>
              <w:spacing w:after="0"/>
              <w:rPr>
                <w:sz w:val="20"/>
                <w:szCs w:val="20"/>
                <w:color w:val="auto"/>
              </w:rPr>
            </w:pPr>
            <w:r>
              <w:rPr>
                <w:rFonts w:ascii="Arial" w:cs="Arial" w:eastAsia="Arial" w:hAnsi="Arial"/>
                <w:sz w:val="14"/>
                <w:szCs w:val="14"/>
                <w:b w:val="1"/>
                <w:bCs w:val="1"/>
                <w:color w:val="auto"/>
              </w:rPr>
              <w:t>(In millions, except diluted per-share amounts)</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54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14"/>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 net of tax effect</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40"/>
        </w:trPr>
        <w:tc>
          <w:tcPr>
            <w:tcW w:w="2400" w:type="dxa"/>
            <w:vAlign w:val="bottom"/>
          </w:tcPr>
          <w:p>
            <w:pPr>
              <w:ind w:left="40"/>
              <w:spacing w:after="0"/>
              <w:rPr>
                <w:sz w:val="20"/>
                <w:szCs w:val="20"/>
                <w:color w:val="auto"/>
              </w:rPr>
            </w:pPr>
            <w:r>
              <w:rPr>
                <w:rFonts w:ascii="Arial" w:cs="Arial" w:eastAsia="Arial" w:hAnsi="Arial"/>
                <w:sz w:val="16"/>
                <w:szCs w:val="16"/>
                <w:color w:val="auto"/>
              </w:rPr>
              <w:t>Adjusted 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206</w:t>
            </w:r>
          </w:p>
        </w:tc>
        <w:tc>
          <w:tcPr>
            <w:tcW w:w="5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38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317</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340" w:type="dxa"/>
            <w:vAlign w:val="bottom"/>
          </w:tcPr>
          <w:p>
            <w:pPr>
              <w:jc w:val="right"/>
              <w:ind w:right="157"/>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4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  Income tax effect of adjustments calculated at the blended federal and state statutory tax rates of 22% and 37% for 2018 and 2017,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2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concluded, based upon its evaluation as of the end of the period covered by this report, that the Company’s “disclosure controls and procedures” (as defined in Rules 13a-15(e) and 15d-15(e) under the Securities Exchange Act of 1934, as amended (the “Exchange Act”)), are effective to ensure that information required to be disclosed in the reports that we file or submit under the Exchange Act is recorded, processed, summarized, and reported within the time periods specified in the SEC’s rules and forms.</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June 30, 2018 that has materially affected, or is reasonably likely to materially affect, our internal controls over financial reporting.</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12, “Commitments and Contingencies.”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Molina Healthcare, Inc. June 30, 2018 Form 10-Q | 59</w:t>
      </w:r>
    </w:p>
    <w:p>
      <w:pPr>
        <w:sectPr>
          <w:pgSz w:w="11900" w:h="16838" w:orient="portrait"/>
          <w:cols w:equalWidth="0" w:num="1">
            <w:col w:w="11420"/>
          </w:cols>
          <w:pgMar w:left="240" w:top="140"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2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in “Risk Factors,” in our Annual Report on Form 10-K for the year ended December 31, 2017. The risk factors described in our 2017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June 30, 2018,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81.18</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May 1 - May 31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1 - June 30</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85.46</w:t>
            </w:r>
          </w:p>
        </w:tc>
        <w:tc>
          <w:tcPr>
            <w:tcW w:w="100" w:type="dxa"/>
            <w:vAlign w:val="bottom"/>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83.83</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500" w:hanging="492"/>
        <w:spacing w:after="0" w:line="260"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the three months ended June 30, 2018, we withheld 6,624 shares of common stock under our 2011 Equity Incentive Plan to settle employee income tax obligations.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60</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15"/>
                <w:szCs w:val="15"/>
                <w:color w:val="auto"/>
              </w:rPr>
            </w:pPr>
          </w:p>
        </w:tc>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378"/>
        </w:trPr>
        <w:tc>
          <w:tcPr>
            <w:tcW w:w="360" w:type="dxa"/>
            <w:vAlign w:val="bottom"/>
            <w:gridSpan w:val="3"/>
          </w:tcPr>
          <w:p>
            <w:pPr>
              <w:ind w:left="40"/>
              <w:spacing w:after="0"/>
              <w:rPr>
                <w:rFonts w:ascii="Arial" w:cs="Arial" w:eastAsia="Arial" w:hAnsi="Arial"/>
                <w:sz w:val="16"/>
                <w:szCs w:val="16"/>
                <w:color w:val="0000FF"/>
              </w:rPr>
            </w:pPr>
            <w:hyperlink r:id="rId34">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Purchase and Sale Agreement, dated as of June 26, 2018, by and between Molina</w:t>
            </w:r>
          </w:p>
        </w:tc>
        <w:tc>
          <w:tcPr>
            <w:tcW w:w="3640" w:type="dxa"/>
            <w:vAlign w:val="bottom"/>
          </w:tcPr>
          <w:p>
            <w:pPr>
              <w:ind w:left="20"/>
              <w:spacing w:after="0"/>
              <w:rPr>
                <w:sz w:val="20"/>
                <w:szCs w:val="20"/>
                <w:color w:val="auto"/>
              </w:rPr>
            </w:pPr>
            <w:r>
              <w:rPr>
                <w:rFonts w:ascii="Arial" w:cs="Arial" w:eastAsia="Arial" w:hAnsi="Arial"/>
                <w:sz w:val="16"/>
                <w:szCs w:val="16"/>
                <w:color w:val="auto"/>
              </w:rPr>
              <w:t>Filed as Exhibit 2.1 to registrant’s Form 8-K filed</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Healthcare, Inc. and DXC Technology Company*</w:t>
            </w:r>
          </w:p>
        </w:tc>
        <w:tc>
          <w:tcPr>
            <w:tcW w:w="3640" w:type="dxa"/>
            <w:vAlign w:val="bottom"/>
          </w:tcPr>
          <w:p>
            <w:pPr>
              <w:ind w:left="20"/>
              <w:spacing w:after="0"/>
              <w:rPr>
                <w:sz w:val="20"/>
                <w:szCs w:val="20"/>
                <w:color w:val="auto"/>
              </w:rPr>
            </w:pPr>
            <w:r>
              <w:rPr>
                <w:rFonts w:ascii="Arial" w:cs="Arial" w:eastAsia="Arial" w:hAnsi="Arial"/>
                <w:sz w:val="16"/>
                <w:szCs w:val="16"/>
                <w:color w:val="auto"/>
              </w:rPr>
              <w:t>June 27, 2018.</w:t>
            </w:r>
          </w:p>
        </w:tc>
      </w:tr>
      <w:tr>
        <w:trPr>
          <w:trHeight w:val="330"/>
        </w:trPr>
        <w:tc>
          <w:tcPr>
            <w:tcW w:w="360" w:type="dxa"/>
            <w:vAlign w:val="bottom"/>
            <w:gridSpan w:val="3"/>
          </w:tcPr>
          <w:p>
            <w:pPr>
              <w:ind w:left="40"/>
              <w:spacing w:after="0"/>
              <w:rPr>
                <w:rFonts w:ascii="Arial" w:cs="Arial" w:eastAsia="Arial" w:hAnsi="Arial"/>
                <w:sz w:val="16"/>
                <w:szCs w:val="16"/>
                <w:color w:val="0000FF"/>
              </w:rPr>
            </w:pPr>
            <w:hyperlink r:id="rId35">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Fifth Amended and Restated Bylaws of Molina Healthcare, Inc.</w:t>
            </w:r>
          </w:p>
        </w:tc>
        <w:tc>
          <w:tcPr>
            <w:tcW w:w="3640" w:type="dxa"/>
            <w:vAlign w:val="bottom"/>
          </w:tcPr>
          <w:p>
            <w:pPr>
              <w:ind w:left="20"/>
              <w:spacing w:after="0"/>
              <w:rPr>
                <w:sz w:val="20"/>
                <w:szCs w:val="20"/>
                <w:color w:val="auto"/>
              </w:rPr>
            </w:pPr>
            <w:r>
              <w:rPr>
                <w:rFonts w:ascii="Arial" w:cs="Arial" w:eastAsia="Arial" w:hAnsi="Arial"/>
                <w:sz w:val="16"/>
                <w:szCs w:val="16"/>
                <w:color w:val="auto"/>
              </w:rPr>
              <w:t>Filed as Exhibit 3.1 to registrant’s Form 8-K filed</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May 7, 2018.</w:t>
            </w:r>
          </w:p>
        </w:tc>
      </w:tr>
      <w:tr>
        <w:trPr>
          <w:trHeight w:val="330"/>
        </w:trPr>
        <w:tc>
          <w:tcPr>
            <w:tcW w:w="360" w:type="dxa"/>
            <w:vAlign w:val="bottom"/>
            <w:gridSpan w:val="3"/>
          </w:tcPr>
          <w:p>
            <w:pPr>
              <w:ind w:left="40"/>
              <w:spacing w:after="0"/>
              <w:rPr>
                <w:rFonts w:ascii="Arial" w:cs="Arial" w:eastAsia="Arial" w:hAnsi="Arial"/>
                <w:sz w:val="16"/>
                <w:szCs w:val="16"/>
                <w:color w:val="0000FF"/>
                <w:w w:val="96"/>
              </w:rPr>
            </w:pPr>
            <w:hyperlink r:id="rId3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Offer Letter, dated May 4, 2018, by and between Molina Healthcare, Inc. and Thomas L.</w:t>
            </w:r>
          </w:p>
        </w:tc>
        <w:tc>
          <w:tcPr>
            <w:tcW w:w="3640" w:type="dxa"/>
            <w:vAlign w:val="bottom"/>
          </w:tcPr>
          <w:p>
            <w:pPr>
              <w:ind w:left="20"/>
              <w:spacing w:after="0"/>
              <w:rPr>
                <w:sz w:val="20"/>
                <w:szCs w:val="20"/>
                <w:color w:val="auto"/>
              </w:rPr>
            </w:pPr>
            <w:r>
              <w:rPr>
                <w:rFonts w:ascii="Arial" w:cs="Arial" w:eastAsia="Arial" w:hAnsi="Arial"/>
                <w:sz w:val="16"/>
                <w:szCs w:val="16"/>
                <w:color w:val="auto"/>
              </w:rPr>
              <w:t>Filed as Exhibit 10.1 to registrant’s Form 8-K filed</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Tran.</w:t>
            </w:r>
          </w:p>
        </w:tc>
        <w:tc>
          <w:tcPr>
            <w:tcW w:w="3640" w:type="dxa"/>
            <w:vAlign w:val="bottom"/>
          </w:tcPr>
          <w:p>
            <w:pPr>
              <w:ind w:left="20"/>
              <w:spacing w:after="0"/>
              <w:rPr>
                <w:sz w:val="20"/>
                <w:szCs w:val="20"/>
                <w:color w:val="auto"/>
              </w:rPr>
            </w:pPr>
            <w:r>
              <w:rPr>
                <w:rFonts w:ascii="Arial" w:cs="Arial" w:eastAsia="Arial" w:hAnsi="Arial"/>
                <w:sz w:val="16"/>
                <w:szCs w:val="16"/>
                <w:color w:val="auto"/>
              </w:rPr>
              <w:t>May 24, 2018.</w:t>
            </w:r>
          </w:p>
        </w:tc>
      </w:tr>
      <w:tr>
        <w:trPr>
          <w:trHeight w:val="330"/>
        </w:trPr>
        <w:tc>
          <w:tcPr>
            <w:tcW w:w="360" w:type="dxa"/>
            <w:vAlign w:val="bottom"/>
            <w:gridSpan w:val="3"/>
          </w:tcPr>
          <w:p>
            <w:pPr>
              <w:ind w:left="40"/>
              <w:spacing w:after="0"/>
              <w:rPr>
                <w:rFonts w:ascii="Arial" w:cs="Arial" w:eastAsia="Arial" w:hAnsi="Arial"/>
                <w:sz w:val="16"/>
                <w:szCs w:val="16"/>
                <w:color w:val="0000FF"/>
                <w:w w:val="96"/>
              </w:rPr>
            </w:pPr>
            <w:hyperlink w:anchor="page6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Molina Healthcare, Inc. Amended and Restated Deferred Compensation Plan (2018)</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6"/>
                <w:szCs w:val="16"/>
                <w:color w:val="0000FF"/>
                <w:w w:val="96"/>
              </w:rPr>
            </w:pPr>
            <w:hyperlink w:anchor="page77">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6"/>
                <w:szCs w:val="16"/>
                <w:color w:val="0000FF"/>
                <w:w w:val="96"/>
              </w:rPr>
            </w:pPr>
            <w:hyperlink w:anchor="page78">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6"/>
                <w:szCs w:val="16"/>
                <w:color w:val="0000FF"/>
                <w:w w:val="96"/>
              </w:rPr>
            </w:pPr>
            <w:hyperlink w:anchor="page79">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7"/>
                <w:szCs w:val="17"/>
                <w:color w:val="auto"/>
              </w:rPr>
            </w:pPr>
          </w:p>
        </w:tc>
      </w:tr>
      <w:tr>
        <w:trPr>
          <w:trHeight w:val="330"/>
        </w:trPr>
        <w:tc>
          <w:tcPr>
            <w:tcW w:w="360" w:type="dxa"/>
            <w:vAlign w:val="bottom"/>
            <w:gridSpan w:val="3"/>
          </w:tcPr>
          <w:p>
            <w:pPr>
              <w:ind w:left="40"/>
              <w:spacing w:after="0"/>
              <w:rPr>
                <w:rFonts w:ascii="Arial" w:cs="Arial" w:eastAsia="Arial" w:hAnsi="Arial"/>
                <w:sz w:val="16"/>
                <w:szCs w:val="16"/>
                <w:color w:val="0000FF"/>
                <w:w w:val="96"/>
              </w:rPr>
            </w:pPr>
            <w:hyperlink w:anchor="page80">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7"/>
                <w:szCs w:val="17"/>
                <w:color w:val="auto"/>
              </w:rPr>
            </w:pPr>
          </w:p>
        </w:tc>
      </w:tr>
      <w:tr>
        <w:trPr>
          <w:trHeight w:val="365"/>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101.INS</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Instance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101.SCH</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101.CAL</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101.DEF</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101.LAB</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101.PRE</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156" w:lineRule="exact"/>
        <w:rPr>
          <w:sz w:val="20"/>
          <w:szCs w:val="20"/>
          <w:color w:val="auto"/>
        </w:rPr>
      </w:pPr>
    </w:p>
    <w:p>
      <w:pPr>
        <w:ind w:right="300" w:firstLine="8"/>
        <w:spacing w:after="0" w:line="260" w:lineRule="auto"/>
        <w:tabs>
          <w:tab w:leader="none" w:pos="1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61</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25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August 1, 2018</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August 1, 2018</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Thomas L. Tran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2018 Form 10-Q | 62</w:t>
      </w:r>
    </w:p>
    <w:p>
      <w:pPr>
        <w:sectPr>
          <w:pgSz w:w="11900" w:h="16838" w:orient="portrait"/>
          <w:cols w:equalWidth="0" w:num="1">
            <w:col w:w="11420"/>
          </w:cols>
          <w:pgMar w:left="240" w:top="14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PLAN (2018)</w:t>
      </w:r>
    </w:p>
    <w:p>
      <w:pPr>
        <w:spacing w:after="0" w:line="200" w:lineRule="exact"/>
        <w:rPr>
          <w:sz w:val="20"/>
          <w:szCs w:val="20"/>
          <w:color w:val="auto"/>
        </w:rPr>
      </w:pPr>
    </w:p>
    <w:p>
      <w:pPr>
        <w:spacing w:after="0" w:line="346"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Deferred Compensation Plan (the "Plan") is amended and restated effective for amounts earned and deferred on or after January 1, 2018 (the "Restatement"), by MOLINA HEALTHCARE, INC., a Delaware corporation (the "Company") with reference to the following:</w:t>
      </w:r>
    </w:p>
    <w:p>
      <w:pPr>
        <w:spacing w:after="0" w:line="346" w:lineRule="exact"/>
        <w:rPr>
          <w:sz w:val="20"/>
          <w:szCs w:val="20"/>
          <w:color w:val="auto"/>
        </w:rPr>
      </w:pPr>
    </w:p>
    <w:p>
      <w:pPr>
        <w:ind w:firstLine="656"/>
        <w:spacing w:after="0" w:line="260" w:lineRule="auto"/>
        <w:tabs>
          <w:tab w:leader="none" w:pos="1021"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 originally established a Deferred Compensation Plan for key employees, effective September 1, 1999 (the "Original Plan"). The Original Plan was amended on March 29, 2001.</w:t>
      </w:r>
    </w:p>
    <w:p>
      <w:pPr>
        <w:spacing w:after="0" w:line="393" w:lineRule="exact"/>
        <w:rPr>
          <w:rFonts w:ascii="Arial" w:cs="Arial" w:eastAsia="Arial" w:hAnsi="Arial"/>
          <w:sz w:val="20"/>
          <w:szCs w:val="20"/>
          <w:color w:val="auto"/>
        </w:rPr>
      </w:pPr>
    </w:p>
    <w:p>
      <w:pPr>
        <w:ind w:right="20" w:firstLine="656"/>
        <w:spacing w:after="0" w:line="260" w:lineRule="auto"/>
        <w:tabs>
          <w:tab w:leader="none" w:pos="109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As a result of the adoption of section 409A of the Internal Revenue Code of 1986 (the "Code"), the Original Plan was frozen effective at midnight on December 31, 2004.</w:t>
      </w:r>
    </w:p>
    <w:p>
      <w:pPr>
        <w:spacing w:after="0" w:line="393" w:lineRule="exact"/>
        <w:rPr>
          <w:rFonts w:ascii="Arial" w:cs="Arial" w:eastAsia="Arial" w:hAnsi="Arial"/>
          <w:sz w:val="20"/>
          <w:szCs w:val="20"/>
          <w:color w:val="auto"/>
        </w:rPr>
      </w:pPr>
    </w:p>
    <w:p>
      <w:pPr>
        <w:jc w:val="both"/>
        <w:ind w:firstLine="656"/>
        <w:spacing w:after="0" w:line="246" w:lineRule="auto"/>
        <w:tabs>
          <w:tab w:leader="none" w:pos="1145"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Plan was implemented effective January 1, 2005 to replace the Original Plan with a new plan that complies with the requirements of Code section 409A and the related Treasury Regulations (and other guidance from the Internal Revenue Service) thereunder (collectively, the "409A Requirements") and amended and restated as of October 1, 2013, and subsequently amended November 14, 2013, October 29, 2014, September 1, 2016, and November 7, 2017.</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firstLine="656"/>
        <w:spacing w:after="0" w:line="243" w:lineRule="auto"/>
        <w:tabs>
          <w:tab w:leader="none" w:pos="110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Plan was established to provide key employees of the Company and its subsidiaries a tax deferred, capital accumulation program. The Plan is intended to provide benefits to a select group of management or highly compensated personnel in order to attract and retain the highest quality executives. The Company does not intend for this to be a qualified plan within the meaning of Sections 401(a) and 501(a) of the Code. This Plan is intended to be an unfunded plan for purposes of the Employee Retirement Income Security Act of 1974, as amended ("ERISA"). Company contributions and voluntary compensation deferrals shall be held in a "Rabbi Trust," as that term is defined in Revenue Procedure 92-64, 1992-2 C.B. 422.</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344"/>
        <w:spacing w:after="0"/>
        <w:tabs>
          <w:tab w:leader="none" w:pos="10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Plan is hereby amended and restated to clarify certain provisions of the Plan.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Company hereby adopts this Plan on the following terms and conditions:</w:t>
      </w:r>
    </w:p>
    <w:p>
      <w:pPr>
        <w:spacing w:after="0" w:line="200" w:lineRule="exact"/>
        <w:rPr>
          <w:sz w:val="20"/>
          <w:szCs w:val="20"/>
          <w:color w:val="auto"/>
        </w:rPr>
      </w:pPr>
    </w:p>
    <w:p>
      <w:pPr>
        <w:spacing w:after="0" w:line="232" w:lineRule="exact"/>
        <w:rPr>
          <w:sz w:val="20"/>
          <w:szCs w:val="20"/>
          <w:color w:val="auto"/>
        </w:rPr>
      </w:pPr>
    </w:p>
    <w:p>
      <w:pPr>
        <w:ind w:left="660" w:hanging="652"/>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Definitions. Whenever used in this Plan, the following words and phrases shall have the meaning set forth below, unless a different meaning is expressly provided or plainly required by the context in which the words or phrases are used:</w:t>
      </w:r>
    </w:p>
    <w:p>
      <w:pPr>
        <w:spacing w:after="0" w:line="33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9"/>
          <w:szCs w:val="19"/>
          <w:color w:val="auto"/>
        </w:rPr>
        <w:t>1.1.    Beneficiary means a person designated by a Participant to receive Plan benefits in the event of the Participant's death.</w:t>
      </w:r>
    </w:p>
    <w:p>
      <w:pPr>
        <w:spacing w:after="0" w:line="38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1.2.    Board means the Board of Directors of the Company and its successors.</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300" w:hanging="648"/>
        <w:spacing w:after="0" w:line="278" w:lineRule="auto"/>
        <w:rPr>
          <w:rFonts w:ascii="Arial" w:cs="Arial" w:eastAsia="Arial" w:hAnsi="Arial"/>
          <w:sz w:val="20"/>
          <w:szCs w:val="20"/>
          <w:color w:val="auto"/>
        </w:rPr>
      </w:pPr>
      <w:r>
        <w:rPr>
          <w:rFonts w:ascii="Arial" w:cs="Arial" w:eastAsia="Arial" w:hAnsi="Arial"/>
          <w:sz w:val="18"/>
          <w:szCs w:val="18"/>
          <w:color w:val="auto"/>
        </w:rPr>
        <w:t>1.3. Change in Control means, a Change in Ownership, a Change in the Effective Control, a Change in Assets or a termination of the Plan and distribution of compensation deferred hereunder within twelve (12) months after any of the foregoing events. For purposes of this Section, "Company" shall include (i) the company for which a Participant is performing services at the time of the Change in Control, (ii) the company liable for the payment of the deferred compensation (or all companies liable if more than one company is liable), or a company that is a majority shareholder of a company identified in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63" w:name="page64"/>
    <w:bookmarkEnd w:id="63"/>
    <w:p>
      <w:pPr>
        <w:jc w:val="both"/>
        <w:ind w:left="100" w:firstLine="5"/>
        <w:spacing w:after="0" w:line="272" w:lineRule="auto"/>
        <w:tabs>
          <w:tab w:leader="none" w:pos="339" w:val="left"/>
        </w:tabs>
        <w:numPr>
          <w:ilvl w:val="0"/>
          <w:numId w:val="37"/>
        </w:numPr>
        <w:rPr>
          <w:rFonts w:ascii="Arial" w:cs="Arial" w:eastAsia="Arial" w:hAnsi="Arial"/>
          <w:sz w:val="20"/>
          <w:szCs w:val="20"/>
          <w:color w:val="auto"/>
        </w:rPr>
      </w:pPr>
      <w:r>
        <w:rPr>
          <w:rFonts w:ascii="Arial" w:cs="Arial" w:eastAsia="Arial" w:hAnsi="Arial"/>
          <w:sz w:val="20"/>
          <w:szCs w:val="20"/>
          <w:color w:val="auto"/>
        </w:rPr>
        <w:t>or (ii), or any company in a chain of companies in which each company is a majority shareholder of another company in the chain, ending in a company identified in (i) or (ii). The events described in this section will not be considered to occur, with respect to an employee of a participating entity, if a participating entity is sold and the employee of the participating entity continues employment with Molina Healthcare, Inc., or any other participating entity which is considered as a single employer with Molina Healthcare, Inc. under Section 414(b) or (c) of the Code subsequent to such sale. The events described in this section have the following meanings:</w:t>
      </w:r>
    </w:p>
    <w:p>
      <w:pPr>
        <w:spacing w:after="0" w:line="394" w:lineRule="exact"/>
        <w:rPr>
          <w:sz w:val="20"/>
          <w:szCs w:val="20"/>
          <w:color w:val="auto"/>
        </w:rPr>
      </w:pPr>
    </w:p>
    <w:p>
      <w:pPr>
        <w:jc w:val="both"/>
        <w:ind w:left="760" w:hanging="655"/>
        <w:spacing w:after="0" w:line="243" w:lineRule="auto"/>
        <w:tabs>
          <w:tab w:leader="none" w:pos="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 in Ownership means the acquisition of stock by any one person or persons acting in concert (a "group") of the Company, that when added to the stock of the person or group constitutes more than 50% of the total fair market value or total voting power of the stock of the Company. The acquisition of additional stock by any person or group who are already considered to own more than 50% of the stock of the Company shall not constitute a change in ownership of the Company. An increase in the percentage of stock owned by any person or group, as result of a transaction in which the Company acquires its stock in exchange for property will be treated as an acquisition of stock for purposes of this section.</w:t>
      </w: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ind w:left="760" w:hanging="655"/>
        <w:spacing w:after="0" w:line="260" w:lineRule="auto"/>
        <w:tabs>
          <w:tab w:leader="none" w:pos="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 in the Effective Control means the occurrence of any of the following events, despite the fact that the Company has not undergone a Change in Ownership as described above:</w:t>
      </w:r>
    </w:p>
    <w:p>
      <w:pPr>
        <w:spacing w:after="0" w:line="393" w:lineRule="exact"/>
        <w:rPr>
          <w:rFonts w:ascii="Arial" w:cs="Arial" w:eastAsia="Arial" w:hAnsi="Arial"/>
          <w:sz w:val="20"/>
          <w:szCs w:val="20"/>
          <w:color w:val="auto"/>
        </w:rPr>
      </w:pPr>
    </w:p>
    <w:p>
      <w:pPr>
        <w:jc w:val="both"/>
        <w:ind w:left="1400" w:hanging="647"/>
        <w:spacing w:after="0" w:line="246" w:lineRule="auto"/>
        <w:tabs>
          <w:tab w:leader="none" w:pos="14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acquisition by any person or group (or acquisition during the 12-month period ending on the date of the most recent acquisition by such person or persons) of ownership of stock of the Company possessing 35% or more of the total voting power of the stock, except if such acquisition is the result of a change in "record ownership" and not a change in "beneficial ownership;"</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1400" w:hanging="647"/>
        <w:spacing w:after="0" w:line="250" w:lineRule="auto"/>
        <w:tabs>
          <w:tab w:leader="none" w:pos="14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replacement of a majority of the Company's board of directors during any 12-month period by directors whose appointment or election is not endorsed by a majority of the members of the Company's board of directors prior to the date of the appointment or election; or</w:t>
      </w: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A transaction between the Company and another company resulting in a Change in Control.</w:t>
      </w:r>
    </w:p>
    <w:p>
      <w:pPr>
        <w:spacing w:after="0" w:line="200" w:lineRule="exact"/>
        <w:rPr>
          <w:sz w:val="20"/>
          <w:szCs w:val="20"/>
          <w:color w:val="auto"/>
        </w:rPr>
      </w:pPr>
    </w:p>
    <w:p>
      <w:pPr>
        <w:spacing w:after="0" w:line="232" w:lineRule="exact"/>
        <w:rPr>
          <w:sz w:val="20"/>
          <w:szCs w:val="20"/>
          <w:color w:val="auto"/>
        </w:rPr>
      </w:pPr>
    </w:p>
    <w:p>
      <w:pPr>
        <w:ind w:left="1400" w:hanging="647"/>
        <w:spacing w:after="0" w:line="316"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Provided that this section shall not apply to the acquisition of additional control of the Company by any person or group, if that person or group is considered to effectively control the Company prior to the acquisition</w:t>
      </w:r>
    </w:p>
    <w:p>
      <w:pPr>
        <w:spacing w:after="0" w:line="22" w:lineRule="exact"/>
        <w:rPr>
          <w:rFonts w:ascii="Arial" w:cs="Arial" w:eastAsia="Arial" w:hAnsi="Arial"/>
          <w:sz w:val="18"/>
          <w:szCs w:val="18"/>
          <w:color w:val="auto"/>
        </w:rPr>
      </w:pPr>
    </w:p>
    <w:p>
      <w:pPr>
        <w:jc w:val="both"/>
        <w:ind w:left="760" w:hanging="655"/>
        <w:spacing w:after="0" w:line="278"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in Assets means the acquisition by any person or group (or acquisition during the 12-month period ending on the date of the most recent acquisition by such person or persons) of assets from the Company, that have a total gross fair market value equal to, or more than, 40% of the total gross fair market value of all the assets of the Company immediately prior to such acquisition or acquisitions. A transfer of assets by the Company will not be treated as a Change in Assets if the assets are transferred to any of the following (determined immediately after the transfer):</w:t>
      </w:r>
    </w:p>
    <w:p>
      <w:pPr>
        <w:spacing w:after="0" w:line="381" w:lineRule="exact"/>
        <w:rPr>
          <w:rFonts w:ascii="Arial" w:cs="Arial" w:eastAsia="Arial" w:hAnsi="Arial"/>
          <w:sz w:val="18"/>
          <w:szCs w:val="18"/>
          <w:color w:val="auto"/>
        </w:rPr>
      </w:pPr>
    </w:p>
    <w:p>
      <w:pPr>
        <w:ind w:left="1400" w:right="20" w:hanging="647"/>
        <w:spacing w:after="0" w:line="260" w:lineRule="auto"/>
        <w:tabs>
          <w:tab w:leader="none" w:pos="14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 shareholder of the Company (as determined, immediately before the asset transfer) in exchange for or with respect to its stock;</w:t>
      </w:r>
    </w:p>
    <w:p>
      <w:pPr>
        <w:spacing w:after="0" w:line="393" w:lineRule="exact"/>
        <w:rPr>
          <w:rFonts w:ascii="Arial" w:cs="Arial" w:eastAsia="Arial" w:hAnsi="Arial"/>
          <w:sz w:val="20"/>
          <w:szCs w:val="20"/>
          <w:color w:val="auto"/>
        </w:rPr>
      </w:pPr>
    </w:p>
    <w:p>
      <w:pPr>
        <w:ind w:left="1400" w:right="20" w:hanging="647"/>
        <w:spacing w:after="0" w:line="260" w:lineRule="auto"/>
        <w:tabs>
          <w:tab w:leader="none" w:pos="14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 entity, 50% or more of the total value or voting power of which is owned directly or indirectly by the Company;</w:t>
      </w:r>
    </w:p>
    <w:p>
      <w:pPr>
        <w:spacing w:after="0" w:line="26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649" w:right="239" w:bottom="1440" w:gutter="0" w:footer="0" w:header="0"/>
        </w:sectPr>
      </w:pPr>
    </w:p>
    <w:bookmarkStart w:id="64" w:name="page65"/>
    <w:bookmarkEnd w:id="64"/>
    <w:p>
      <w:pPr>
        <w:ind w:left="1940" w:hanging="647"/>
        <w:spacing w:after="0" w:line="260" w:lineRule="auto"/>
        <w:tabs>
          <w:tab w:leader="none" w:pos="19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person or group that owns, directly or indirectly, 50% or more of the total value or voting power of all the outstanding stock of the Company; or</w:t>
      </w:r>
    </w:p>
    <w:p>
      <w:pPr>
        <w:spacing w:after="0" w:line="393" w:lineRule="exact"/>
        <w:rPr>
          <w:rFonts w:ascii="Arial" w:cs="Arial" w:eastAsia="Arial" w:hAnsi="Arial"/>
          <w:sz w:val="20"/>
          <w:szCs w:val="20"/>
          <w:color w:val="auto"/>
        </w:rPr>
      </w:pPr>
    </w:p>
    <w:p>
      <w:pPr>
        <w:ind w:left="1940" w:right="20" w:hanging="647"/>
        <w:spacing w:after="0" w:line="260" w:lineRule="auto"/>
        <w:tabs>
          <w:tab w:leader="none" w:pos="19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 entity, at least 50% of the total value or voting power of which is owned, directly or indirectly, by a person described in (iii).</w:t>
      </w:r>
    </w:p>
    <w:p>
      <w:pPr>
        <w:spacing w:after="0" w:line="393" w:lineRule="exact"/>
        <w:rPr>
          <w:sz w:val="20"/>
          <w:szCs w:val="20"/>
          <w:color w:val="auto"/>
        </w:rPr>
      </w:pPr>
    </w:p>
    <w:p>
      <w:pPr>
        <w:jc w:val="both"/>
        <w:ind w:left="640"/>
        <w:spacing w:after="0" w:line="291" w:lineRule="auto"/>
        <w:rPr>
          <w:sz w:val="20"/>
          <w:szCs w:val="20"/>
          <w:color w:val="auto"/>
        </w:rPr>
      </w:pPr>
      <w:r>
        <w:rPr>
          <w:rFonts w:ascii="Arial" w:cs="Arial" w:eastAsia="Arial" w:hAnsi="Arial"/>
          <w:sz w:val="18"/>
          <w:szCs w:val="18"/>
          <w:color w:val="auto"/>
        </w:rPr>
        <w:t>For purposes of this subsection (c), the gross fair market value of assets is the value of the assets of the Company or the value of the assets being disposed of with regard to any liabilities associated with such assets. If assets are transferred to an entity that is controlled by the shareholders of the transferring company immediately after the transfer, there is no Change in Control.</w:t>
      </w:r>
    </w:p>
    <w:p>
      <w:pPr>
        <w:spacing w:after="0" w:line="3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Company means MOLINA HEALTHCARE, INC., a Delaware corporation.</w:t>
      </w:r>
    </w:p>
    <w:p>
      <w:pPr>
        <w:spacing w:after="0" w:line="200" w:lineRule="exact"/>
        <w:rPr>
          <w:sz w:val="20"/>
          <w:szCs w:val="20"/>
          <w:color w:val="auto"/>
        </w:rPr>
      </w:pP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Company Stock means shares of stock issued by the Company.</w:t>
      </w:r>
    </w:p>
    <w:p>
      <w:pPr>
        <w:spacing w:after="0" w:line="200" w:lineRule="exact"/>
        <w:rPr>
          <w:sz w:val="20"/>
          <w:szCs w:val="20"/>
          <w:color w:val="auto"/>
        </w:rPr>
      </w:pPr>
    </w:p>
    <w:p>
      <w:pPr>
        <w:spacing w:after="0" w:line="232"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9"/>
          <w:szCs w:val="19"/>
          <w:color w:val="auto"/>
        </w:rPr>
        <w:t>Disability or Disabled means with respect to a Participant (i) the inability to engage in any substantial gainful activity by reason of any medically determinable physical or mental impairment which can be expected to result in death or can be expected to last for a continuous period of not less than twelve (12) months, or (ii) the receipt of income replacement benefits for a period of not less than three (3) months under an accident and health plan covering employees of the Company or a Subsidiary, by reason of any medically determinable physical or mental impairment which can be expected to result in death or can be expected to last for a continuous period of not less than twelve (12) months.</w:t>
      </w:r>
    </w:p>
    <w:p>
      <w:pPr>
        <w:spacing w:after="0" w:line="3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The original Effective Date of this Plan means January 1, 2005. The Effective Date of this Restatement shall mean January 1,</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2018.</w:t>
      </w:r>
    </w:p>
    <w:p>
      <w:pPr>
        <w:spacing w:after="0" w:line="200" w:lineRule="exact"/>
        <w:rPr>
          <w:sz w:val="20"/>
          <w:szCs w:val="20"/>
          <w:color w:val="auto"/>
        </w:rPr>
      </w:pPr>
    </w:p>
    <w:p>
      <w:pPr>
        <w:spacing w:after="0" w:line="21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Key Employee means an employee of the Company or a Subsidiary, who is (A) a member of a select group of management or highly compensated employees within the meaning of §2520.104-23 of the Department of Labor ERISA Regulations, (B) projected to receive Plan Year Compensation (base pay plus bonus), plus amounts deferred to any 401(k) plan, deferred compensation plan, or cafeteria plan maintained by the Company, of $200,000 or more and (C) designated by the Plan Committee as a Key Employee.</w:t>
      </w:r>
    </w:p>
    <w:p>
      <w:pPr>
        <w:spacing w:after="0" w:line="200" w:lineRule="exact"/>
        <w:rPr>
          <w:sz w:val="20"/>
          <w:szCs w:val="20"/>
          <w:color w:val="auto"/>
        </w:rPr>
      </w:pPr>
    </w:p>
    <w:p>
      <w:pPr>
        <w:spacing w:after="0" w:line="211"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Participant means (A) a Key Employee who timely files a Written Election pursuant to Section 2.3, below, and (B) a former Employee who, at the time of his Separation from Service, death, or Disability, retains, or whose beneficiary retains, benefits earned under the Plan in accordance with its terms. A Participant is considered an Active Participant in the Plan (even if the Participant no longer satisfies the requirements of Section 1.8(B) but subject to the right of the Company’s Chief Executive Officer to no longer designate such employee as a Key Employee) until the Participant separates from service under the terms of this Plan.</w:t>
      </w:r>
    </w:p>
    <w:p>
      <w:pPr>
        <w:spacing w:after="0" w:line="200" w:lineRule="exact"/>
        <w:rPr>
          <w:sz w:val="20"/>
          <w:szCs w:val="20"/>
          <w:color w:val="auto"/>
        </w:rPr>
      </w:pPr>
    </w:p>
    <w:p>
      <w:pPr>
        <w:spacing w:after="0" w:line="213"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1.10.</w:t>
        <w:tab/>
        <w:t>Plan means the Molina Healthcare, Inc. Amended and Restated Deferred Compensation Plan (2018) evidenced by this document and the Trust Agreement previously established in connection herewith.</w:t>
      </w:r>
    </w:p>
    <w:p>
      <w:pPr>
        <w:spacing w:after="0" w:line="3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Plan Committee means the individuals appointed by the Board from time to time to administer the Plan as provided herein.</w:t>
      </w:r>
    </w:p>
    <w:p>
      <w:pPr>
        <w:spacing w:after="0" w:line="200" w:lineRule="exact"/>
        <w:rPr>
          <w:sz w:val="20"/>
          <w:szCs w:val="20"/>
          <w:color w:val="auto"/>
        </w:rPr>
      </w:pP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Plan Year means the calendar year.</w:t>
      </w:r>
    </w:p>
    <w:p>
      <w:pPr>
        <w:sectPr>
          <w:pgSz w:w="11900" w:h="16838" w:orient="portrait"/>
          <w:cols w:equalWidth="0" w:num="1">
            <w:col w:w="10760"/>
          </w:cols>
          <w:pgMar w:left="900" w:top="960" w:right="239" w:bottom="1440" w:gutter="0" w:footer="0" w:header="0"/>
        </w:sectPr>
      </w:pPr>
    </w:p>
    <w:p>
      <w:pPr>
        <w:spacing w:after="0" w:line="29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60"/>
          </w:cols>
          <w:pgMar w:left="900" w:top="960" w:right="239" w:bottom="1440" w:gutter="0" w:footer="0" w:header="0"/>
          <w:type w:val="continuous"/>
        </w:sectPr>
      </w:pPr>
    </w:p>
    <w:bookmarkStart w:id="65" w:name="page66"/>
    <w:bookmarkEnd w:id="65"/>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1.13.</w:t>
        <w:tab/>
        <w:t>Plan Year Compensation means the total taxable income (other than Share Awards) paid to an Active Participant by the Company or a Subsidiary during any Plan Year, or portion thereof in which he is a Participant in this Plan, as reflected on a Key Employee's form W-2.</w:t>
      </w:r>
    </w:p>
    <w:p>
      <w:pPr>
        <w:spacing w:after="0" w:line="200" w:lineRule="exact"/>
        <w:rPr>
          <w:sz w:val="20"/>
          <w:szCs w:val="20"/>
          <w:color w:val="auto"/>
        </w:rPr>
      </w:pPr>
    </w:p>
    <w:p>
      <w:pPr>
        <w:spacing w:after="0" w:line="202"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1.14.</w:t>
        <w:tab/>
        <w:t>Separation from Service. A separation from service with the Company or a Subsidiary, provided such separation constitutes a “separation from service” under Treasury Regulation Section 1.409A-1(h).</w:t>
      </w:r>
    </w:p>
    <w:p>
      <w:pPr>
        <w:spacing w:after="0" w:line="393"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1.15.</w:t>
        <w:tab/>
        <w:t>Share Awards means shares of Company Stock which are awarded to a Participant as an employee by the Company or a Subsidiary.</w:t>
      </w:r>
    </w:p>
    <w:p>
      <w:pPr>
        <w:spacing w:after="0" w:line="393"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1.16.</w:t>
        <w:tab/>
        <w:t>Specified Employee means a "key employee" of the Company (taking into account the Subsidiaries), as defined in section 416(i) of the Code without regard to paragraph five (5) thereof.</w:t>
      </w:r>
    </w:p>
    <w:p>
      <w:pPr>
        <w:spacing w:after="0" w:line="3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color w:val="auto"/>
        </w:rPr>
        <w:t>Subsidiary means any entity in which the Company owns not less than 80% of the outstanding voting interests.</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1.18.</w:t>
        <w:tab/>
        <w:t>Trust Agreement means the grantor trust established in connection with this Plan between the Company as grantor and the Trustee.</w:t>
      </w:r>
    </w:p>
    <w:p>
      <w:pPr>
        <w:spacing w:after="0" w:line="393"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1.19.</w:t>
        <w:tab/>
        <w:t>Trustee means Union Bank of California and any successor institutional trustee named to succeed such Trustee under the terms of the Trust Agreement established in connection with this Plan.</w:t>
      </w:r>
    </w:p>
    <w:p>
      <w:pPr>
        <w:spacing w:after="0" w:line="393"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1.20.</w:t>
        <w:tab/>
        <w:t>Unforeseeable Financial Emergency means: (i) an illness or accident of the Participant or beneficiary, the Participant's or beneficiary's spouse, or the Participant's or beneficiary's dependent; (ii) the loss of the Participant's or beneficiary's property due to casualty; or (iii) other similar extraordinary and unforeseeable circumstances arising as a result of events beyond the control of the Participant or beneficiary. Determination of whether a Participant has incurred an Unforeseeable Financial Emergency shall be made by the Plan Committee, in accordance with the requirements of Section 409A of the Code and any guidance issued thereunder.</w:t>
      </w:r>
    </w:p>
    <w:p>
      <w:pPr>
        <w:spacing w:after="0" w:line="200" w:lineRule="exact"/>
        <w:rPr>
          <w:sz w:val="20"/>
          <w:szCs w:val="20"/>
          <w:color w:val="auto"/>
        </w:rPr>
      </w:pPr>
    </w:p>
    <w:p>
      <w:pPr>
        <w:spacing w:after="0" w:line="21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Participation.</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Eligibility. An employee of the Company or a Subsidiary is eligible to participate in this Plan upon meeting the criteria for Key Employee specified in Section 1.8. Any Key Employee who was a Participant in the Original Plan and who continued in the employ of the Company or a Subsidiary on the effective date of the Restatement will continue to be a Participant in this Plan, subject to the right of the Company's Chief Executive Officer to no longer designate such employee as a Key Employee thereafter.</w:t>
      </w:r>
    </w:p>
    <w:p>
      <w:pPr>
        <w:spacing w:after="0" w:line="200" w:lineRule="exact"/>
        <w:rPr>
          <w:sz w:val="20"/>
          <w:szCs w:val="20"/>
          <w:color w:val="auto"/>
        </w:rPr>
      </w:pPr>
    </w:p>
    <w:p>
      <w:pPr>
        <w:spacing w:after="0" w:line="211"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Entry Date. An employee of the Company or a Subsidiary who met the eligibility requirement specified in Section 2.1 as of the Effective Date of this Plan Restatement is a Participant in the Plan as of the Effective Date. Newly eligible employees of the Company or a Subsidiary who have met the enrollment requirements under Section 2.3 of the Plan shall commence participation in the Plan within thirty (30) days of their date of hire. An employee of the Company or a Subsidiary who meets the eligibility requirements specified in Section 2.1 but fails to meet the requirements in accordance with Section 2.3 within the period required, shall become a Participant in this Plan on the first day of the next Plan Year following submission of a Written Election form as specified in Section 2.3.</w:t>
      </w:r>
    </w:p>
    <w:p>
      <w:pPr>
        <w:sectPr>
          <w:pgSz w:w="11900" w:h="16838" w:orient="portrait"/>
          <w:cols w:equalWidth="0" w:num="1">
            <w:col w:w="11420"/>
          </w:cols>
          <w:pgMar w:left="240" w:top="9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60" w:right="239" w:bottom="1440" w:gutter="0" w:footer="0" w:header="0"/>
          <w:type w:val="continuous"/>
        </w:sectPr>
      </w:pPr>
    </w:p>
    <w:bookmarkStart w:id="66" w:name="page67"/>
    <w:bookmarkEnd w:id="66"/>
    <w:p>
      <w:pPr>
        <w:jc w:val="both"/>
        <w:ind w:left="100" w:hanging="647"/>
        <w:spacing w:after="0" w:line="263" w:lineRule="auto"/>
        <w:tabs>
          <w:tab w:leader="none" w:pos="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Written Election by Participant. As a condition to participation in the Plan, each newly eligible Employee shall complete, sign and return to the Plan Committee a Written Election within thirty (30) days after the date the Participant becomes eligible to participate in the Plan. Annual enrollment shall be in December each year for the following Plan Year. Each Participant shall submit a Written Election prior to the first day of the Plan Year in which he or she will be a Participant.</w:t>
      </w:r>
    </w:p>
    <w:p>
      <w:pPr>
        <w:spacing w:after="0" w:line="393" w:lineRule="exact"/>
        <w:rPr>
          <w:sz w:val="20"/>
          <w:szCs w:val="20"/>
          <w:color w:val="auto"/>
        </w:rPr>
      </w:pPr>
    </w:p>
    <w:p>
      <w:pPr>
        <w:ind w:left="760" w:hanging="655"/>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Written Election shall be made on the form presented to the Participant by the Plan Committee and shall set forth:</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400" w:hanging="647"/>
        <w:spacing w:after="0"/>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his election to participate in this Plan under the terms hereof;</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400" w:hanging="647"/>
        <w:spacing w:after="0" w:line="260" w:lineRule="auto"/>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amount of Plan Year Compensation the Participant has determined to defer under the Plan for the Plan Year, pursuant to Section 3.1 below;</w:t>
      </w:r>
    </w:p>
    <w:p>
      <w:pPr>
        <w:spacing w:after="0" w:line="393" w:lineRule="exact"/>
        <w:rPr>
          <w:rFonts w:ascii="Arial" w:cs="Arial" w:eastAsia="Arial" w:hAnsi="Arial"/>
          <w:sz w:val="20"/>
          <w:szCs w:val="20"/>
          <w:color w:val="auto"/>
        </w:rPr>
      </w:pPr>
    </w:p>
    <w:p>
      <w:pPr>
        <w:jc w:val="both"/>
        <w:ind w:left="1400" w:hanging="647"/>
        <w:spacing w:after="0" w:line="250" w:lineRule="auto"/>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investment vehicles into which the Participant desires to have his Account attributable to deferral of Plan Year Compensation invested, as provided in Section 3.5 below, and the percentage of such Account allocated to each elected investment vehicle;</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1400" w:hanging="647"/>
        <w:spacing w:after="0" w:line="246" w:lineRule="auto"/>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date on which his benefit is to be distributed which is the earliest of: (a) the date specified for an In-Service Withdrawal; (b) an Unforeseeable Financial Emergency; (c) the later of (i) when he separates from service with the Company or a Subsidiary for any reason or (ii) a date subsequent to his termination of employment specified by the Participant;</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1400" w:hanging="647"/>
        <w:spacing w:after="0" w:line="260" w:lineRule="auto"/>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form in which his benefit is to be distributed upon an In-Service Withdrawal, Separation from Service, Disability or death.</w:t>
      </w:r>
    </w:p>
    <w:p>
      <w:pPr>
        <w:spacing w:after="0" w:line="393" w:lineRule="exact"/>
        <w:rPr>
          <w:rFonts w:ascii="Arial" w:cs="Arial" w:eastAsia="Arial" w:hAnsi="Arial"/>
          <w:sz w:val="20"/>
          <w:szCs w:val="20"/>
          <w:color w:val="auto"/>
        </w:rPr>
      </w:pPr>
    </w:p>
    <w:p>
      <w:pPr>
        <w:jc w:val="both"/>
        <w:ind w:left="760" w:hanging="655"/>
        <w:spacing w:after="0" w:line="27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Participant must provide a separate Written Election for each subsequent Plan Year that specifies the percentage of the Plan Year Compensation that Participant has determined to defer for each such Plan Year. Such Written Election is only effective for the Plan Year for which the election is made and if no Written Election to defer Plan Year Compensation is executed in relation to a subsequent Plan Year, no Plan Year Compensation will be deferred for such subsequent Plan Year. Any election of the amount of Plan Year Compensation to defer for a given Plan Year shall be irrevocable on and after the first day of the Plan Year for which the election was made.</w:t>
      </w:r>
    </w:p>
    <w:p>
      <w:pPr>
        <w:spacing w:after="0" w:line="381" w:lineRule="exact"/>
        <w:rPr>
          <w:rFonts w:ascii="Arial" w:cs="Arial" w:eastAsia="Arial" w:hAnsi="Arial"/>
          <w:sz w:val="18"/>
          <w:szCs w:val="18"/>
          <w:color w:val="auto"/>
        </w:rPr>
      </w:pPr>
    </w:p>
    <w:p>
      <w:pPr>
        <w:jc w:val="both"/>
        <w:ind w:left="760" w:hanging="655"/>
        <w:spacing w:after="0" w:line="260" w:lineRule="auto"/>
        <w:tabs>
          <w:tab w:leader="none" w:pos="7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Participant may change the investment vehicle(s) in which the Participant desires to have that portion of the Participant’s Account attributable to Plan Year Compensation and investment income invested and the percentage of the Participant’s Account allocated to each investment vehicle by completing and submitting any form or forms required by the Company. Changes in investment vehicle(s) will be made as of the applicable business day (or as soon as practicable thereafter) following the date that the change is requested.</w:t>
      </w:r>
    </w:p>
    <w:p>
      <w:pPr>
        <w:spacing w:after="0" w:line="396" w:lineRule="exact"/>
        <w:rPr>
          <w:rFonts w:ascii="Arial" w:cs="Arial" w:eastAsia="Arial" w:hAnsi="Arial"/>
          <w:sz w:val="19"/>
          <w:szCs w:val="19"/>
          <w:color w:val="auto"/>
        </w:rPr>
      </w:pPr>
    </w:p>
    <w:p>
      <w:pPr>
        <w:jc w:val="both"/>
        <w:ind w:left="760" w:hanging="655"/>
        <w:spacing w:after="0" w:line="246"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Notwithstanding the foregoing, the Trustee shall, at the direction of the Plan Committee, have the duty and authority to invest the trust assets and funds in accordance with the terms of the Trust Agreement, and all rights associated with the trust assets shall be exercised by the Trustee as designated by the Plan Committee and shall in no event be exercisable by or be settled upon Participants or their Beneficiaries.</w:t>
      </w: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636" w:right="239" w:bottom="1440" w:gutter="0" w:footer="0" w:header="0"/>
        </w:sectPr>
      </w:pPr>
    </w:p>
    <w:bookmarkStart w:id="67" w:name="page68"/>
    <w:bookmarkEnd w:id="67"/>
    <w:p>
      <w:pPr>
        <w:ind w:left="1960" w:hanging="655"/>
        <w:spacing w:after="0" w:line="260" w:lineRule="auto"/>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Participant may change the date or form of distribution by submitting a new Written Election to the Company, provided that the following conditions are met:</w:t>
      </w:r>
    </w:p>
    <w:p>
      <w:pPr>
        <w:spacing w:after="0" w:line="339" w:lineRule="exact"/>
        <w:rPr>
          <w:rFonts w:ascii="Arial" w:cs="Arial" w:eastAsia="Arial" w:hAnsi="Arial"/>
          <w:sz w:val="20"/>
          <w:szCs w:val="20"/>
          <w:color w:val="auto"/>
        </w:rPr>
      </w:pPr>
    </w:p>
    <w:p>
      <w:pPr>
        <w:ind w:left="2600" w:hanging="323"/>
        <w:spacing w:after="0" w:line="260" w:lineRule="auto"/>
        <w:tabs>
          <w:tab w:leader="none" w:pos="2600" w:val="left"/>
        </w:tabs>
        <w:numPr>
          <w:ilvl w:val="1"/>
          <w:numId w:val="43"/>
        </w:numPr>
        <w:rPr>
          <w:rFonts w:ascii="Arial" w:cs="Arial" w:eastAsia="Arial" w:hAnsi="Arial"/>
          <w:sz w:val="18"/>
          <w:szCs w:val="18"/>
          <w:color w:val="auto"/>
        </w:rPr>
      </w:pPr>
      <w:r>
        <w:rPr>
          <w:rFonts w:ascii="Arial" w:cs="Arial" w:eastAsia="Arial" w:hAnsi="Arial"/>
          <w:sz w:val="20"/>
          <w:szCs w:val="20"/>
          <w:color w:val="auto"/>
        </w:rPr>
        <w:t>That such election may not take effect until at least twelve (12) months after the date on which the election is made;</w:t>
      </w:r>
    </w:p>
    <w:p>
      <w:pPr>
        <w:spacing w:after="0" w:line="285" w:lineRule="exact"/>
        <w:rPr>
          <w:rFonts w:ascii="Arial" w:cs="Arial" w:eastAsia="Arial" w:hAnsi="Arial"/>
          <w:sz w:val="18"/>
          <w:szCs w:val="18"/>
          <w:color w:val="auto"/>
        </w:rPr>
      </w:pPr>
    </w:p>
    <w:p>
      <w:pPr>
        <w:jc w:val="both"/>
        <w:ind w:left="2600" w:hanging="323"/>
        <w:spacing w:after="0" w:line="250" w:lineRule="auto"/>
        <w:tabs>
          <w:tab w:leader="none" w:pos="2600" w:val="left"/>
        </w:tabs>
        <w:numPr>
          <w:ilvl w:val="1"/>
          <w:numId w:val="43"/>
        </w:numPr>
        <w:rPr>
          <w:rFonts w:ascii="Arial" w:cs="Arial" w:eastAsia="Arial" w:hAnsi="Arial"/>
          <w:sz w:val="18"/>
          <w:szCs w:val="18"/>
          <w:color w:val="auto"/>
        </w:rPr>
      </w:pPr>
      <w:r>
        <w:rPr>
          <w:rFonts w:ascii="Arial" w:cs="Arial" w:eastAsia="Arial" w:hAnsi="Arial"/>
          <w:sz w:val="20"/>
          <w:szCs w:val="20"/>
          <w:color w:val="auto"/>
        </w:rPr>
        <w:t>In the case of an election related to a payment other than a payment on account of death, disability or the occurrence of a financial hardship, such payment must be deferred for a period of not less than five (5) years from the date such payment would have otherwise been made, and</w:t>
      </w:r>
    </w:p>
    <w:p>
      <w:pPr>
        <w:spacing w:after="0" w:line="294" w:lineRule="exact"/>
        <w:rPr>
          <w:rFonts w:ascii="Arial" w:cs="Arial" w:eastAsia="Arial" w:hAnsi="Arial"/>
          <w:sz w:val="18"/>
          <w:szCs w:val="18"/>
          <w:color w:val="auto"/>
        </w:rPr>
      </w:pPr>
    </w:p>
    <w:p>
      <w:pPr>
        <w:ind w:left="2600" w:hanging="323"/>
        <w:spacing w:after="0" w:line="260" w:lineRule="auto"/>
        <w:tabs>
          <w:tab w:leader="none" w:pos="2600" w:val="left"/>
        </w:tabs>
        <w:numPr>
          <w:ilvl w:val="1"/>
          <w:numId w:val="43"/>
        </w:numPr>
        <w:rPr>
          <w:rFonts w:ascii="Arial" w:cs="Arial" w:eastAsia="Arial" w:hAnsi="Arial"/>
          <w:sz w:val="18"/>
          <w:szCs w:val="18"/>
          <w:color w:val="auto"/>
        </w:rPr>
      </w:pPr>
      <w:r>
        <w:rPr>
          <w:rFonts w:ascii="Arial" w:cs="Arial" w:eastAsia="Arial" w:hAnsi="Arial"/>
          <w:sz w:val="20"/>
          <w:szCs w:val="20"/>
          <w:color w:val="auto"/>
        </w:rPr>
        <w:t>Any election related to a payment at a specified time or pursuant to a fixed schedule may not be made less than twelve (12) months prior to the date of the first scheduled payment.</w:t>
      </w:r>
    </w:p>
    <w:p>
      <w:pPr>
        <w:spacing w:after="0" w:line="285" w:lineRule="exact"/>
        <w:rPr>
          <w:rFonts w:ascii="Arial" w:cs="Arial" w:eastAsia="Arial" w:hAnsi="Arial"/>
          <w:sz w:val="18"/>
          <w:szCs w:val="18"/>
          <w:color w:val="auto"/>
        </w:rPr>
      </w:pPr>
    </w:p>
    <w:p>
      <w:pPr>
        <w:ind w:left="2600" w:hanging="323"/>
        <w:spacing w:after="0"/>
        <w:tabs>
          <w:tab w:leader="none" w:pos="2600" w:val="left"/>
        </w:tabs>
        <w:numPr>
          <w:ilvl w:val="1"/>
          <w:numId w:val="43"/>
        </w:numPr>
        <w:rPr>
          <w:rFonts w:ascii="Arial" w:cs="Arial" w:eastAsia="Arial" w:hAnsi="Arial"/>
          <w:sz w:val="18"/>
          <w:szCs w:val="18"/>
          <w:color w:val="auto"/>
        </w:rPr>
      </w:pPr>
      <w:r>
        <w:rPr>
          <w:rFonts w:ascii="Arial" w:cs="Arial" w:eastAsia="Arial" w:hAnsi="Arial"/>
          <w:sz w:val="20"/>
          <w:szCs w:val="20"/>
          <w:color w:val="auto"/>
        </w:rPr>
        <w:t>Such election may be made among the payment options set forth in Section 5.4.</w:t>
      </w:r>
    </w:p>
    <w:p>
      <w:pPr>
        <w:spacing w:after="0" w:line="37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Duration of Participation. Any Key Employee who has become a Participant at any time shall remain a Participant, even though he is no longer an Active Participant, until his entire benefit under the terms of the Plan has been paid to him (or to his Beneficiary in the event of his death), at which time he ceases to be a Participant.</w:t>
      </w:r>
    </w:p>
    <w:p>
      <w:pPr>
        <w:spacing w:after="0" w:line="200" w:lineRule="exact"/>
        <w:rPr>
          <w:sz w:val="20"/>
          <w:szCs w:val="20"/>
          <w:color w:val="auto"/>
        </w:rPr>
      </w:pPr>
    </w:p>
    <w:p>
      <w:pPr>
        <w:spacing w:after="0" w:line="20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color w:val="auto"/>
        </w:rPr>
        <w:t>Maintenance of Records. The annual Designation of Participants by the Plan Committee shall be maintained in the corporate minute book. The Written Elections by Participants shall be maintained in the corporate records with all other files pertaining to this Plan by the Plan Committee.</w:t>
      </w:r>
    </w:p>
    <w:p>
      <w:pPr>
        <w:spacing w:after="0" w:line="200" w:lineRule="exact"/>
        <w:rPr>
          <w:sz w:val="20"/>
          <w:szCs w:val="20"/>
          <w:color w:val="auto"/>
        </w:rPr>
      </w:pP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Contributions and Allocation.</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color w:val="auto"/>
        </w:rPr>
        <w:t>Participant Contributions. A Participant may elect to defer a portion of (i) up to 75% of Plan Year Compensation constituting base pay and (ii) up to 100% of all other Plan Year Compensation eligible for deferral under this Plan (including bonus pay). For a Participant’s initial Plan Year of participation, the minimum deferral percentage for base pay and bonus pay must be 3% for each such component. For succeeding years of participation, a Participant may not defer an amount less than the minimum percentage established from year to year by the Plan Committee. A written election must be submitted, pursuant to the terms of Section 2.3, specifying the percentage of Plan Year Compensation constituting base pay the Participant has chosen to defer. A separate written election must be submitted, pursuant to the terms of Section 2.3, specifying the percentage of all other Plan Year Compensation eligible for deferral under this Plan (including bonus pay) the Participant has chosen to defer. Once a Participant’s contributions for a Plan Year reach the Participant’s elected percentage, such Participant shall not be allowed to defer additional portions of such Participant’s Plan Year Compensation for the remainder of the Plan Year. Any amounts in excess of the Participant’s elected percentage inadvertently deferred shall be refunded to the Participant as soon as practicable.</w:t>
      </w:r>
    </w:p>
    <w:p>
      <w:pPr>
        <w:spacing w:after="0" w:line="200" w:lineRule="exact"/>
        <w:rPr>
          <w:sz w:val="20"/>
          <w:szCs w:val="20"/>
          <w:color w:val="auto"/>
        </w:rPr>
      </w:pPr>
    </w:p>
    <w:p>
      <w:pPr>
        <w:spacing w:after="0" w:line="39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Company Contributions. The Company may, subject to the sole discretion of its Board of Directors, make contributions for the Participants, reserving the right to discriminate among the Participants in the amount or percentage of contributions made in any Plan Year.</w:t>
      </w:r>
    </w:p>
    <w:p>
      <w:pPr>
        <w:spacing w:after="0" w:line="200" w:lineRule="exact"/>
        <w:rPr>
          <w:sz w:val="20"/>
          <w:szCs w:val="20"/>
          <w:color w:val="auto"/>
        </w:rPr>
      </w:pPr>
    </w:p>
    <w:p>
      <w:pPr>
        <w:spacing w:after="0" w:line="20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Allocation of Participant Contributions. All amounts which a Participant elects to defer under the terms of this Plan shall be allocated to his Account as of the last business day of each month. Each such Participant Deferral Account shall be credited with earnings as provided in Section 3.5 below.</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6" w:right="239" w:bottom="1440" w:gutter="0" w:footer="0" w:header="0"/>
        </w:sectPr>
      </w:pPr>
    </w:p>
    <w:bookmarkStart w:id="68" w:name="page69"/>
    <w:bookmarkEnd w:id="68"/>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Allocation of Company Contributions. Any amounts contributed by the Company on behalf of a Participant under Section 3.2 above shall be allocated to the Company Contribution Account of each Participant. Each such Company Contribution Account shall be credited with earnings as provided in Section 3.5 below.</w:t>
      </w:r>
    </w:p>
    <w:p>
      <w:pPr>
        <w:spacing w:after="0" w:line="200" w:lineRule="exact"/>
        <w:rPr>
          <w:sz w:val="20"/>
          <w:szCs w:val="20"/>
          <w:color w:val="auto"/>
        </w:rPr>
      </w:pPr>
    </w:p>
    <w:p>
      <w:pPr>
        <w:spacing w:after="0" w:line="202"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color w:val="auto"/>
        </w:rPr>
        <w:t>Credited Earnings. The Account of each Participant (which includes such Participant’s Participant Deferral Account established under Section 3.1 and such Participant’s Company Contribution Account established under Section 3.2) shall be credited as of each applicable business day with the actual earnings on the investments allocated to the Participant’s Account.</w:t>
      </w:r>
    </w:p>
    <w:p>
      <w:pPr>
        <w:spacing w:after="0" w:line="368"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Funding. The assets of the Plan shall be held under the Trust Agreement (a "grantor trust") designated in Section 8. As such, the Plan is intended to be an unfunded plan for purposes of the requirements of ERISA and the Code.</w:t>
      </w:r>
    </w:p>
    <w:p>
      <w:pPr>
        <w:spacing w:after="0" w:line="393"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Notwithstanding the provisions under the terms of the Plan that amounts contributed to this Plan, plus earnings thereon, shall be allocated to separate Accounts of Participants, all such amounts credited to such individual Accounts shall remain the general assets of the Company, and as such shall remain subject to the claims of the general creditors of the Company. This Plan and the related Trust Agreement do not create, nor does any employee, Participant or Beneficiary have, any right with respect to any specific assets of the Company or the Plan.</w:t>
      </w:r>
    </w:p>
    <w:p>
      <w:pPr>
        <w:spacing w:after="0" w:line="200" w:lineRule="exact"/>
        <w:rPr>
          <w:sz w:val="20"/>
          <w:szCs w:val="20"/>
          <w:color w:val="auto"/>
        </w:rPr>
      </w:pPr>
    </w:p>
    <w:p>
      <w:pPr>
        <w:spacing w:after="0" w:line="211" w:lineRule="exact"/>
        <w:rPr>
          <w:sz w:val="20"/>
          <w:szCs w:val="20"/>
          <w:color w:val="auto"/>
        </w:rPr>
      </w:pPr>
    </w:p>
    <w:p>
      <w:pPr>
        <w:ind w:left="660" w:hanging="652"/>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Vesting of Accounts. The Participant Deferral Accounts and the Company Contribution Account of each Participant shall be 100% vested in such Participant at all times.</w:t>
      </w:r>
    </w:p>
    <w:p>
      <w:pPr>
        <w:spacing w:after="0" w:line="393" w:lineRule="exact"/>
        <w:rPr>
          <w:rFonts w:ascii="Arial" w:cs="Arial" w:eastAsia="Arial" w:hAnsi="Arial"/>
          <w:sz w:val="20"/>
          <w:szCs w:val="20"/>
          <w:color w:val="auto"/>
        </w:rPr>
      </w:pPr>
    </w:p>
    <w:p>
      <w:pPr>
        <w:ind w:left="340" w:hanging="332"/>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Types of Benefits.</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Separation from Service Benefit. A Participant's Separation from Service Benefit is the unpaid balance of his Accounts which equals the total of all contributions made by the Participant and the Company allocated to his Account and all earnings credited to his Account in accordance with the terms of the Plan and the Trust Agreement, less any distributions already paid.</w:t>
      </w:r>
    </w:p>
    <w:p>
      <w:pPr>
        <w:spacing w:after="0" w:line="368" w:lineRule="exact"/>
        <w:rPr>
          <w:sz w:val="20"/>
          <w:szCs w:val="20"/>
          <w:color w:val="auto"/>
        </w:rPr>
      </w:pPr>
    </w:p>
    <w:p>
      <w:pPr>
        <w:jc w:val="both"/>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Disability Benefit. If a Participant becomes Disabled as defined in Section 1.6 above, the Company will pay his Separation from Service Benefit, calculated under Section 5.1, in the applicable form elected by the Participant in his Written Election.</w:t>
      </w:r>
    </w:p>
    <w:p>
      <w:pPr>
        <w:spacing w:after="0" w:line="346"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A Participant who believes he has suffered a Disability within the meaning of Section 1.6 shall make application to the Plan Committee, on a form prescribed by the Plan Committee, for a determination of whether he is Disabled under the terms of Section 1.6. The Participant shall make such written application to the Plan Committee on or after the date which is at least five (5) consecutive months following the date he first suffered the impairment under consideration. Any determination by the Plan Committee that a Disability exists under the provisions of Section 1.6 shall be effective only after the date the Disability has existed for six (6) consecutive months. All determinations made by the Plan Committee shall be final, and no Participant shall be considered Disabled for any purpose whatsoever under the provisions of this Plan if determined not to be Disabled by the Plan Committee under the procedures set forth in this Section.</w:t>
      </w:r>
    </w:p>
    <w:p>
      <w:pPr>
        <w:spacing w:after="0" w:line="200" w:lineRule="exact"/>
        <w:rPr>
          <w:sz w:val="20"/>
          <w:szCs w:val="20"/>
          <w:color w:val="auto"/>
        </w:rPr>
      </w:pPr>
    </w:p>
    <w:p>
      <w:pPr>
        <w:spacing w:after="0" w:line="21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Plan Committee shall notify each Participant who has made application under this Section 5.2, in writing, of its determination within three (3) months of the date the Plan Committee receives the Participant's application hereunder. The Participant shall cooperate in providing any information to the Plan Committee which it requires in making its determination, including, but not limited to, access to the Participant's medical records, direct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60" w:right="239" w:bottom="1440" w:gutter="0" w:footer="0" w:header="0"/>
        </w:sectPr>
      </w:pPr>
    </w:p>
    <w:bookmarkStart w:id="69" w:name="page70"/>
    <w:bookmarkEnd w:id="69"/>
    <w:p>
      <w:pPr>
        <w:spacing w:after="0" w:line="260" w:lineRule="auto"/>
        <w:rPr>
          <w:sz w:val="20"/>
          <w:szCs w:val="20"/>
          <w:color w:val="auto"/>
        </w:rPr>
      </w:pPr>
      <w:r>
        <w:rPr>
          <w:rFonts w:ascii="Arial" w:cs="Arial" w:eastAsia="Arial" w:hAnsi="Arial"/>
          <w:sz w:val="20"/>
          <w:szCs w:val="20"/>
          <w:color w:val="auto"/>
        </w:rPr>
        <w:t>contact with his physician, and physical examination by a physician selected by the Company. Any Participant who does not fully cooperate shall be deemed not Disabled by the Plan Committee and so notified.</w:t>
      </w:r>
    </w:p>
    <w:p>
      <w:pPr>
        <w:spacing w:after="0" w:line="3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Death Benefit.</w:t>
      </w:r>
    </w:p>
    <w:p>
      <w:pPr>
        <w:spacing w:after="0" w:line="200" w:lineRule="exact"/>
        <w:rPr>
          <w:sz w:val="20"/>
          <w:szCs w:val="20"/>
          <w:color w:val="auto"/>
        </w:rPr>
      </w:pPr>
    </w:p>
    <w:p>
      <w:pPr>
        <w:spacing w:after="0" w:line="232" w:lineRule="exact"/>
        <w:rPr>
          <w:sz w:val="20"/>
          <w:szCs w:val="20"/>
          <w:color w:val="auto"/>
        </w:rPr>
      </w:pPr>
    </w:p>
    <w:p>
      <w:pPr>
        <w:jc w:val="both"/>
        <w:ind w:left="1300" w:hanging="655"/>
        <w:spacing w:after="0" w:line="246" w:lineRule="auto"/>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a Participant dies after a distribution has commenced or if the Company has not purchased a life insurance contract in connection with the Participant's Separation from Service Benefit, the Company will continue the payments of such distribution otherwise due to the Participant to his designated Beneficiary, in the applicable form elected by the Participant in his Written Election.</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1300" w:hanging="655"/>
        <w:spacing w:after="0" w:line="278"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Participant dies while still employed by the Company or a Subsidiary and the Company has purchased a life insurance contract in connection with such Participant's Separation from Service Benefit, the Company will pay the Participant's designated Beneficiary the greatest of: (i) twice the Participant’s base salary upon initial eligibility for the Plan; (ii) $500,000; or (iii) if the Participant was a Participant prior to January 1, 2018, the amount specified under the Plan prior to such date, in the applicable form elected by the Participant in his Written Election.</w:t>
      </w:r>
    </w:p>
    <w:p>
      <w:pPr>
        <w:spacing w:after="0" w:line="381"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In-Service Withdrawal. A Participant may designate a year in the future for receipt of an In-Service Withdrawal with respect to the Participant's contribution for a given Plan Year. Such withdrawal may be paid while the Participant remains employed with the Company or a Subsidiary. Initial designations made with respect to the 2018 Plan Year in accordance with Section 2.3(a)</w:t>
      </w:r>
    </w:p>
    <w:p>
      <w:pPr>
        <w:spacing w:after="0" w:line="1" w:lineRule="exact"/>
        <w:rPr>
          <w:sz w:val="20"/>
          <w:szCs w:val="20"/>
          <w:color w:val="auto"/>
        </w:rPr>
      </w:pPr>
    </w:p>
    <w:p>
      <w:pPr>
        <w:jc w:val="both"/>
        <w:ind w:left="640" w:firstLine="5"/>
        <w:spacing w:after="0" w:line="274" w:lineRule="auto"/>
        <w:tabs>
          <w:tab w:leader="none" w:pos="9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may be subsequently modified under Section 2.3(b)) shall include Credited Earnings attributable to such Participant Contribution. The In-Service Withdrawal will be paid in a lump sum unless the Participant elects to receive substantially equal annual installments from two (2) to five (5) years, commencing no earlier than three (3) years after the Plan Year during which such Participant Contributions are made; provided, however, that a Participant may make a subsequent deferral election with respect to any initial In-Service Withdrawal election made under this Plan subject to the following requirements:</w:t>
      </w:r>
    </w:p>
    <w:p>
      <w:pPr>
        <w:spacing w:after="0" w:line="383" w:lineRule="exact"/>
        <w:rPr>
          <w:sz w:val="20"/>
          <w:szCs w:val="20"/>
          <w:color w:val="auto"/>
        </w:rPr>
      </w:pPr>
    </w:p>
    <w:p>
      <w:pPr>
        <w:ind w:left="1300" w:hanging="655"/>
        <w:spacing w:after="0" w:line="260"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Participant must deliver to the Company a written election not later than twelve (12) months prior to the date the payment is scheduled to be paid;</w:t>
      </w:r>
    </w:p>
    <w:p>
      <w:pPr>
        <w:spacing w:after="0" w:line="393" w:lineRule="exact"/>
        <w:rPr>
          <w:rFonts w:ascii="Arial" w:cs="Arial" w:eastAsia="Arial" w:hAnsi="Arial"/>
          <w:sz w:val="20"/>
          <w:szCs w:val="20"/>
          <w:color w:val="auto"/>
        </w:rPr>
      </w:pPr>
    </w:p>
    <w:p>
      <w:pPr>
        <w:ind w:left="1300" w:hanging="655"/>
        <w:spacing w:after="0" w:line="260"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payments that are subject to the election must be delayed at least five (5) years from the date the payments would have otherwise been made; and</w:t>
      </w:r>
    </w:p>
    <w:p>
      <w:pPr>
        <w:spacing w:after="0" w:line="393" w:lineRule="exact"/>
        <w:rPr>
          <w:rFonts w:ascii="Arial" w:cs="Arial" w:eastAsia="Arial" w:hAnsi="Arial"/>
          <w:sz w:val="20"/>
          <w:szCs w:val="20"/>
          <w:color w:val="auto"/>
        </w:rPr>
      </w:pPr>
    </w:p>
    <w:p>
      <w:pPr>
        <w:ind w:left="1300" w:hanging="655"/>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election will not take effect until at least twelve (12) months after the election is made.</w:t>
      </w:r>
    </w:p>
    <w:p>
      <w:pPr>
        <w:spacing w:after="0" w:line="200" w:lineRule="exact"/>
        <w:rPr>
          <w:sz w:val="20"/>
          <w:szCs w:val="20"/>
          <w:color w:val="auto"/>
        </w:rPr>
      </w:pPr>
    </w:p>
    <w:p>
      <w:pPr>
        <w:spacing w:after="0" w:line="232"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color w:val="auto"/>
        </w:rPr>
        <w:t>Unforeseeable Financial Emergency Benefit. A Participant may request a portion of his Separation from Service Benefit as an Unforeseeable Financial Emergency Benefit at any time by providing the Plan Committee, to its satisfaction, with a written request, proof of an Unforeseeable Financial Emergency, and proof that all other financial resources have been explored and utilized to: (i) receive a partial or full payout from the Plan and/or (ii) suspend any deferrals required to be made by a Participant. The amount of an Unforeseeable Financial Emergency Benefit shall be limited to the lesser of the amount needed for the financial hardship or such Participant's Separation from Service Benefit. If a Participant receives a distribution as a result of an Unforeseeable Financial Emergency, such Participant may not participate in the Plan during the Plan Year following the year of the hardship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900" w:top="636" w:right="239" w:bottom="1440" w:gutter="0" w:footer="0" w:header="0"/>
        </w:sectPr>
      </w:pPr>
    </w:p>
    <w:bookmarkStart w:id="70" w:name="page71"/>
    <w:bookmarkEnd w:id="70"/>
    <w:p>
      <w:pPr>
        <w:spacing w:after="0"/>
        <w:tabs>
          <w:tab w:leader="none" w:pos="32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Distributions.</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Form of Benefits. The Company shall pay benefits in the form associated with Type of Benefit elected by the Participant, and, to the extent a Type of Benefit may be distributed in various forms, the Company shall pay benefits in the form elected by the Participant. The forms of benefits associated with the Types of Benefits are the following:</w:t>
      </w:r>
    </w:p>
    <w:p>
      <w:pPr>
        <w:spacing w:after="0" w:line="386" w:lineRule="exact"/>
        <w:rPr>
          <w:sz w:val="20"/>
          <w:szCs w:val="20"/>
          <w:color w:val="auto"/>
        </w:rPr>
      </w:pPr>
    </w:p>
    <w:p>
      <w:pPr>
        <w:ind w:left="1960" w:right="20" w:hanging="655"/>
        <w:spacing w:after="0" w:line="260" w:lineRule="auto"/>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Separation from Service Benefit, Disability Benefit, and Death Benefit shall be paid in (i) one lump sum; (ii) 5 yearly installments; (iii) 10 yearly installments; or (iv) 15 yearly installments;</w:t>
      </w:r>
    </w:p>
    <w:p>
      <w:pPr>
        <w:spacing w:after="0" w:line="393" w:lineRule="exact"/>
        <w:rPr>
          <w:rFonts w:ascii="Arial" w:cs="Arial" w:eastAsia="Arial" w:hAnsi="Arial"/>
          <w:sz w:val="20"/>
          <w:szCs w:val="20"/>
          <w:color w:val="auto"/>
        </w:rPr>
      </w:pPr>
    </w:p>
    <w:p>
      <w:pPr>
        <w:ind w:left="1960" w:hanging="655"/>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In-Service Withdrawal shall be paid as provided in Section 5.4 above; and</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960" w:hanging="655"/>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Unforeseeable Financial Emergency Benefit shall be paid in one lump sum.</w:t>
      </w:r>
    </w:p>
    <w:p>
      <w:pPr>
        <w:spacing w:after="0" w:line="200" w:lineRule="exact"/>
        <w:rPr>
          <w:sz w:val="20"/>
          <w:szCs w:val="20"/>
          <w:color w:val="auto"/>
        </w:rPr>
      </w:pPr>
    </w:p>
    <w:p>
      <w:pPr>
        <w:spacing w:after="0" w:line="232"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Commencement of Payments. The Company will pay, or begin to pay, the Types of Benefits under this Plan to the Participant in accordance with the following:</w:t>
      </w:r>
    </w:p>
    <w:p>
      <w:pPr>
        <w:spacing w:after="0" w:line="393" w:lineRule="exact"/>
        <w:rPr>
          <w:sz w:val="20"/>
          <w:szCs w:val="20"/>
          <w:color w:val="auto"/>
        </w:rPr>
      </w:pPr>
    </w:p>
    <w:p>
      <w:pPr>
        <w:ind w:left="1960" w:hanging="655"/>
        <w:spacing w:after="0" w:line="316"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Separation from Service Benefit, Disability Benefit, and Death Benefit payments shall commence no later than sixty-five (65) days following the date on which the Participant retires, terminates service, becomes disabled, or dies;</w:t>
      </w:r>
    </w:p>
    <w:p>
      <w:pPr>
        <w:spacing w:after="0" w:line="346" w:lineRule="exact"/>
        <w:rPr>
          <w:rFonts w:ascii="Arial" w:cs="Arial" w:eastAsia="Arial" w:hAnsi="Arial"/>
          <w:sz w:val="18"/>
          <w:szCs w:val="18"/>
          <w:color w:val="auto"/>
        </w:rPr>
      </w:pPr>
    </w:p>
    <w:p>
      <w:pPr>
        <w:jc w:val="both"/>
        <w:ind w:left="1960" w:hanging="655"/>
        <w:spacing w:after="0" w:line="250" w:lineRule="auto"/>
        <w:tabs>
          <w:tab w:leader="none" w:pos="19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In-Service Withdrawal payments shall commence on the date designated by the Participant on his Written Election pursuant to Section 2.3, provided that such payments are from Participant Contributions that have been in such Participant's Participant Deferral Account for at least two years;</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960" w:right="20" w:hanging="655"/>
        <w:spacing w:after="0" w:line="260" w:lineRule="auto"/>
        <w:tabs>
          <w:tab w:leader="none" w:pos="19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Unforeseeable Financial Emergency Benefit payments shall commence no later than sixty-five (65) days after a request for an Unforeseeable Financial Emergency Benefit is approved by the Plan Committee.</w:t>
      </w:r>
    </w:p>
    <w:p>
      <w:pPr>
        <w:spacing w:after="0" w:line="393"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Domestic Relations Order. In the event the Plan Committee receives a Domestic Relations Order from a potential Alternate Payee, the Plan Committee shall notify the Participant whose benefit is the subject of such order and provide him/her with information concerning the Plan's procedures for administering Qualified Domestic Relations Orders ("QDROs"). Unless and until the order is set aside, the following provisions shall apply:</w:t>
      </w:r>
    </w:p>
    <w:p>
      <w:pPr>
        <w:spacing w:after="0" w:line="200" w:lineRule="exact"/>
        <w:rPr>
          <w:sz w:val="20"/>
          <w:szCs w:val="20"/>
          <w:color w:val="auto"/>
        </w:rPr>
      </w:pPr>
    </w:p>
    <w:p>
      <w:pPr>
        <w:spacing w:after="0" w:line="208" w:lineRule="exact"/>
        <w:rPr>
          <w:sz w:val="20"/>
          <w:szCs w:val="20"/>
          <w:color w:val="auto"/>
        </w:rPr>
      </w:pPr>
    </w:p>
    <w:p>
      <w:pPr>
        <w:jc w:val="both"/>
        <w:ind w:left="1960" w:hanging="655"/>
        <w:spacing w:after="0" w:line="250" w:lineRule="auto"/>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Plan Committee shall within a reasonable time determine whether the order is a QDRO and shall notify the Participant whose benefit is the subject of the order, of its determination. The Plan Committee may designate a representative to carry out its duties under this provision.</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960" w:hanging="655"/>
        <w:spacing w:after="0" w:line="260" w:lineRule="auto"/>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Nothing in this Section shall be deemed to allow payment under a QDRO to an Alternate Payee of any benefit which would violate Section 409A of the Code and the regulations thereunder.</w:t>
      </w:r>
    </w:p>
    <w:p>
      <w:pPr>
        <w:spacing w:after="0" w:line="393" w:lineRule="exact"/>
        <w:rPr>
          <w:rFonts w:ascii="Arial" w:cs="Arial" w:eastAsia="Arial" w:hAnsi="Arial"/>
          <w:sz w:val="20"/>
          <w:szCs w:val="20"/>
          <w:color w:val="auto"/>
        </w:rPr>
      </w:pPr>
    </w:p>
    <w:p>
      <w:pPr>
        <w:ind w:left="1960" w:hanging="655"/>
        <w:spacing w:after="0"/>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QDRO definitions. For purposes of Section 6.3 the following definitions and rules shall apply: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6" w:right="239" w:bottom="1440" w:gutter="0" w:footer="0" w:header="0"/>
        </w:sectPr>
      </w:pPr>
    </w:p>
    <w:bookmarkStart w:id="71" w:name="page72"/>
    <w:bookmarkEnd w:id="71"/>
    <w:p>
      <w:pPr>
        <w:jc w:val="both"/>
        <w:ind w:left="2600" w:hanging="647"/>
        <w:spacing w:after="0" w:line="250" w:lineRule="auto"/>
        <w:tabs>
          <w:tab w:leader="none" w:pos="2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Alternate Payee means any spouse, former spouse, child or other dependent of a Participant who is recognized by a QDRO as having a right to receive all, or a portion of, the benefits payable under this Plan with respect to the Participant.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2600" w:hanging="647"/>
        <w:spacing w:after="0" w:line="260" w:lineRule="auto"/>
        <w:tabs>
          <w:tab w:leader="none" w:pos="2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Domestic Relations Order means any judgment, decree, or order (including approval of a property settlement agreement) which:</w:t>
      </w:r>
    </w:p>
    <w:p>
      <w:pPr>
        <w:spacing w:after="0" w:line="393" w:lineRule="exact"/>
        <w:rPr>
          <w:rFonts w:ascii="Arial" w:cs="Arial" w:eastAsia="Arial" w:hAnsi="Arial"/>
          <w:sz w:val="20"/>
          <w:szCs w:val="20"/>
          <w:color w:val="auto"/>
        </w:rPr>
      </w:pPr>
    </w:p>
    <w:p>
      <w:pPr>
        <w:ind w:left="3240" w:right="20" w:hanging="639"/>
        <w:spacing w:after="0" w:line="260" w:lineRule="auto"/>
        <w:tabs>
          <w:tab w:leader="none" w:pos="32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relates to the provision of child support, alimony payments, or marital property rights to a spouse, child, or other dependent of a Participant; and</w:t>
      </w:r>
    </w:p>
    <w:p>
      <w:pPr>
        <w:spacing w:after="0" w:line="393" w:lineRule="exact"/>
        <w:rPr>
          <w:rFonts w:ascii="Arial" w:cs="Arial" w:eastAsia="Arial" w:hAnsi="Arial"/>
          <w:sz w:val="20"/>
          <w:szCs w:val="20"/>
          <w:color w:val="auto"/>
        </w:rPr>
      </w:pPr>
    </w:p>
    <w:p>
      <w:pPr>
        <w:ind w:left="3240" w:hanging="639"/>
        <w:spacing w:after="0"/>
        <w:tabs>
          <w:tab w:leader="none" w:pos="32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is made pursuant to a state domestic relations law (including a community property law).</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Qualified Domestic Relations Order means any Domestic Relations Order meeting the requirements for a Qualified Domestic Relations Order under Code section 414(p), which satisfies any additional criteria under policies established by the Plan Committee.</w:t>
      </w:r>
    </w:p>
    <w:p>
      <w:pPr>
        <w:spacing w:after="0" w:line="200" w:lineRule="exact"/>
        <w:rPr>
          <w:sz w:val="20"/>
          <w:szCs w:val="20"/>
          <w:color w:val="auto"/>
        </w:rPr>
      </w:pPr>
    </w:p>
    <w:p>
      <w:pPr>
        <w:spacing w:after="0" w:line="202"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color w:val="auto"/>
        </w:rPr>
        <w:t>Limited Cashout. Notwithstanding any Written Election made by the Participant, if, upon the Participant’s Separation from Service, such Participant’s accrued benefit under the Plan (and any other deferred compensation plan required to be aggregated with this Plan) does not exceed the then-current limit under Section 402(g)(1)(B) of the Code, the Company shall immediately distribute such Participant’s accrued benefit under the Plan in a single lump sum payment to the Participant (or the Beneficiary, if the Participant is deceased), provided that such distribution results in a termination and complete liquidation of such Participant’s interest under the Plan (and any other deferred compensation plan required to be aggregated by this Plan).</w:t>
      </w:r>
    </w:p>
    <w:p>
      <w:pPr>
        <w:spacing w:after="0" w:line="382"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Notwithstanding sections 6.2 and 7.3, distributions to a Specified Employee shall not commence earlier than six (6) months after the date such Specified Employee experiences a Separation from Service (or, if earlier, the date of death of the employee).</w:t>
      </w:r>
    </w:p>
    <w:p>
      <w:pPr>
        <w:spacing w:after="0" w:line="36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8"/>
          <w:szCs w:val="18"/>
          <w:color w:val="auto"/>
        </w:rPr>
        <w:t>Amendment, Termination of Plan, Change in Control.</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Amendment. The Company reserves the right to amend the Plan at any time by resolution of the Plan Committee. The Plan Committee will determine the effective date of any such amendment. The amendment may not deprive any Participant or Beneficiary of any portion of a benefit under the terms of this Plan at the time of the amendment.</w:t>
      </w:r>
    </w:p>
    <w:p>
      <w:pPr>
        <w:spacing w:after="0" w:line="3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Termination of Plan. The Company reserves the right to terminate the Plan under the following circumstances:</w:t>
      </w:r>
    </w:p>
    <w:p>
      <w:pPr>
        <w:spacing w:after="0" w:line="200" w:lineRule="exact"/>
        <w:rPr>
          <w:sz w:val="20"/>
          <w:szCs w:val="20"/>
          <w:color w:val="auto"/>
        </w:rPr>
      </w:pPr>
    </w:p>
    <w:p>
      <w:pPr>
        <w:spacing w:after="0" w:line="232"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Plan Committee may resolve to terminate the Plan provided that:</w:t>
      </w:r>
    </w:p>
    <w:p>
      <w:pPr>
        <w:spacing w:after="0" w:line="200" w:lineRule="exact"/>
        <w:rPr>
          <w:sz w:val="20"/>
          <w:szCs w:val="20"/>
          <w:color w:val="auto"/>
        </w:rPr>
      </w:pPr>
    </w:p>
    <w:p>
      <w:pPr>
        <w:spacing w:after="0" w:line="232" w:lineRule="exact"/>
        <w:rPr>
          <w:sz w:val="20"/>
          <w:szCs w:val="20"/>
          <w:color w:val="auto"/>
        </w:rPr>
      </w:pPr>
    </w:p>
    <w:p>
      <w:pPr>
        <w:ind w:left="2600" w:hanging="647"/>
        <w:spacing w:after="0" w:line="260" w:lineRule="auto"/>
        <w:tabs>
          <w:tab w:leader="none" w:pos="2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arrangements of the same type (account balance plans, nonaccount balance plans, separation pay plans or other arrangements) are terminated with respect to all participants;</w:t>
      </w:r>
    </w:p>
    <w:p>
      <w:pPr>
        <w:spacing w:after="0" w:line="69" w:lineRule="exact"/>
        <w:rPr>
          <w:sz w:val="20"/>
          <w:szCs w:val="20"/>
          <w:color w:val="auto"/>
        </w:rPr>
      </w:pPr>
    </w:p>
    <w:p>
      <w:pPr>
        <w:ind w:left="2600" w:hanging="647"/>
        <w:spacing w:after="0" w:line="260" w:lineRule="auto"/>
        <w:tabs>
          <w:tab w:leader="none" w:pos="2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 payments other than those otherwise payable under the terms of the Plan absent a termination of the Plan are made within twelve (12) months of the termination of the arrangement;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6" w:right="239" w:bottom="1440" w:gutter="0" w:footer="0" w:header="0"/>
        </w:sectPr>
      </w:pPr>
    </w:p>
    <w:bookmarkStart w:id="72" w:name="page73"/>
    <w:bookmarkEnd w:id="72"/>
    <w:p>
      <w:pPr>
        <w:ind w:left="2600" w:hanging="647"/>
        <w:spacing w:after="0"/>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payments are made within twenty-four (24) moths of the termination of the arrangement; and</w:t>
      </w:r>
    </w:p>
    <w:p>
      <w:pPr>
        <w:spacing w:after="0" w:line="107"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Company does not adopt a new arrangement that would be aggregated with any terminated arrangement under the plan aggregation rules at any time for a period of five years following the date of termination of the arrangement.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960" w:right="20" w:hanging="655"/>
        <w:spacing w:after="0" w:line="260" w:lineRule="auto"/>
        <w:tabs>
          <w:tab w:leader="none" w:pos="1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Plan Committee may terminate the Plan and make payments to the Participants at any time during the twelve (12) months following a change in control of the corporation;</w:t>
      </w:r>
    </w:p>
    <w:p>
      <w:pPr>
        <w:spacing w:after="0" w:line="393"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corporate dissolution taxed under Section 331, or with the approval of a bankruptcy court pursuant to 11 U.S.C. §503(b)(l)(A), provided that the amounts deferred under the Plan are included in the Participants' gross incomes by the latest of:</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2600" w:hanging="647"/>
        <w:spacing w:after="0"/>
        <w:tabs>
          <w:tab w:leader="none" w:pos="26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calendar year in which the Plan termination occurs,</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2600" w:hanging="647"/>
        <w:spacing w:after="0"/>
        <w:tabs>
          <w:tab w:leader="none" w:pos="26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calendar year in which the amount is no longer subject to a substantial risk of forfeiture, or</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2600" w:hanging="647"/>
        <w:spacing w:after="0"/>
        <w:tabs>
          <w:tab w:leader="none" w:pos="26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first calendar year in which the payment is administratively practicable.</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Change in Control. In the event of a Change in Control, the Company shall, as soon as possible, but in no event later than ten days after the Change in Control, notify the Trustee, and the Trustee or its agent shall immediately calculate the Separation from Service Benefit of each affected Participant and distribute such amounts to the Participant or Beneficiary in a lump sum as soon as administratively feasible after the Change in Control, but in no event later than the last day of the year in which the Change in Control occurs. If the Company fails to notify the Trustee as specified in this section, the Trustee may act upon notification of the "Change of Control" obtained in an alternate manner. The Trustee shall incur no liability to any person for any action taken pursuant to such notification and in conformity with the terms of the Plan.</w:t>
      </w:r>
    </w:p>
    <w:p>
      <w:pPr>
        <w:spacing w:after="0" w:line="385" w:lineRule="exact"/>
        <w:rPr>
          <w:sz w:val="20"/>
          <w:szCs w:val="20"/>
          <w:color w:val="auto"/>
        </w:rPr>
      </w:pPr>
    </w:p>
    <w:p>
      <w:pPr>
        <w:jc w:val="both"/>
        <w:ind w:left="660" w:hanging="652"/>
        <w:spacing w:after="0" w:line="260" w:lineRule="auto"/>
        <w:tabs>
          <w:tab w:leader="none" w:pos="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Benefits Not Funded. Participants and Beneficiaries have the status of unsecured creditors of the Company, and the Plan constitutes a mere promise by the Company to make benefit payments in the future. A Participant's or Beneficiary's interest in the Plan is an unsecured claim against the general assets of the Company, and neither the Participant nor a Beneficiary has any right against the account until the Plan has distributed the benefit. All amounts credited to an account are the general assets of the Company and may be disposed of or used by the Company in such manner as it determines.</w:t>
      </w:r>
    </w:p>
    <w:p>
      <w:pPr>
        <w:spacing w:after="0" w:line="396" w:lineRule="exact"/>
        <w:rPr>
          <w:rFonts w:ascii="Arial" w:cs="Arial" w:eastAsia="Arial" w:hAnsi="Arial"/>
          <w:sz w:val="19"/>
          <w:szCs w:val="19"/>
          <w:color w:val="auto"/>
        </w:rPr>
      </w:pPr>
    </w:p>
    <w:p>
      <w:pPr>
        <w:jc w:val="both"/>
        <w:ind w:left="660"/>
        <w:spacing w:after="0" w:line="278" w:lineRule="auto"/>
        <w:rPr>
          <w:rFonts w:ascii="Arial" w:cs="Arial" w:eastAsia="Arial" w:hAnsi="Arial"/>
          <w:sz w:val="19"/>
          <w:szCs w:val="19"/>
          <w:color w:val="auto"/>
        </w:rPr>
      </w:pPr>
      <w:r>
        <w:rPr>
          <w:rFonts w:ascii="Arial" w:cs="Arial" w:eastAsia="Arial" w:hAnsi="Arial"/>
          <w:sz w:val="18"/>
          <w:szCs w:val="18"/>
          <w:color w:val="auto"/>
        </w:rPr>
        <w:t>Notwithstanding the first paragraph of this Section 8, the Company will make deposits to a trust pursuant to a Trust Agreement, a copy of which is attached, as provided above. Such Trust Agreement created by the Company is intended to be a grantor trust, and any assets held by such trust to assist the Company in meeting its obligations under the Plan will conform to the terms of the model trust, as described in Revenue Procedure 92-64, 1992-2 C.B. 422, promulgated by the Internal Revenue Service. The Company will make a transfer of cash to the trust annually in the amount necessary to pay the deferred compensation required.</w:t>
      </w:r>
    </w:p>
    <w:p>
      <w:pPr>
        <w:spacing w:after="0" w:line="381" w:lineRule="exact"/>
        <w:rPr>
          <w:rFonts w:ascii="Arial" w:cs="Arial" w:eastAsia="Arial" w:hAnsi="Arial"/>
          <w:sz w:val="19"/>
          <w:szCs w:val="19"/>
          <w:color w:val="auto"/>
        </w:rPr>
      </w:pPr>
    </w:p>
    <w:p>
      <w:pPr>
        <w:jc w:val="both"/>
        <w:ind w:left="660"/>
        <w:spacing w:after="0" w:line="250" w:lineRule="auto"/>
        <w:rPr>
          <w:rFonts w:ascii="Arial" w:cs="Arial" w:eastAsia="Arial" w:hAnsi="Arial"/>
          <w:sz w:val="19"/>
          <w:szCs w:val="19"/>
          <w:color w:val="auto"/>
        </w:rPr>
      </w:pPr>
      <w:r>
        <w:rPr>
          <w:rFonts w:ascii="Arial" w:cs="Arial" w:eastAsia="Arial" w:hAnsi="Arial"/>
          <w:sz w:val="20"/>
          <w:szCs w:val="20"/>
          <w:color w:val="auto"/>
        </w:rPr>
        <w:t>It is the intention of the parties that this Plan and the accompanying Trust Agreement shall constitute an unfunded arrangement maintained for the purpose of providing deferred compensation for a select group of management or highly compensated employees for purposes of Title I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6" w:right="239" w:bottom="1440" w:gutter="0" w:footer="0" w:header="0"/>
        </w:sectPr>
      </w:pPr>
    </w:p>
    <w:bookmarkStart w:id="73" w:name="page74"/>
    <w:bookmarkEnd w:id="73"/>
    <w:p>
      <w:pPr>
        <w:spacing w:after="0"/>
        <w:tabs>
          <w:tab w:leader="none" w:pos="32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Administration.</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Plan Committee. The Plan shall be administered by the Plan Committee. The Plan Committee shall have full authority and power to administer and construe the Plan, subject to applicable requirements of law. Without limiting the generality of the foregoing, the Plan Committee shall have the powers indicated in the foregoing Sections of the Plan and the following additional powers and duties:</w:t>
      </w:r>
    </w:p>
    <w:p>
      <w:pPr>
        <w:spacing w:after="0" w:line="200" w:lineRule="exact"/>
        <w:rPr>
          <w:sz w:val="20"/>
          <w:szCs w:val="20"/>
          <w:color w:val="auto"/>
        </w:rPr>
      </w:pPr>
    </w:p>
    <w:p>
      <w:pPr>
        <w:spacing w:after="0" w:line="208" w:lineRule="exact"/>
        <w:rPr>
          <w:sz w:val="20"/>
          <w:szCs w:val="20"/>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deems necessary or proper for the administration of the Plan;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interpret the Plan and to decide all questions concerning the Plan;</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960" w:hanging="655"/>
        <w:spacing w:after="0"/>
        <w:tabs>
          <w:tab w:leader="none" w:pos="1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determine the amount and the recipient of any payments to be made under the Plan;</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960" w:hanging="655"/>
        <w:spacing w:after="0"/>
        <w:tabs>
          <w:tab w:leader="none" w:pos="1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designate and value any investments deemed held in the Accounts; and</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all other determinations and to take all other steps necessary or advisable for the administration of the Plan.</w:t>
      </w:r>
    </w:p>
    <w:p>
      <w:pPr>
        <w:spacing w:after="0" w:line="200" w:lineRule="exact"/>
        <w:rPr>
          <w:sz w:val="20"/>
          <w:szCs w:val="20"/>
          <w:color w:val="auto"/>
        </w:rPr>
      </w:pPr>
    </w:p>
    <w:p>
      <w:pPr>
        <w:spacing w:after="0" w:line="255"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All decisions made by the Plan Committee pursuant to the provisions of the Plan shall be made in its sole discretion and shall be final; conclusive, and binding upon all parties.</w:t>
      </w:r>
    </w:p>
    <w:p>
      <w:pPr>
        <w:spacing w:after="0" w:line="393"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color w:val="auto"/>
        </w:rPr>
        <w:t>Delegation of Duties. The Plan Committee may delegate such of its duties and may engage such experts and other persons as it deems appropriate in connection with administering the Plan. The Plan Committee shall be fully protected in any action taken, in good faith, in reliance upon any opinions or reports furnished them by any such experts or other persons.</w:t>
      </w:r>
    </w:p>
    <w:p>
      <w:pPr>
        <w:spacing w:after="0" w:line="368"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Indemnification of Committee. The Company agrees to indemnify and to defend to the fullest extent permitted by law any person serving as a member of the Plan Committee, and each employee of the Company or any of its affiliates appointed by the Plan Committee to carry out duties under this Plan, against all liabilities, damages, costs and expenses (including attorneys' fees and amounts paid in settlement of any claims approved by the Company) occasioned by any act or omission to act in connection with the Plan, if such act or omission is in good faith.</w:t>
      </w:r>
    </w:p>
    <w:p>
      <w:pPr>
        <w:spacing w:after="0" w:line="200" w:lineRule="exact"/>
        <w:rPr>
          <w:sz w:val="20"/>
          <w:szCs w:val="20"/>
          <w:color w:val="auto"/>
        </w:rPr>
      </w:pPr>
    </w:p>
    <w:p>
      <w:pPr>
        <w:spacing w:after="0" w:line="211" w:lineRule="exact"/>
        <w:rPr>
          <w:sz w:val="20"/>
          <w:szCs w:val="20"/>
          <w:color w:val="auto"/>
        </w:rPr>
      </w:pPr>
    </w:p>
    <w:p>
      <w:pPr>
        <w:jc w:val="both"/>
        <w:ind w:left="1300" w:right="20" w:hanging="647"/>
        <w:spacing w:after="0" w:line="316" w:lineRule="auto"/>
        <w:tabs>
          <w:tab w:leader="none" w:pos="12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color w:val="auto"/>
        </w:rPr>
        <w:t>Liability. To the extent permitted by law, neither the Plan Committee nor any other person shall incur any liability for any acts or for any failure to act except for liability arising out of such person's own willful misconduct or willful breach of the Plan.</w:t>
      </w:r>
    </w:p>
    <w:p>
      <w:pPr>
        <w:spacing w:after="0" w:line="3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6"/>
          <w:szCs w:val="16"/>
          <w:color w:val="auto"/>
        </w:rPr>
        <w:t>Claims Review Procedure.</w:t>
      </w:r>
    </w:p>
    <w:p>
      <w:pPr>
        <w:spacing w:after="0" w:line="200" w:lineRule="exact"/>
        <w:rPr>
          <w:sz w:val="20"/>
          <w:szCs w:val="20"/>
          <w:color w:val="auto"/>
        </w:rPr>
      </w:pPr>
    </w:p>
    <w:p>
      <w:pPr>
        <w:spacing w:after="0" w:line="232" w:lineRule="exact"/>
        <w:rPr>
          <w:sz w:val="20"/>
          <w:szCs w:val="20"/>
          <w:color w:val="auto"/>
        </w:rPr>
      </w:pPr>
    </w:p>
    <w:p>
      <w:pPr>
        <w:jc w:val="both"/>
        <w:ind w:left="1960" w:hanging="655"/>
        <w:spacing w:after="0" w:line="250" w:lineRule="auto"/>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claim for benefits may be filed, in writing, with the Plan Committee. A written disposition of a claim shall be furnished to the claimant within a reasonable time after the claim for benefits is filed. In the event a claim for benefits is denied, the Plan Committee shall provide the claimant with the reasons for denial.</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960" w:hanging="655"/>
        <w:spacing w:after="0" w:line="260" w:lineRule="auto"/>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claimant whose claim for benefits was denied may file for a review of such denial, with the Plan Committee, no later than 60 days after he has received written notification of the denial.</w:t>
      </w:r>
    </w:p>
    <w:p>
      <w:pPr>
        <w:sectPr>
          <w:pgSz w:w="11900" w:h="16838" w:orient="portrait"/>
          <w:cols w:equalWidth="0" w:num="1">
            <w:col w:w="11420"/>
          </w:cols>
          <w:pgMar w:left="240" w:top="636"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36" w:right="239" w:bottom="1440" w:gutter="0" w:footer="0" w:header="0"/>
          <w:type w:val="continuous"/>
        </w:sectPr>
      </w:pPr>
    </w:p>
    <w:bookmarkStart w:id="74" w:name="page75"/>
    <w:bookmarkEnd w:id="74"/>
    <w:p>
      <w:pPr>
        <w:jc w:val="both"/>
        <w:ind w:left="1960" w:hanging="655"/>
        <w:spacing w:after="0" w:line="243" w:lineRule="auto"/>
        <w:tabs>
          <w:tab w:leader="none" w:pos="1960"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Plan Committee shall give a request for review a full and fair review. If the claim for benefits is denied upon completion of a full and fair review, notice of such denial shall be provided to the claimant within 60 days after the Plan Committee's receipt of such written claim for review. This 60-day period may be extended in the event of special circumstances. Such special circumstances shall be communicated to the claimant in writing within the 60-day period. If there is an extension, a decision shall be made as soon as possible, but not later than 120 days after receipt by the Plan Committee of such claim for review.</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960" w:hanging="655"/>
        <w:spacing w:after="0" w:line="291"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benefits are provided or administered by an insurance company, insurance service, or other similar organization which is subject to regulation under the insurance laws of a state, the claims procedure relating to these benefits may provide for review. If so, that company, service, or organization will be the entity to which claims are addressed.</w:t>
      </w:r>
    </w:p>
    <w:p>
      <w:pPr>
        <w:spacing w:after="0" w:line="368" w:lineRule="exact"/>
        <w:rPr>
          <w:rFonts w:ascii="Arial" w:cs="Arial" w:eastAsia="Arial" w:hAnsi="Arial"/>
          <w:sz w:val="18"/>
          <w:szCs w:val="18"/>
          <w:color w:val="auto"/>
        </w:rPr>
      </w:pPr>
    </w:p>
    <w:p>
      <w:pPr>
        <w:ind w:left="440" w:hanging="432"/>
        <w:spacing w:after="0"/>
        <w:tabs>
          <w:tab w:leader="none" w:pos="4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General Provisions</w:t>
      </w:r>
    </w:p>
    <w:p>
      <w:pPr>
        <w:spacing w:after="0" w:line="200" w:lineRule="exact"/>
        <w:rPr>
          <w:sz w:val="20"/>
          <w:szCs w:val="20"/>
          <w:color w:val="auto"/>
        </w:rPr>
      </w:pPr>
    </w:p>
    <w:p>
      <w:pPr>
        <w:spacing w:after="0" w:line="23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10.1.</w:t>
        <w:tab/>
        <w:t>Designation of Beneficiary. Each Participant shall designate, in writing, prior to the date he first becomes a Participant in the Plan, one or more beneficiaries to receive his benefit under the provisions of Section 5.3. The Participant shall file the written designation with the Plan Committee. The Participant may revoke a previous beneficiary designation by filing a new written beneficiary designation with the Plan Committee.</w:t>
      </w:r>
    </w:p>
    <w:p>
      <w:pPr>
        <w:spacing w:after="0" w:line="200" w:lineRule="exact"/>
        <w:rPr>
          <w:sz w:val="20"/>
          <w:szCs w:val="20"/>
          <w:color w:val="auto"/>
        </w:rPr>
      </w:pPr>
    </w:p>
    <w:p>
      <w:pPr>
        <w:spacing w:after="0" w:line="208"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In any event, if a Participant or Beneficiary who has designated another Beneficiary is divorced, all beneficiary designations executed prior to the effective date of the dissolution of marriage (or other decree or order entered under applicable state law) are automatically revoked under the terms of this Section 10.1. In such event, the Participant or Beneficiary may designate one or more Beneficiaries in accordance with the terms of this Section 10.1. If none is made following the effective date of the dissolution of the marriage, the individual's benefit shall pass under the laws of intestate succession and the terms of the next following paragraph.</w:t>
      </w:r>
    </w:p>
    <w:p>
      <w:pPr>
        <w:spacing w:after="0" w:line="200" w:lineRule="exact"/>
        <w:rPr>
          <w:sz w:val="20"/>
          <w:szCs w:val="20"/>
          <w:color w:val="auto"/>
        </w:rPr>
      </w:pPr>
    </w:p>
    <w:p>
      <w:pPr>
        <w:spacing w:after="0" w:line="213"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If a Participant fails to file a valid designation of beneficiary with the Plan Committee under the provisions of this Section 10.1, or if a designated Beneficiary fails to survive to receive any or all payments due hereunder, then the death benefit payable under this Plan shall be payable to the Participant's (or the Beneficiary's) spouse; if no spouse survives, then to the Participant's (or Beneficiary's) children, with equal shares among living children and with the living descendants of a deceased child receiving equal portions of the deceased child's share; in the absence of spouse or descendants, to the Participant's (or Beneficiary's) parents; and in the absence of spouse, descendants or parents, to the Participant's (or Beneficiary's) brothers and sisters, with the living descendants of a deceased brother and those of a deceased sister receiving equal portions of the deceased brother's or sister's share; in the absence of any of the persons named herein, to the Participant's (or Beneficiary's) estate.</w:t>
      </w:r>
    </w:p>
    <w:p>
      <w:pPr>
        <w:spacing w:after="0" w:line="362"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For purposes of this Section 10.1, the term "descendant" means all persons who are descended from the person referred to either by birth to or legal adoption by such person, and "child" or "children" includes adopted children.</w:t>
      </w:r>
    </w:p>
    <w:p>
      <w:pPr>
        <w:spacing w:after="0" w:line="393"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10.2.</w:t>
        <w:tab/>
        <w:t>Benefits Not Assignable. The rights of each Participant are not subject in any manner to anticipation, alienation, sale, transfer, assignment, pledge, encumbrance, attachment, or garnishment by creditors of the Participant or any Beneficiary. Neither the Participant nor Beneficiary may assign, transfer or pledge the benefits under this Plan. Any attempt to assign, transfer or pledge a Participant's benefits under this Plan is void.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6" w:right="239" w:bottom="1440" w:gutter="0" w:footer="0" w:header="0"/>
        </w:sectPr>
      </w:pPr>
    </w:p>
    <w:bookmarkStart w:id="75" w:name="page76"/>
    <w:bookmarkEnd w:id="75"/>
    <w:p>
      <w:pPr>
        <w:jc w:val="both"/>
        <w:ind w:left="1300" w:hanging="647"/>
        <w:spacing w:after="0" w:line="287" w:lineRule="auto"/>
        <w:tabs>
          <w:tab w:leader="none" w:pos="12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Benefit. This Plan constitutes an agreement between the Company and each of the Participants which is binding upon and inures to the Company, its successors and assigns and upon the Participant and his heirs and legal representatives.</w:t>
      </w:r>
    </w:p>
    <w:p>
      <w:pPr>
        <w:spacing w:after="0" w:line="36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10.4.</w:t>
        <w:tab/>
        <w:t>Headings. The headings of the Articles and Sections of this Plan are included for purposes of convenience only, and shall not affect the construction or interpretation of any of it provisions.</w:t>
      </w:r>
    </w:p>
    <w:p>
      <w:pPr>
        <w:spacing w:after="0" w:line="393"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10.5.</w:t>
        <w:tab/>
        <w:t>Notices. All notices, requests, demands, and other communications under this Plan shall be in writing and shall be deemed to have been duly given on the date of service if served personally on the party to whom notice is to be given, or on the third day after mailing if mailed to the party to whom notice is to be given, by first class mail, registered or certified (return receipt requested), postage prepaid, and properly addressed to the last known address to each party as set forth on the first page thereof. Any party may change its address for purposes of this Section by giving the other parties written notice of the new address in the manner set forth above.</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color w:val="auto"/>
        </w:rPr>
        <w:t>No Loans. The Plan does not permit any loans to be made to any Participant or Beneficiary.</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color w:val="auto"/>
        </w:rPr>
        <w:t>Gender Usage. The use of the masculine gender includes the feminine gender for all purposes of this Plan.</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color w:val="auto"/>
        </w:rPr>
        <w:t>Expenses. Costs of administration of the Plan shall be paid by the Company.</w:t>
      </w:r>
    </w:p>
    <w:p>
      <w:pPr>
        <w:spacing w:after="0" w:line="200" w:lineRule="exact"/>
        <w:rPr>
          <w:sz w:val="20"/>
          <w:szCs w:val="20"/>
          <w:color w:val="auto"/>
        </w:rPr>
      </w:pPr>
    </w:p>
    <w:p>
      <w:pPr>
        <w:spacing w:after="0" w:line="23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 WITNESS WHEREOF, the Company has executed this Amended and Restated Deferred Compensation Plan (2018) on July 16, 2018,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MOLINA HEALTHCARE,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Joseph M. Zubretsky</w:t>
      </w:r>
    </w:p>
    <w:p>
      <w:pPr>
        <w:spacing w:after="0" w:line="1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Joseph M. Zubretsky</w:t>
      </w:r>
    </w:p>
    <w:p>
      <w:pPr>
        <w:spacing w:after="0" w:line="1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Executive Officer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2018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2018 (the “Report”), I, Thomas L. Tran,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lvl w:ilvl="1">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6"/>
    </w:lvl>
    <w:lvl w:ilvl="1">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lvl w:ilvl="1">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upperLetter"/>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lowerRoman"/>
      <w:start w:val="1"/>
    </w:lvl>
  </w:abstractNum>
  <w:abstractNum w:abstractNumId="37">
    <w:nsid w:val="79A1DEAA"/>
    <w:multiLevelType w:val="hybridMultilevel"/>
    <w:lvl w:ilvl="0">
      <w:lvlJc w:val="left"/>
      <w:lvlText w:val="%1."/>
      <w:numFmt w:val="lowerLetter"/>
      <w:start w:val="1"/>
    </w:lvl>
    <w:lvl w:ilvl="1">
      <w:lvlJc w:val="left"/>
      <w:lvlText w:val="%2."/>
      <w:numFmt w:val="lowerRoman"/>
      <w:start w:val="1"/>
    </w:lvl>
  </w:abstractNum>
  <w:abstractNum w:abstractNumId="38">
    <w:nsid w:val="75C6C33A"/>
    <w:multiLevelType w:val="hybridMultilevel"/>
    <w:lvl w:ilvl="0">
      <w:lvlJc w:val="left"/>
      <w:lvlText w:val="%1"/>
      <w:numFmt w:val="lowerLetter"/>
      <w:start w:val="1"/>
    </w:lvl>
    <w:lvl w:ilvl="1">
      <w:lvlJc w:val="left"/>
      <w:lvlText w:val="%2."/>
      <w:numFmt w:val="lowerRoman"/>
      <w:start w:val="4"/>
    </w:lvl>
  </w:abstractNum>
  <w:abstractNum w:abstractNumId="39">
    <w:nsid w:val="12E685FB"/>
    <w:multiLevelType w:val="hybridMultilevel"/>
    <w:lvl w:ilvl="0">
      <w:lvlJc w:val="left"/>
      <w:lvlText w:val="%1."/>
      <w:numFmt w:val="lowerLetter"/>
      <w:start w:val="3"/>
    </w:lvl>
    <w:lvl w:ilvl="1">
      <w:lvlJc w:val="left"/>
      <w:lvlText w:val="%2."/>
      <w:numFmt w:val="lowerRoman"/>
      <w:start w:val="1"/>
    </w:lvl>
  </w:abstractNum>
  <w:abstractNum w:abstractNumId="40">
    <w:nsid w:val="70C6A529"/>
    <w:multiLevelType w:val="hybridMultilevel"/>
    <w:lvl w:ilvl="0">
      <w:lvlJc w:val="left"/>
      <w:lvlText w:val="%1."/>
      <w:numFmt w:val="lowerRoman"/>
      <w:start w:val="3"/>
    </w:lvl>
  </w:abstractNum>
  <w:abstractNum w:abstractNumId="41">
    <w:nsid w:val="520EEDD1"/>
    <w:multiLevelType w:val="hybridMultilevel"/>
    <w:lvl w:ilvl="0">
      <w:lvlJc w:val="left"/>
      <w:lvlText w:val="%1."/>
      <w:numFmt w:val="lowerLetter"/>
      <w:start w:val="1"/>
    </w:lvl>
    <w:lvl w:ilvl="1">
      <w:lvlJc w:val="left"/>
      <w:lvlText w:val="%2."/>
      <w:numFmt w:val="lowerRoman"/>
      <w:start w:val="1"/>
    </w:lvl>
  </w:abstractNum>
  <w:abstractNum w:abstractNumId="42">
    <w:nsid w:val="374A3FE6"/>
    <w:multiLevelType w:val="hybridMultilevel"/>
    <w:lvl w:ilvl="0">
      <w:lvlJc w:val="left"/>
      <w:lvlText w:val="%1."/>
      <w:numFmt w:val="lowerLetter"/>
      <w:start w:val="5"/>
    </w:lvl>
    <w:lvl w:ilvl="1">
      <w:lvlJc w:val="left"/>
      <w:lvlText w:val="%2."/>
      <w:numFmt w:val="lowerRoman"/>
      <w:start w:val="1"/>
    </w:lvl>
  </w:abstractNum>
  <w:abstractNum w:abstractNumId="43">
    <w:nsid w:val="4F4EF005"/>
    <w:multiLevelType w:val="hybridMultilevel"/>
    <w:lvl w:ilvl="0">
      <w:lvlJc w:val="left"/>
      <w:lvlText w:val="%1."/>
      <w:numFmt w:val="decimal"/>
      <w:start w:val="4"/>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Roman"/>
      <w:start w:val="4"/>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Roman"/>
      <w:start w:val="1"/>
    </w:lvl>
    <w:lvl w:ilvl="1">
      <w:lvlJc w:val="left"/>
      <w:lvlText w:val="(%2)"/>
      <w:numFmt w:val="decimal"/>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Roman"/>
      <w:start w:val="1"/>
    </w:lvl>
  </w:abstractNum>
  <w:abstractNum w:abstractNumId="53">
    <w:nsid w:val="15B5AF5C"/>
    <w:multiLevelType w:val="hybridMultilevel"/>
    <w:lvl w:ilvl="0">
      <w:lvlJc w:val="left"/>
      <w:lvlText w:val="%1"/>
      <w:numFmt w:val="lowerRoman"/>
      <w:start w:val="2"/>
    </w:lvl>
  </w:abstractNum>
  <w:abstractNum w:abstractNumId="54">
    <w:nsid w:val="741226BB"/>
    <w:multiLevelType w:val="hybridMultilevel"/>
    <w:lvl w:ilvl="0">
      <w:lvlJc w:val="left"/>
      <w:lvlText w:val="%1"/>
      <w:numFmt w:val="lowerLetter"/>
      <w:start w:val="1"/>
    </w:lvl>
    <w:lvl w:ilvl="1">
      <w:lvlJc w:val="left"/>
      <w:lvlText w:val="%2."/>
      <w:numFmt w:val="lowerRoman"/>
      <w:start w:val="3"/>
    </w:lvl>
  </w:abstractNum>
  <w:abstractNum w:abstractNumId="55">
    <w:nsid w:val="D34B6A8"/>
    <w:multiLevelType w:val="hybridMultilevel"/>
    <w:lvl w:ilvl="0">
      <w:lvlJc w:val="left"/>
      <w:lvlText w:val="%1."/>
      <w:numFmt w:val="lowerLetter"/>
      <w:start w:val="2"/>
    </w:lvl>
    <w:lvl w:ilvl="1">
      <w:lvlJc w:val="left"/>
      <w:lvlText w:val="%2."/>
      <w:numFmt w:val="lowerRoman"/>
      <w:start w:val="1"/>
    </w:lvl>
  </w:abstractNum>
  <w:abstractNum w:abstractNumId="56">
    <w:nsid w:val="10233C99"/>
    <w:multiLevelType w:val="hybridMultilevel"/>
    <w:lvl w:ilvl="0">
      <w:lvlJc w:val="left"/>
      <w:lvlText w:val="%1."/>
      <w:numFmt w:val="decimal"/>
      <w:start w:val="8"/>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lvl w:ilvl="1">
      <w:lvlJc w:val="left"/>
      <w:lvlText w:val="%2."/>
      <w:numFmt w:val="lowerLetter"/>
      <w:start w:val="3"/>
    </w:lvl>
  </w:abstractNum>
  <w:abstractNum w:abstractNumId="60">
    <w:nsid w:val="77AE35EB"/>
    <w:multiLevelType w:val="hybridMultilevel"/>
    <w:lvl w:ilvl="0">
      <w:lvlJc w:val="left"/>
      <w:lvlText w:val="%1."/>
      <w:numFmt w:val="decimal"/>
      <w:start w:val="10"/>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2"/>
    </w:lvl>
  </w:abstractNum>
  <w:abstractNum w:abstractNumId="64">
    <w:nsid w:val="2F305DE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34" Type="http://schemas.openxmlformats.org/officeDocument/2006/relationships/hyperlink" Target="http://www.sec.gov/Archives/edgar/data/1179929/000115752318001348/a51828579ex2_1.htm" TargetMode="External"/><Relationship Id="rId35" Type="http://schemas.openxmlformats.org/officeDocument/2006/relationships/hyperlink" Target="http://www.sec.gov/Archives/edgar/data/1179929/000117992918000105/ex31_fifthamendedandrestat.htm" TargetMode="External"/><Relationship Id="rId36" Type="http://schemas.openxmlformats.org/officeDocument/2006/relationships/hyperlink" Target="http://www.sec.gov/Archives/edgar/data/1179929/000115752318001189/a51811417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2019-12-28T20:40:22Z</dcterms:created>
  <dcterms:modified xsi:type="dcterms:W3CDTF">2019-12-28T20:40:22Z</dcterms:modified>
</cp:coreProperties>
</file>