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40005</wp:posOffset>
            </wp:positionV>
            <wp:extent cx="34359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35985" cy="6985"/>
                    </a:xfrm>
                    <a:prstGeom prst="rect">
                      <a:avLst/>
                    </a:prstGeom>
                    <a:noFill/>
                  </pic:spPr>
                </pic:pic>
              </a:graphicData>
            </a:graphic>
          </wp:anchor>
        </w:drawing>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54610</wp:posOffset>
            </wp:positionV>
            <wp:extent cx="34226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660" w:hanging="641"/>
        <w:spacing w:after="0" w:line="182" w:lineRule="auto"/>
        <w:tabs>
          <w:tab w:leader="none" w:pos="660" w:val="left"/>
        </w:tabs>
        <w:numPr>
          <w:ilvl w:val="0"/>
          <w:numId w:val="1"/>
        </w:numPr>
        <w:rPr>
          <w:rFonts w:ascii="MS PGothic" w:cs="MS PGothic" w:eastAsia="MS PGothic" w:hAnsi="MS PGothic"/>
          <w:sz w:val="33"/>
          <w:szCs w:val="33"/>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22" w:lineRule="exact"/>
        <w:rPr>
          <w:sz w:val="24"/>
          <w:szCs w:val="24"/>
          <w:color w:val="auto"/>
        </w:rPr>
      </w:pPr>
    </w:p>
    <w:p>
      <w:pPr>
        <w:ind w:left="660" w:hanging="641"/>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46355</wp:posOffset>
            </wp:positionV>
            <wp:extent cx="347662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662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MOLINA HEALTHCARE,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38735</wp:posOffset>
            </wp:positionV>
            <wp:extent cx="34766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147" w:lineRule="exact"/>
        <w:rPr>
          <w:sz w:val="24"/>
          <w:szCs w:val="24"/>
          <w:color w:val="auto"/>
        </w:rPr>
      </w:pPr>
    </w:p>
    <w:tbl>
      <w:tblPr>
        <w:tblLayout w:type="fixed"/>
        <w:tblInd w:w="2720" w:type="dxa"/>
        <w:tblCellMar>
          <w:top w:w="0" w:type="dxa"/>
          <w:left w:w="0" w:type="dxa"/>
          <w:bottom w:w="0" w:type="dxa"/>
          <w:right w:w="0" w:type="dxa"/>
        </w:tblCellMar>
      </w:tblPr>
      <w:tr>
        <w:trPr>
          <w:trHeight w:val="173"/>
        </w:trPr>
        <w:tc>
          <w:tcPr>
            <w:tcW w:w="3220" w:type="dxa"/>
            <w:vAlign w:val="bottom"/>
          </w:tcPr>
          <w:p>
            <w:pPr>
              <w:jc w:val="center"/>
              <w:ind w:right="1040"/>
              <w:spacing w:after="0"/>
              <w:rPr>
                <w:sz w:val="20"/>
                <w:szCs w:val="20"/>
                <w:color w:val="auto"/>
              </w:rPr>
            </w:pPr>
            <w:r>
              <w:rPr>
                <w:rFonts w:ascii="Arial" w:cs="Arial" w:eastAsia="Arial" w:hAnsi="Arial"/>
                <w:sz w:val="13"/>
                <w:szCs w:val="13"/>
                <w:b w:val="1"/>
                <w:bCs w:val="1"/>
                <w:color w:val="auto"/>
                <w:w w:val="98"/>
              </w:rPr>
              <w:t>Delaware</w:t>
            </w:r>
          </w:p>
        </w:tc>
        <w:tc>
          <w:tcPr>
            <w:tcW w:w="2080" w:type="dxa"/>
            <w:vAlign w:val="bottom"/>
          </w:tcPr>
          <w:p>
            <w:pPr>
              <w:jc w:val="right"/>
              <w:ind w:right="81"/>
              <w:spacing w:after="0"/>
              <w:rPr>
                <w:sz w:val="20"/>
                <w:szCs w:val="20"/>
                <w:color w:val="auto"/>
              </w:rPr>
            </w:pPr>
            <w:r>
              <w:rPr>
                <w:rFonts w:ascii="Arial" w:cs="Arial" w:eastAsia="Arial" w:hAnsi="Arial"/>
                <w:sz w:val="13"/>
                <w:szCs w:val="13"/>
                <w:b w:val="1"/>
                <w:bCs w:val="1"/>
                <w:color w:val="auto"/>
              </w:rPr>
              <w:t>13-4204626</w:t>
            </w:r>
          </w:p>
        </w:tc>
      </w:tr>
      <w:tr>
        <w:trPr>
          <w:trHeight w:val="134"/>
        </w:trPr>
        <w:tc>
          <w:tcPr>
            <w:tcW w:w="3220" w:type="dxa"/>
            <w:vAlign w:val="bottom"/>
          </w:tcPr>
          <w:p>
            <w:pPr>
              <w:jc w:val="center"/>
              <w:ind w:right="1060"/>
              <w:spacing w:after="0"/>
              <w:rPr>
                <w:sz w:val="20"/>
                <w:szCs w:val="20"/>
                <w:color w:val="auto"/>
              </w:rPr>
            </w:pPr>
            <w:r>
              <w:rPr>
                <w:rFonts w:ascii="Arial" w:cs="Arial" w:eastAsia="Arial" w:hAnsi="Arial"/>
                <w:sz w:val="11"/>
                <w:szCs w:val="11"/>
                <w:b w:val="1"/>
                <w:bCs w:val="1"/>
                <w:color w:val="auto"/>
              </w:rPr>
              <w:t>(State or other jurisdiction of</w:t>
            </w:r>
          </w:p>
        </w:tc>
        <w:tc>
          <w:tcPr>
            <w:tcW w:w="2080" w:type="dxa"/>
            <w:vAlign w:val="bottom"/>
          </w:tcPr>
          <w:p>
            <w:pPr>
              <w:jc w:val="center"/>
              <w:ind w:left="1061"/>
              <w:spacing w:after="0"/>
              <w:rPr>
                <w:sz w:val="20"/>
                <w:szCs w:val="20"/>
                <w:color w:val="auto"/>
              </w:rPr>
            </w:pPr>
            <w:r>
              <w:rPr>
                <w:rFonts w:ascii="Arial" w:cs="Arial" w:eastAsia="Arial" w:hAnsi="Arial"/>
                <w:sz w:val="11"/>
                <w:szCs w:val="11"/>
                <w:b w:val="1"/>
                <w:bCs w:val="1"/>
                <w:color w:val="auto"/>
              </w:rPr>
              <w:t>(I.R.S. Employer</w:t>
            </w:r>
          </w:p>
        </w:tc>
      </w:tr>
      <w:tr>
        <w:trPr>
          <w:trHeight w:val="154"/>
        </w:trPr>
        <w:tc>
          <w:tcPr>
            <w:tcW w:w="3220" w:type="dxa"/>
            <w:vAlign w:val="bottom"/>
          </w:tcPr>
          <w:p>
            <w:pPr>
              <w:jc w:val="center"/>
              <w:ind w:right="1060"/>
              <w:spacing w:after="0"/>
              <w:rPr>
                <w:sz w:val="20"/>
                <w:szCs w:val="20"/>
                <w:color w:val="auto"/>
              </w:rPr>
            </w:pPr>
            <w:r>
              <w:rPr>
                <w:rFonts w:ascii="Arial" w:cs="Arial" w:eastAsia="Arial" w:hAnsi="Arial"/>
                <w:sz w:val="11"/>
                <w:szCs w:val="11"/>
                <w:b w:val="1"/>
                <w:bCs w:val="1"/>
                <w:color w:val="auto"/>
              </w:rPr>
              <w:t>incorporation or organization)</w:t>
            </w:r>
          </w:p>
        </w:tc>
        <w:tc>
          <w:tcPr>
            <w:tcW w:w="2080" w:type="dxa"/>
            <w:vAlign w:val="bottom"/>
          </w:tcPr>
          <w:p>
            <w:pPr>
              <w:jc w:val="center"/>
              <w:ind w:left="1061"/>
              <w:spacing w:after="0"/>
              <w:rPr>
                <w:sz w:val="20"/>
                <w:szCs w:val="20"/>
                <w:color w:val="auto"/>
              </w:rPr>
            </w:pPr>
            <w:r>
              <w:rPr>
                <w:rFonts w:ascii="Arial" w:cs="Arial" w:eastAsia="Arial" w:hAnsi="Arial"/>
                <w:sz w:val="11"/>
                <w:szCs w:val="11"/>
                <w:b w:val="1"/>
                <w:bCs w:val="1"/>
                <w:color w:val="auto"/>
              </w:rPr>
              <w:t>Identification No.)</w:t>
            </w:r>
          </w:p>
        </w:tc>
      </w:tr>
      <w:tr>
        <w:trPr>
          <w:trHeight w:val="206"/>
        </w:trPr>
        <w:tc>
          <w:tcPr>
            <w:tcW w:w="3220" w:type="dxa"/>
            <w:vAlign w:val="bottom"/>
          </w:tcPr>
          <w:p>
            <w:pPr>
              <w:jc w:val="center"/>
              <w:ind w:right="1060"/>
              <w:spacing w:after="0"/>
              <w:rPr>
                <w:sz w:val="20"/>
                <w:szCs w:val="20"/>
                <w:color w:val="auto"/>
              </w:rPr>
            </w:pPr>
            <w:r>
              <w:rPr>
                <w:rFonts w:ascii="Arial" w:cs="Arial" w:eastAsia="Arial" w:hAnsi="Arial"/>
                <w:sz w:val="13"/>
                <w:szCs w:val="13"/>
                <w:b w:val="1"/>
                <w:bCs w:val="1"/>
                <w:color w:val="auto"/>
                <w:w w:val="98"/>
              </w:rPr>
              <w:t>200 Oceangate, Suite 100</w:t>
            </w:r>
          </w:p>
        </w:tc>
        <w:tc>
          <w:tcPr>
            <w:tcW w:w="2080" w:type="dxa"/>
            <w:vAlign w:val="bottom"/>
          </w:tcPr>
          <w:p>
            <w:pPr>
              <w:spacing w:after="0"/>
              <w:rPr>
                <w:sz w:val="17"/>
                <w:szCs w:val="17"/>
                <w:color w:val="auto"/>
              </w:rPr>
            </w:pPr>
          </w:p>
        </w:tc>
      </w:tr>
      <w:tr>
        <w:trPr>
          <w:trHeight w:val="173"/>
        </w:trPr>
        <w:tc>
          <w:tcPr>
            <w:tcW w:w="3220" w:type="dxa"/>
            <w:vAlign w:val="bottom"/>
          </w:tcPr>
          <w:p>
            <w:pPr>
              <w:jc w:val="center"/>
              <w:ind w:right="1060"/>
              <w:spacing w:after="0"/>
              <w:rPr>
                <w:sz w:val="20"/>
                <w:szCs w:val="20"/>
                <w:color w:val="auto"/>
              </w:rPr>
            </w:pPr>
            <w:r>
              <w:rPr>
                <w:rFonts w:ascii="Arial" w:cs="Arial" w:eastAsia="Arial" w:hAnsi="Arial"/>
                <w:sz w:val="13"/>
                <w:szCs w:val="13"/>
                <w:b w:val="1"/>
                <w:bCs w:val="1"/>
                <w:color w:val="auto"/>
                <w:w w:val="97"/>
              </w:rPr>
              <w:t>Long Beach, California</w:t>
            </w:r>
          </w:p>
        </w:tc>
        <w:tc>
          <w:tcPr>
            <w:tcW w:w="2080" w:type="dxa"/>
            <w:vAlign w:val="bottom"/>
          </w:tcPr>
          <w:p>
            <w:pPr>
              <w:jc w:val="right"/>
              <w:ind w:right="241"/>
              <w:spacing w:after="0"/>
              <w:rPr>
                <w:sz w:val="20"/>
                <w:szCs w:val="20"/>
                <w:color w:val="auto"/>
              </w:rPr>
            </w:pPr>
            <w:r>
              <w:rPr>
                <w:rFonts w:ascii="Arial" w:cs="Arial" w:eastAsia="Arial" w:hAnsi="Arial"/>
                <w:sz w:val="13"/>
                <w:szCs w:val="13"/>
                <w:b w:val="1"/>
                <w:bCs w:val="1"/>
                <w:color w:val="auto"/>
              </w:rPr>
              <w:t>90802</w:t>
            </w:r>
          </w:p>
        </w:tc>
      </w:tr>
      <w:tr>
        <w:trPr>
          <w:trHeight w:val="155"/>
        </w:trPr>
        <w:tc>
          <w:tcPr>
            <w:tcW w:w="3220" w:type="dxa"/>
            <w:vAlign w:val="bottom"/>
          </w:tcPr>
          <w:p>
            <w:pPr>
              <w:jc w:val="center"/>
              <w:ind w:right="1060"/>
              <w:spacing w:after="0"/>
              <w:rPr>
                <w:sz w:val="20"/>
                <w:szCs w:val="20"/>
                <w:color w:val="auto"/>
              </w:rPr>
            </w:pPr>
            <w:r>
              <w:rPr>
                <w:rFonts w:ascii="Arial" w:cs="Arial" w:eastAsia="Arial" w:hAnsi="Arial"/>
                <w:sz w:val="11"/>
                <w:szCs w:val="11"/>
                <w:b w:val="1"/>
                <w:bCs w:val="1"/>
                <w:color w:val="auto"/>
              </w:rPr>
              <w:t>(Address of principal executive offices)</w:t>
            </w:r>
          </w:p>
        </w:tc>
        <w:tc>
          <w:tcPr>
            <w:tcW w:w="2080" w:type="dxa"/>
            <w:vAlign w:val="bottom"/>
          </w:tcPr>
          <w:p>
            <w:pPr>
              <w:jc w:val="center"/>
              <w:ind w:left="1061"/>
              <w:spacing w:after="0"/>
              <w:rPr>
                <w:sz w:val="20"/>
                <w:szCs w:val="20"/>
                <w:color w:val="auto"/>
              </w:rPr>
            </w:pPr>
            <w:r>
              <w:rPr>
                <w:rFonts w:ascii="Arial" w:cs="Arial" w:eastAsia="Arial" w:hAnsi="Arial"/>
                <w:sz w:val="11"/>
                <w:szCs w:val="11"/>
                <w:b w:val="1"/>
                <w:bCs w:val="1"/>
                <w:color w:val="auto"/>
              </w:rPr>
              <w:t>(Zip Code)</w:t>
            </w:r>
          </w:p>
        </w:tc>
      </w:tr>
    </w:tbl>
    <w:p>
      <w:pPr>
        <w:spacing w:after="0" w:line="54" w:lineRule="exact"/>
        <w:rPr>
          <w:sz w:val="24"/>
          <w:szCs w:val="24"/>
          <w:color w:val="auto"/>
        </w:rPr>
      </w:pPr>
    </w:p>
    <w:p>
      <w:pPr>
        <w:ind w:left="5200"/>
        <w:spacing w:after="0"/>
        <w:rPr>
          <w:sz w:val="20"/>
          <w:szCs w:val="20"/>
          <w:color w:val="auto"/>
        </w:rPr>
      </w:pPr>
      <w:r>
        <w:rPr>
          <w:rFonts w:ascii="Arial" w:cs="Arial" w:eastAsia="Arial" w:hAnsi="Arial"/>
          <w:sz w:val="13"/>
          <w:szCs w:val="13"/>
          <w:b w:val="1"/>
          <w:bCs w:val="1"/>
          <w:color w:val="auto"/>
        </w:rPr>
        <w:t>(562) 435-3666</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3"/>
          <w:szCs w:val="13"/>
          <w:b w:val="1"/>
          <w:bCs w:val="1"/>
          <w:color w:val="auto"/>
        </w:rPr>
        <w:t>(Registrant’s telephone number, including area code)</w:t>
      </w:r>
    </w:p>
    <w:p>
      <w:pPr>
        <w:jc w:val="center"/>
        <w:ind w:right="-79"/>
        <w:spacing w:after="0"/>
        <w:rPr>
          <w:sz w:val="20"/>
          <w:szCs w:val="20"/>
          <w:color w:val="auto"/>
        </w:rPr>
      </w:pPr>
      <w:r>
        <w:rPr>
          <w:rFonts w:ascii="Arial" w:cs="Arial" w:eastAsia="Arial" w:hAnsi="Arial"/>
          <w:sz w:val="13"/>
          <w:szCs w:val="13"/>
          <w:b w:val="1"/>
          <w:bCs w:val="1"/>
          <w:color w:val="auto"/>
        </w:rPr>
        <w:t>N/A</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92710</wp:posOffset>
            </wp:positionV>
            <wp:extent cx="34766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6625" cy="6985"/>
                    </a:xfrm>
                    <a:prstGeom prst="rect">
                      <a:avLst/>
                    </a:prstGeom>
                    <a:noFill/>
                  </pic:spPr>
                </pic:pic>
              </a:graphicData>
            </a:graphic>
          </wp:anchor>
        </w:drawing>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4" w:lineRule="exact"/>
        <w:rPr>
          <w:sz w:val="24"/>
          <w:szCs w:val="24"/>
          <w:color w:val="auto"/>
        </w:rPr>
      </w:pPr>
    </w:p>
    <w:tbl>
      <w:tblPr>
        <w:tblLayout w:type="fixed"/>
        <w:tblInd w:w="1970" w:type="dxa"/>
        <w:tblCellMar>
          <w:top w:w="0" w:type="dxa"/>
          <w:left w:w="0" w:type="dxa"/>
          <w:bottom w:w="0" w:type="dxa"/>
          <w:right w:w="0" w:type="dxa"/>
        </w:tblCellMar>
      </w:tblPr>
      <w:tr>
        <w:trPr>
          <w:trHeight w:val="188"/>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7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Common Stock, $0.001 Par Value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MOH</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New York Stock Exchange</w:t>
            </w:r>
          </w:p>
        </w:tc>
      </w:tr>
    </w:tbl>
    <w:p>
      <w:pPr>
        <w:spacing w:after="0" w:line="117" w:lineRule="exact"/>
        <w:rPr>
          <w:sz w:val="24"/>
          <w:szCs w:val="24"/>
          <w:color w:val="auto"/>
        </w:rPr>
      </w:pPr>
    </w:p>
    <w:p>
      <w:pPr>
        <w:ind w:right="24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40"/>
        <w:spacing w:after="0" w:line="26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p>
      <w:pPr>
        <w:ind w:left="140"/>
        <w:spacing w:after="0" w:line="150" w:lineRule="exact"/>
        <w:tabs>
          <w:tab w:leader="none" w:pos="1580" w:val="left"/>
          <w:tab w:leader="none" w:pos="2660" w:val="left"/>
          <w:tab w:leader="none" w:pos="4020" w:val="left"/>
          <w:tab w:leader="none" w:pos="5620" w:val="left"/>
        </w:tabs>
        <w:rPr>
          <w:sz w:val="20"/>
          <w:szCs w:val="20"/>
          <w:color w:val="auto"/>
        </w:rPr>
      </w:pPr>
      <w:r>
        <w:rPr>
          <w:rFonts w:ascii="Arial" w:cs="Arial" w:eastAsia="Arial" w:hAnsi="Arial"/>
          <w:sz w:val="13"/>
          <w:szCs w:val="13"/>
          <w:color w:val="auto"/>
        </w:rPr>
        <w:t>L</w:t>
      </w:r>
      <w:r>
        <w:rPr>
          <w:rFonts w:ascii="Arial" w:cs="Arial" w:eastAsia="Arial" w:hAnsi="Arial"/>
          <w:sz w:val="11"/>
          <w:szCs w:val="11"/>
          <w:color w:val="auto"/>
        </w:rPr>
        <w:t>arge Accelerated Filer</w:t>
      </w:r>
      <w:r>
        <w:rPr>
          <w:rFonts w:ascii="Arial" w:cs="Arial" w:eastAsia="Arial" w:hAnsi="Arial"/>
          <w:sz w:val="13"/>
          <w:szCs w:val="13"/>
          <w:color w:val="auto"/>
        </w:rPr>
        <w:t xml:space="preserve"> </w:t>
      </w: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r>
        <w:rPr>
          <w:rFonts w:ascii="Arial" w:cs="Arial" w:eastAsia="Arial" w:hAnsi="Arial"/>
          <w:sz w:val="11"/>
          <w:szCs w:val="11"/>
          <w:color w:val="auto"/>
        </w:rPr>
        <w:tab/>
        <w:t xml:space="preserve">Non-Accelerated Filer </w:t>
      </w:r>
      <w:r>
        <w:rPr>
          <w:rFonts w:ascii="MS PGothic" w:cs="MS PGothic" w:eastAsia="MS PGothic" w:hAnsi="MS PGothic"/>
          <w:sz w:val="11"/>
          <w:szCs w:val="11"/>
          <w:color w:val="auto"/>
        </w:rPr>
        <w:t>☐</w:t>
      </w:r>
      <w:r>
        <w:rPr>
          <w:rFonts w:ascii="Arial" w:cs="Arial" w:eastAsia="Arial" w:hAnsi="Arial"/>
          <w:sz w:val="11"/>
          <w:szCs w:val="11"/>
          <w:color w:val="auto"/>
        </w:rPr>
        <w:tab/>
        <w:t xml:space="preserve">Smaller reporting company </w:t>
      </w:r>
      <w:r>
        <w:rPr>
          <w:rFonts w:ascii="MS PGothic" w:cs="MS PGothic" w:eastAsia="MS PGothic" w:hAnsi="MS PGothic"/>
          <w:sz w:val="11"/>
          <w:szCs w:val="11"/>
          <w:color w:val="auto"/>
        </w:rPr>
        <w:t>☐</w:t>
      </w:r>
      <w:r>
        <w:rPr>
          <w:rFonts w:ascii="Arial" w:cs="Arial" w:eastAsia="Arial" w:hAnsi="Arial"/>
          <w:sz w:val="11"/>
          <w:szCs w:val="11"/>
          <w:color w:val="auto"/>
        </w:rPr>
        <w:tab/>
        <w:t xml:space="preserve">Emerging growth company </w:t>
      </w:r>
      <w:r>
        <w:rPr>
          <w:rFonts w:ascii="MS PGothic" w:cs="MS PGothic" w:eastAsia="MS PGothic" w:hAnsi="MS PGothic"/>
          <w:sz w:val="11"/>
          <w:szCs w:val="11"/>
          <w:color w:val="auto"/>
        </w:rPr>
        <w:t>☐</w:t>
      </w:r>
    </w:p>
    <w:p>
      <w:pPr>
        <w:spacing w:after="0" w:line="53" w:lineRule="exact"/>
        <w:rPr>
          <w:sz w:val="24"/>
          <w:szCs w:val="24"/>
          <w:color w:val="auto"/>
        </w:rPr>
      </w:pPr>
    </w:p>
    <w:p>
      <w:pPr>
        <w:ind w:right="30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9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the issuer’s Common Stock, $0.001 par value, outstanding as of October 17, 2025, was approximately 51.4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10" w:right="37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MOLINA HEALTHCARE, INC. FORM 10-Q</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FOR THE QUARTERLY PERIOD ENDED SEPTEMBER 30, 2025</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gridSpan w:val="11"/>
          </w:tcPr>
          <w:p>
            <w:pPr>
              <w:ind w:left="20"/>
              <w:spacing w:after="0"/>
              <w:rPr>
                <w:sz w:val="20"/>
                <w:szCs w:val="20"/>
                <w:color w:val="auto"/>
              </w:rPr>
            </w:pPr>
            <w:r>
              <w:rPr>
                <w:rFonts w:ascii="Arial" w:cs="Arial" w:eastAsia="Arial" w:hAnsi="Arial"/>
                <w:sz w:val="13"/>
                <w:szCs w:val="13"/>
                <w:b w:val="1"/>
                <w:bCs w:val="1"/>
                <w:color w:val="auto"/>
              </w:rPr>
              <w:t>ITEM NUMBER</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0F7C7F"/>
              </w:rPr>
              <w:t>Page</w:t>
            </w:r>
          </w:p>
        </w:tc>
      </w:tr>
      <w:tr>
        <w:trPr>
          <w:trHeight w:val="228"/>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center"/>
              <w:ind w:right="636"/>
              <w:spacing w:after="0"/>
              <w:rPr>
                <w:sz w:val="20"/>
                <w:szCs w:val="20"/>
                <w:color w:val="auto"/>
              </w:rPr>
            </w:pPr>
            <w:r>
              <w:rPr>
                <w:rFonts w:ascii="Arial" w:cs="Arial" w:eastAsia="Arial" w:hAnsi="Arial"/>
                <w:sz w:val="13"/>
                <w:szCs w:val="13"/>
                <w:b w:val="1"/>
                <w:bCs w:val="1"/>
                <w:color w:val="auto"/>
                <w:w w:val="93"/>
              </w:rPr>
              <w:t>PART I</w:t>
            </w:r>
          </w:p>
        </w:tc>
        <w:tc>
          <w:tcPr>
            <w:tcW w:w="5320" w:type="dxa"/>
            <w:vAlign w:val="bottom"/>
          </w:tcPr>
          <w:p>
            <w:pPr>
              <w:spacing w:after="0"/>
              <w:rPr>
                <w:sz w:val="19"/>
                <w:szCs w:val="19"/>
                <w:color w:val="auto"/>
              </w:rPr>
            </w:pPr>
          </w:p>
        </w:tc>
        <w:tc>
          <w:tcPr>
            <w:tcW w:w="160" w:type="dxa"/>
            <w:vAlign w:val="bottom"/>
            <w:tcBorders>
              <w:top w:val="single" w:sz="8" w:color="0F7C7F"/>
            </w:tcBorders>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40" w:type="dxa"/>
            <w:vAlign w:val="bottom"/>
          </w:tcPr>
          <w:p>
            <w:pPr>
              <w:spacing w:after="0"/>
              <w:rPr>
                <w:sz w:val="19"/>
                <w:szCs w:val="19"/>
                <w:color w:val="auto"/>
              </w:rPr>
            </w:pPr>
          </w:p>
        </w:tc>
      </w:tr>
      <w:tr>
        <w:trPr>
          <w:trHeight w:val="177"/>
        </w:trPr>
        <w:tc>
          <w:tcPr>
            <w:tcW w:w="600" w:type="dxa"/>
            <w:vAlign w:val="bottom"/>
          </w:tcPr>
          <w:p>
            <w:pPr>
              <w:ind w:left="20"/>
              <w:spacing w:after="0"/>
              <w:rPr>
                <w:sz w:val="20"/>
                <w:szCs w:val="20"/>
                <w:color w:val="auto"/>
              </w:rPr>
            </w:pPr>
            <w:r>
              <w:rPr>
                <w:rFonts w:ascii="Arial" w:cs="Arial" w:eastAsia="Arial" w:hAnsi="Arial"/>
                <w:sz w:val="13"/>
                <w:szCs w:val="13"/>
                <w:color w:val="auto"/>
              </w:rPr>
              <w:t>1.</w:t>
            </w:r>
          </w:p>
        </w:tc>
        <w:tc>
          <w:tcPr>
            <w:tcW w:w="1200" w:type="dxa"/>
            <w:vAlign w:val="bottom"/>
            <w:gridSpan w:val="6"/>
          </w:tcPr>
          <w:p>
            <w:pPr>
              <w:spacing w:after="0"/>
              <w:rPr>
                <w:sz w:val="20"/>
                <w:szCs w:val="20"/>
                <w:color w:val="auto"/>
              </w:rPr>
            </w:pPr>
            <w:r>
              <w:rPr>
                <w:rFonts w:ascii="Arial" w:cs="Arial" w:eastAsia="Arial" w:hAnsi="Arial"/>
                <w:sz w:val="13"/>
                <w:szCs w:val="13"/>
                <w:color w:val="0F7C7F"/>
                <w:w w:val="97"/>
              </w:rPr>
              <w:t>Financial Statements</w:t>
            </w:r>
          </w:p>
        </w:tc>
        <w:tc>
          <w:tcPr>
            <w:tcW w:w="3820" w:type="dxa"/>
            <w:vAlign w:val="bottom"/>
            <w:gridSpan w:val="4"/>
          </w:tcPr>
          <w:p>
            <w:pPr>
              <w:spacing w:after="0"/>
              <w:rPr>
                <w:sz w:val="15"/>
                <w:szCs w:val="15"/>
                <w:color w:val="auto"/>
              </w:rPr>
            </w:pP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w:t>
            </w:r>
          </w:p>
        </w:tc>
        <w:tc>
          <w:tcPr>
            <w:tcW w:w="4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300" w:type="dxa"/>
            <w:vAlign w:val="bottom"/>
            <w:shd w:val="clear" w:color="auto" w:fill="0F7C7F"/>
          </w:tcPr>
          <w:p>
            <w:pPr>
              <w:spacing w:after="0" w:line="20" w:lineRule="exact"/>
              <w:rPr>
                <w:sz w:val="1"/>
                <w:szCs w:val="1"/>
                <w:color w:val="auto"/>
              </w:rPr>
            </w:pPr>
          </w:p>
        </w:tc>
        <w:tc>
          <w:tcPr>
            <w:tcW w:w="6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40" w:type="dxa"/>
            <w:vAlign w:val="bottom"/>
            <w:tcBorders>
              <w:right w:val="single" w:sz="8" w:color="0F7C7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2.</w:t>
            </w:r>
          </w:p>
        </w:tc>
        <w:tc>
          <w:tcPr>
            <w:tcW w:w="5020" w:type="dxa"/>
            <w:vAlign w:val="bottom"/>
            <w:tcBorders>
              <w:bottom w:val="single" w:sz="8" w:color="0F7C7F"/>
            </w:tcBorders>
            <w:gridSpan w:val="10"/>
          </w:tcPr>
          <w:p>
            <w:pPr>
              <w:spacing w:after="0"/>
              <w:rPr>
                <w:sz w:val="20"/>
                <w:szCs w:val="20"/>
                <w:color w:val="auto"/>
              </w:rPr>
            </w:pPr>
            <w:r>
              <w:rPr>
                <w:rFonts w:ascii="Arial" w:cs="Arial" w:eastAsia="Arial" w:hAnsi="Arial"/>
                <w:sz w:val="13"/>
                <w:szCs w:val="13"/>
                <w:color w:val="0F7C7F"/>
                <w:w w:val="97"/>
              </w:rPr>
              <w:t>Management’s Discussion and Analysis of Financial Condition and Results of Operations</w:t>
            </w:r>
          </w:p>
        </w:tc>
        <w:tc>
          <w:tcPr>
            <w:tcW w:w="5480" w:type="dxa"/>
            <w:vAlign w:val="bottom"/>
            <w:gridSpan w:val="2"/>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21</w:t>
            </w:r>
          </w:p>
        </w:tc>
        <w:tc>
          <w:tcPr>
            <w:tcW w:w="40" w:type="dxa"/>
            <w:vAlign w:val="bottom"/>
          </w:tcPr>
          <w:p>
            <w:pPr>
              <w:spacing w:after="0"/>
              <w:rPr>
                <w:sz w:val="16"/>
                <w:szCs w:val="16"/>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3.</w:t>
            </w:r>
          </w:p>
        </w:tc>
        <w:tc>
          <w:tcPr>
            <w:tcW w:w="3340" w:type="dxa"/>
            <w:vAlign w:val="bottom"/>
            <w:tcBorders>
              <w:bottom w:val="single" w:sz="8" w:color="0F7C7F"/>
            </w:tcBorders>
            <w:gridSpan w:val="8"/>
          </w:tcPr>
          <w:p>
            <w:pPr>
              <w:spacing w:after="0"/>
              <w:rPr>
                <w:sz w:val="20"/>
                <w:szCs w:val="20"/>
                <w:color w:val="auto"/>
              </w:rPr>
            </w:pPr>
            <w:r>
              <w:rPr>
                <w:rFonts w:ascii="Arial" w:cs="Arial" w:eastAsia="Arial" w:hAnsi="Arial"/>
                <w:sz w:val="13"/>
                <w:szCs w:val="13"/>
                <w:color w:val="0F7C7F"/>
                <w:w w:val="97"/>
              </w:rPr>
              <w:t>Quantitative and Qualitative Disclosures About Market Risk</w:t>
            </w:r>
          </w:p>
        </w:tc>
        <w:tc>
          <w:tcPr>
            <w:tcW w:w="1680" w:type="dxa"/>
            <w:vAlign w:val="bottom"/>
            <w:gridSpan w:val="2"/>
          </w:tcPr>
          <w:p>
            <w:pPr>
              <w:spacing w:after="0"/>
              <w:rPr>
                <w:sz w:val="16"/>
                <w:szCs w:val="16"/>
                <w:color w:val="auto"/>
              </w:rPr>
            </w:pPr>
          </w:p>
        </w:tc>
        <w:tc>
          <w:tcPr>
            <w:tcW w:w="5480" w:type="dxa"/>
            <w:vAlign w:val="bottom"/>
            <w:gridSpan w:val="2"/>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34</w:t>
            </w:r>
          </w:p>
        </w:tc>
        <w:tc>
          <w:tcPr>
            <w:tcW w:w="40" w:type="dxa"/>
            <w:vAlign w:val="bottom"/>
          </w:tcPr>
          <w:p>
            <w:pPr>
              <w:spacing w:after="0"/>
              <w:rPr>
                <w:sz w:val="16"/>
                <w:szCs w:val="16"/>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4.</w:t>
            </w:r>
          </w:p>
        </w:tc>
        <w:tc>
          <w:tcPr>
            <w:tcW w:w="5020" w:type="dxa"/>
            <w:vAlign w:val="bottom"/>
            <w:gridSpan w:val="10"/>
          </w:tcPr>
          <w:p>
            <w:pPr>
              <w:spacing w:after="0"/>
              <w:rPr>
                <w:sz w:val="20"/>
                <w:szCs w:val="20"/>
                <w:color w:val="auto"/>
              </w:rPr>
            </w:pPr>
            <w:r>
              <w:rPr>
                <w:rFonts w:ascii="Arial" w:cs="Arial" w:eastAsia="Arial" w:hAnsi="Arial"/>
                <w:sz w:val="13"/>
                <w:szCs w:val="13"/>
                <w:color w:val="0F7C7F"/>
              </w:rPr>
              <w:t>Controls and Procedures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34</w:t>
            </w:r>
          </w:p>
        </w:tc>
        <w:tc>
          <w:tcPr>
            <w:tcW w:w="40" w:type="dxa"/>
            <w:vAlign w:val="bottom"/>
          </w:tcPr>
          <w:p>
            <w:pPr>
              <w:spacing w:after="0"/>
              <w:rPr>
                <w:sz w:val="16"/>
                <w:szCs w:val="16"/>
                <w:color w:val="auto"/>
              </w:rPr>
            </w:pPr>
          </w:p>
        </w:tc>
      </w:tr>
      <w:tr>
        <w:trPr>
          <w:trHeight w:val="228"/>
        </w:trPr>
        <w:tc>
          <w:tcPr>
            <w:tcW w:w="600" w:type="dxa"/>
            <w:vAlign w:val="bottom"/>
          </w:tcPr>
          <w:p>
            <w:pPr>
              <w:spacing w:after="0"/>
              <w:rPr>
                <w:sz w:val="19"/>
                <w:szCs w:val="19"/>
                <w:color w:val="auto"/>
              </w:rPr>
            </w:pPr>
          </w:p>
        </w:tc>
        <w:tc>
          <w:tcPr>
            <w:tcW w:w="440" w:type="dxa"/>
            <w:vAlign w:val="bottom"/>
            <w:tcBorders>
              <w:top w:val="single" w:sz="8" w:color="0F7C7F"/>
            </w:tcBorders>
          </w:tcPr>
          <w:p>
            <w:pPr>
              <w:spacing w:after="0"/>
              <w:rPr>
                <w:sz w:val="19"/>
                <w:szCs w:val="19"/>
                <w:color w:val="auto"/>
              </w:rPr>
            </w:pPr>
          </w:p>
        </w:tc>
        <w:tc>
          <w:tcPr>
            <w:tcW w:w="180" w:type="dxa"/>
            <w:vAlign w:val="bottom"/>
            <w:tcBorders>
              <w:top w:val="single" w:sz="8" w:color="0F7C7F"/>
            </w:tcBorders>
          </w:tcPr>
          <w:p>
            <w:pPr>
              <w:spacing w:after="0"/>
              <w:rPr>
                <w:sz w:val="19"/>
                <w:szCs w:val="19"/>
                <w:color w:val="auto"/>
              </w:rPr>
            </w:pPr>
          </w:p>
        </w:tc>
        <w:tc>
          <w:tcPr>
            <w:tcW w:w="80" w:type="dxa"/>
            <w:vAlign w:val="bottom"/>
            <w:tcBorders>
              <w:top w:val="single" w:sz="8" w:color="0F7C7F"/>
            </w:tcBorders>
          </w:tcPr>
          <w:p>
            <w:pPr>
              <w:spacing w:after="0"/>
              <w:rPr>
                <w:sz w:val="19"/>
                <w:szCs w:val="19"/>
                <w:color w:val="auto"/>
              </w:rPr>
            </w:pPr>
          </w:p>
        </w:tc>
        <w:tc>
          <w:tcPr>
            <w:tcW w:w="300" w:type="dxa"/>
            <w:vAlign w:val="bottom"/>
            <w:tcBorders>
              <w:top w:val="single" w:sz="8" w:color="0F7C7F"/>
            </w:tcBorders>
          </w:tcPr>
          <w:p>
            <w:pPr>
              <w:spacing w:after="0"/>
              <w:rPr>
                <w:sz w:val="19"/>
                <w:szCs w:val="19"/>
                <w:color w:val="auto"/>
              </w:rPr>
            </w:pPr>
          </w:p>
        </w:tc>
        <w:tc>
          <w:tcPr>
            <w:tcW w:w="60" w:type="dxa"/>
            <w:vAlign w:val="bottom"/>
            <w:tcBorders>
              <w:top w:val="single" w:sz="8" w:color="0F7C7F"/>
            </w:tcBorders>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220" w:type="dxa"/>
            <w:vAlign w:val="bottom"/>
            <w:tcBorders>
              <w:top w:val="single" w:sz="8" w:color="0F7C7F"/>
            </w:tcBorders>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center"/>
              <w:ind w:right="636"/>
              <w:spacing w:after="0"/>
              <w:rPr>
                <w:sz w:val="20"/>
                <w:szCs w:val="20"/>
                <w:color w:val="auto"/>
              </w:rPr>
            </w:pPr>
            <w:r>
              <w:rPr>
                <w:rFonts w:ascii="Arial" w:cs="Arial" w:eastAsia="Arial" w:hAnsi="Arial"/>
                <w:sz w:val="13"/>
                <w:szCs w:val="13"/>
                <w:b w:val="1"/>
                <w:bCs w:val="1"/>
                <w:color w:val="auto"/>
                <w:w w:val="95"/>
              </w:rPr>
              <w:t>PART II</w:t>
            </w:r>
          </w:p>
        </w:tc>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0F7C7F"/>
            </w:tcBorders>
          </w:tcPr>
          <w:p>
            <w:pPr>
              <w:spacing w:after="0"/>
              <w:rPr>
                <w:sz w:val="19"/>
                <w:szCs w:val="19"/>
                <w:color w:val="auto"/>
              </w:rPr>
            </w:pPr>
          </w:p>
        </w:tc>
        <w:tc>
          <w:tcPr>
            <w:tcW w:w="40" w:type="dxa"/>
            <w:vAlign w:val="bottom"/>
          </w:tcPr>
          <w:p>
            <w:pPr>
              <w:spacing w:after="0"/>
              <w:rPr>
                <w:sz w:val="19"/>
                <w:szCs w:val="19"/>
                <w:color w:val="auto"/>
              </w:rPr>
            </w:pPr>
          </w:p>
        </w:tc>
      </w:tr>
      <w:tr>
        <w:trPr>
          <w:trHeight w:val="177"/>
        </w:trPr>
        <w:tc>
          <w:tcPr>
            <w:tcW w:w="600" w:type="dxa"/>
            <w:vAlign w:val="bottom"/>
          </w:tcPr>
          <w:p>
            <w:pPr>
              <w:ind w:left="20"/>
              <w:spacing w:after="0"/>
              <w:rPr>
                <w:sz w:val="20"/>
                <w:szCs w:val="20"/>
                <w:color w:val="auto"/>
              </w:rPr>
            </w:pPr>
            <w:r>
              <w:rPr>
                <w:rFonts w:ascii="Arial" w:cs="Arial" w:eastAsia="Arial" w:hAnsi="Arial"/>
                <w:sz w:val="13"/>
                <w:szCs w:val="13"/>
                <w:color w:val="auto"/>
              </w:rPr>
              <w:t>1.</w:t>
            </w:r>
          </w:p>
        </w:tc>
        <w:tc>
          <w:tcPr>
            <w:tcW w:w="1060" w:type="dxa"/>
            <w:vAlign w:val="bottom"/>
            <w:tcBorders>
              <w:bottom w:val="single" w:sz="8" w:color="0F7C7F"/>
            </w:tcBorders>
            <w:gridSpan w:val="5"/>
          </w:tcPr>
          <w:p>
            <w:pPr>
              <w:spacing w:after="0"/>
              <w:rPr>
                <w:sz w:val="20"/>
                <w:szCs w:val="20"/>
                <w:color w:val="auto"/>
              </w:rPr>
            </w:pPr>
            <w:r>
              <w:rPr>
                <w:rFonts w:ascii="Arial" w:cs="Arial" w:eastAsia="Arial" w:hAnsi="Arial"/>
                <w:sz w:val="13"/>
                <w:szCs w:val="13"/>
                <w:color w:val="0F7C7F"/>
                <w:w w:val="96"/>
              </w:rPr>
              <w:t>Legal Proceedings</w:t>
            </w:r>
          </w:p>
        </w:tc>
        <w:tc>
          <w:tcPr>
            <w:tcW w:w="3960" w:type="dxa"/>
            <w:vAlign w:val="bottom"/>
            <w:gridSpan w:val="5"/>
          </w:tcPr>
          <w:p>
            <w:pPr>
              <w:spacing w:after="0"/>
              <w:rPr>
                <w:sz w:val="15"/>
                <w:szCs w:val="15"/>
                <w:color w:val="auto"/>
              </w:rPr>
            </w:pPr>
          </w:p>
        </w:tc>
        <w:tc>
          <w:tcPr>
            <w:tcW w:w="5480" w:type="dxa"/>
            <w:vAlign w:val="bottom"/>
            <w:gridSpan w:val="2"/>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34</w:t>
            </w:r>
          </w:p>
        </w:tc>
        <w:tc>
          <w:tcPr>
            <w:tcW w:w="40" w:type="dxa"/>
            <w:vAlign w:val="bottom"/>
          </w:tcPr>
          <w:p>
            <w:pPr>
              <w:spacing w:after="0"/>
              <w:rPr>
                <w:sz w:val="15"/>
                <w:szCs w:val="15"/>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1A.</w:t>
            </w:r>
          </w:p>
        </w:tc>
        <w:tc>
          <w:tcPr>
            <w:tcW w:w="5020" w:type="dxa"/>
            <w:vAlign w:val="bottom"/>
            <w:gridSpan w:val="10"/>
          </w:tcPr>
          <w:p>
            <w:pPr>
              <w:spacing w:after="0"/>
              <w:rPr>
                <w:sz w:val="20"/>
                <w:szCs w:val="20"/>
                <w:color w:val="auto"/>
              </w:rPr>
            </w:pPr>
            <w:r>
              <w:rPr>
                <w:rFonts w:ascii="Arial" w:cs="Arial" w:eastAsia="Arial" w:hAnsi="Arial"/>
                <w:sz w:val="13"/>
                <w:szCs w:val="13"/>
                <w:color w:val="0F7C7F"/>
              </w:rPr>
              <w:t>Risk Factors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34</w:t>
            </w:r>
          </w:p>
        </w:tc>
        <w:tc>
          <w:tcPr>
            <w:tcW w:w="4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80" w:type="dxa"/>
            <w:vAlign w:val="bottom"/>
            <w:shd w:val="clear" w:color="auto" w:fill="0F7C7F"/>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2.</w:t>
            </w:r>
          </w:p>
        </w:tc>
        <w:tc>
          <w:tcPr>
            <w:tcW w:w="3440" w:type="dxa"/>
            <w:vAlign w:val="bottom"/>
            <w:tcBorders>
              <w:bottom w:val="single" w:sz="8" w:color="0F7C7F"/>
            </w:tcBorders>
            <w:gridSpan w:val="9"/>
          </w:tcPr>
          <w:p>
            <w:pPr>
              <w:spacing w:after="0"/>
              <w:rPr>
                <w:sz w:val="20"/>
                <w:szCs w:val="20"/>
                <w:color w:val="auto"/>
              </w:rPr>
            </w:pPr>
            <w:r>
              <w:rPr>
                <w:rFonts w:ascii="Arial" w:cs="Arial" w:eastAsia="Arial" w:hAnsi="Arial"/>
                <w:sz w:val="13"/>
                <w:szCs w:val="13"/>
                <w:color w:val="0F7C7F"/>
                <w:w w:val="97"/>
              </w:rPr>
              <w:t>Unregistered Sales of Equity Securities and Use of Proceeds</w:t>
            </w:r>
          </w:p>
        </w:tc>
        <w:tc>
          <w:tcPr>
            <w:tcW w:w="1580" w:type="dxa"/>
            <w:vAlign w:val="bottom"/>
          </w:tcPr>
          <w:p>
            <w:pPr>
              <w:spacing w:after="0"/>
              <w:rPr>
                <w:sz w:val="16"/>
                <w:szCs w:val="16"/>
                <w:color w:val="auto"/>
              </w:rPr>
            </w:pPr>
          </w:p>
        </w:tc>
        <w:tc>
          <w:tcPr>
            <w:tcW w:w="5480" w:type="dxa"/>
            <w:vAlign w:val="bottom"/>
            <w:gridSpan w:val="2"/>
          </w:tcPr>
          <w:p>
            <w:pPr>
              <w:spacing w:after="0"/>
              <w:rPr>
                <w:sz w:val="16"/>
                <w:szCs w:val="16"/>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35</w:t>
            </w:r>
          </w:p>
        </w:tc>
        <w:tc>
          <w:tcPr>
            <w:tcW w:w="40" w:type="dxa"/>
            <w:vAlign w:val="bottom"/>
          </w:tcPr>
          <w:p>
            <w:pPr>
              <w:spacing w:after="0"/>
              <w:rPr>
                <w:sz w:val="16"/>
                <w:szCs w:val="16"/>
                <w:color w:val="auto"/>
              </w:rPr>
            </w:pPr>
          </w:p>
        </w:tc>
      </w:tr>
      <w:tr>
        <w:trPr>
          <w:trHeight w:val="222"/>
        </w:trPr>
        <w:tc>
          <w:tcPr>
            <w:tcW w:w="600" w:type="dxa"/>
            <w:vAlign w:val="bottom"/>
          </w:tcPr>
          <w:p>
            <w:pPr>
              <w:ind w:left="20"/>
              <w:spacing w:after="0"/>
              <w:rPr>
                <w:sz w:val="20"/>
                <w:szCs w:val="20"/>
                <w:color w:val="auto"/>
              </w:rPr>
            </w:pPr>
            <w:r>
              <w:rPr>
                <w:rFonts w:ascii="Arial" w:cs="Arial" w:eastAsia="Arial" w:hAnsi="Arial"/>
                <w:sz w:val="13"/>
                <w:szCs w:val="13"/>
                <w:color w:val="auto"/>
              </w:rPr>
              <w:t>3.</w:t>
            </w:r>
          </w:p>
        </w:tc>
        <w:tc>
          <w:tcPr>
            <w:tcW w:w="5020" w:type="dxa"/>
            <w:vAlign w:val="bottom"/>
            <w:gridSpan w:val="10"/>
          </w:tcPr>
          <w:p>
            <w:pPr>
              <w:spacing w:after="0"/>
              <w:rPr>
                <w:sz w:val="20"/>
                <w:szCs w:val="20"/>
                <w:color w:val="auto"/>
              </w:rPr>
            </w:pPr>
            <w:r>
              <w:rPr>
                <w:rFonts w:ascii="Arial" w:cs="Arial" w:eastAsia="Arial" w:hAnsi="Arial"/>
                <w:sz w:val="13"/>
                <w:szCs w:val="13"/>
                <w:color w:val="auto"/>
              </w:rPr>
              <w:t>Defaults Upon Senior Securities</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212"/>
        </w:trPr>
        <w:tc>
          <w:tcPr>
            <w:tcW w:w="600" w:type="dxa"/>
            <w:vAlign w:val="bottom"/>
          </w:tcPr>
          <w:p>
            <w:pPr>
              <w:ind w:left="20"/>
              <w:spacing w:after="0"/>
              <w:rPr>
                <w:sz w:val="20"/>
                <w:szCs w:val="20"/>
                <w:color w:val="auto"/>
              </w:rPr>
            </w:pPr>
            <w:r>
              <w:rPr>
                <w:rFonts w:ascii="Arial" w:cs="Arial" w:eastAsia="Arial" w:hAnsi="Arial"/>
                <w:sz w:val="13"/>
                <w:szCs w:val="13"/>
                <w:color w:val="auto"/>
              </w:rPr>
              <w:t>4.</w:t>
            </w:r>
          </w:p>
        </w:tc>
        <w:tc>
          <w:tcPr>
            <w:tcW w:w="5020" w:type="dxa"/>
            <w:vAlign w:val="bottom"/>
            <w:gridSpan w:val="10"/>
          </w:tcPr>
          <w:p>
            <w:pPr>
              <w:spacing w:after="0"/>
              <w:rPr>
                <w:sz w:val="20"/>
                <w:szCs w:val="20"/>
                <w:color w:val="auto"/>
              </w:rPr>
            </w:pPr>
            <w:r>
              <w:rPr>
                <w:rFonts w:ascii="Arial" w:cs="Arial" w:eastAsia="Arial" w:hAnsi="Arial"/>
                <w:sz w:val="13"/>
                <w:szCs w:val="13"/>
                <w:color w:val="auto"/>
              </w:rPr>
              <w:t>Mine Safety Disclosures</w:t>
            </w:r>
          </w:p>
        </w:tc>
        <w:tc>
          <w:tcPr>
            <w:tcW w:w="5660" w:type="dxa"/>
            <w:vAlign w:val="bottom"/>
            <w:gridSpan w:val="4"/>
          </w:tcPr>
          <w:p>
            <w:pPr>
              <w:jc w:val="right"/>
              <w:ind w:right="40"/>
              <w:spacing w:after="0"/>
              <w:rPr>
                <w:sz w:val="20"/>
                <w:szCs w:val="20"/>
                <w:color w:val="auto"/>
              </w:rPr>
            </w:pPr>
            <w:r>
              <w:rPr>
                <w:rFonts w:ascii="Arial" w:cs="Arial" w:eastAsia="Arial" w:hAnsi="Arial"/>
                <w:sz w:val="13"/>
                <w:szCs w:val="13"/>
                <w:color w:val="auto"/>
              </w:rPr>
              <w:t>Not Applicable.</w:t>
            </w:r>
          </w:p>
        </w:tc>
      </w:tr>
      <w:tr>
        <w:trPr>
          <w:trHeight w:val="183"/>
        </w:trPr>
        <w:tc>
          <w:tcPr>
            <w:tcW w:w="600" w:type="dxa"/>
            <w:vAlign w:val="bottom"/>
          </w:tcPr>
          <w:p>
            <w:pPr>
              <w:ind w:left="20"/>
              <w:spacing w:after="0"/>
              <w:rPr>
                <w:sz w:val="20"/>
                <w:szCs w:val="20"/>
                <w:color w:val="auto"/>
              </w:rPr>
            </w:pPr>
            <w:r>
              <w:rPr>
                <w:rFonts w:ascii="Arial" w:cs="Arial" w:eastAsia="Arial" w:hAnsi="Arial"/>
                <w:sz w:val="13"/>
                <w:szCs w:val="13"/>
                <w:color w:val="auto"/>
              </w:rPr>
              <w:t>5.</w:t>
            </w:r>
          </w:p>
        </w:tc>
        <w:tc>
          <w:tcPr>
            <w:tcW w:w="1000" w:type="dxa"/>
            <w:vAlign w:val="bottom"/>
            <w:tcBorders>
              <w:bottom w:val="single" w:sz="8" w:color="0F7C7F"/>
            </w:tcBorders>
            <w:gridSpan w:val="4"/>
          </w:tcPr>
          <w:p>
            <w:pPr>
              <w:spacing w:after="0"/>
              <w:rPr>
                <w:sz w:val="20"/>
                <w:szCs w:val="20"/>
                <w:color w:val="auto"/>
              </w:rPr>
            </w:pPr>
            <w:r>
              <w:rPr>
                <w:rFonts w:ascii="Arial" w:cs="Arial" w:eastAsia="Arial" w:hAnsi="Arial"/>
                <w:sz w:val="13"/>
                <w:szCs w:val="13"/>
                <w:color w:val="0F7C7F"/>
                <w:w w:val="96"/>
              </w:rPr>
              <w:t>Other Information</w:t>
            </w:r>
          </w:p>
        </w:tc>
        <w:tc>
          <w:tcPr>
            <w:tcW w:w="4020" w:type="dxa"/>
            <w:vAlign w:val="bottom"/>
            <w:gridSpan w:val="6"/>
          </w:tcPr>
          <w:p>
            <w:pPr>
              <w:spacing w:after="0"/>
              <w:rPr>
                <w:sz w:val="15"/>
                <w:szCs w:val="15"/>
                <w:color w:val="auto"/>
              </w:rPr>
            </w:pPr>
          </w:p>
        </w:tc>
        <w:tc>
          <w:tcPr>
            <w:tcW w:w="5480" w:type="dxa"/>
            <w:vAlign w:val="bottom"/>
            <w:gridSpan w:val="2"/>
          </w:tcPr>
          <w:p>
            <w:pPr>
              <w:spacing w:after="0"/>
              <w:rPr>
                <w:sz w:val="15"/>
                <w:szCs w:val="15"/>
                <w:color w:val="auto"/>
              </w:rPr>
            </w:pPr>
          </w:p>
        </w:tc>
        <w:tc>
          <w:tcPr>
            <w:tcW w:w="140" w:type="dxa"/>
            <w:vAlign w:val="bottom"/>
            <w:tcBorders>
              <w:bottom w:val="single" w:sz="8" w:color="0F7C7F"/>
            </w:tcBorders>
          </w:tcPr>
          <w:p>
            <w:pPr>
              <w:jc w:val="right"/>
              <w:spacing w:after="0"/>
              <w:rPr>
                <w:sz w:val="20"/>
                <w:szCs w:val="20"/>
                <w:color w:val="auto"/>
              </w:rPr>
            </w:pPr>
            <w:r>
              <w:rPr>
                <w:rFonts w:ascii="Arial" w:cs="Arial" w:eastAsia="Arial" w:hAnsi="Arial"/>
                <w:sz w:val="13"/>
                <w:szCs w:val="13"/>
                <w:color w:val="0F7C7F"/>
                <w:w w:val="82"/>
              </w:rPr>
              <w:t>35</w:t>
            </w:r>
          </w:p>
        </w:tc>
        <w:tc>
          <w:tcPr>
            <w:tcW w:w="40" w:type="dxa"/>
            <w:vAlign w:val="bottom"/>
          </w:tcPr>
          <w:p>
            <w:pPr>
              <w:spacing w:after="0"/>
              <w:rPr>
                <w:sz w:val="15"/>
                <w:szCs w:val="15"/>
                <w:color w:val="auto"/>
              </w:rPr>
            </w:pPr>
          </w:p>
        </w:tc>
      </w:tr>
      <w:tr>
        <w:trPr>
          <w:trHeight w:val="192"/>
        </w:trPr>
        <w:tc>
          <w:tcPr>
            <w:tcW w:w="600" w:type="dxa"/>
            <w:vAlign w:val="bottom"/>
          </w:tcPr>
          <w:p>
            <w:pPr>
              <w:ind w:left="20"/>
              <w:spacing w:after="0"/>
              <w:rPr>
                <w:sz w:val="20"/>
                <w:szCs w:val="20"/>
                <w:color w:val="auto"/>
              </w:rPr>
            </w:pPr>
            <w:r>
              <w:rPr>
                <w:rFonts w:ascii="Arial" w:cs="Arial" w:eastAsia="Arial" w:hAnsi="Arial"/>
                <w:sz w:val="13"/>
                <w:szCs w:val="13"/>
                <w:color w:val="auto"/>
              </w:rPr>
              <w:t>6.</w:t>
            </w:r>
          </w:p>
        </w:tc>
        <w:tc>
          <w:tcPr>
            <w:tcW w:w="5020" w:type="dxa"/>
            <w:vAlign w:val="bottom"/>
            <w:gridSpan w:val="10"/>
          </w:tcPr>
          <w:p>
            <w:pPr>
              <w:spacing w:after="0"/>
              <w:rPr>
                <w:sz w:val="20"/>
                <w:szCs w:val="20"/>
                <w:color w:val="auto"/>
              </w:rPr>
            </w:pPr>
            <w:r>
              <w:rPr>
                <w:rFonts w:ascii="Arial" w:cs="Arial" w:eastAsia="Arial" w:hAnsi="Arial"/>
                <w:sz w:val="13"/>
                <w:szCs w:val="13"/>
                <w:color w:val="0F7C7F"/>
              </w:rPr>
              <w:t>Exhibits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36</w:t>
            </w:r>
          </w:p>
        </w:tc>
        <w:tc>
          <w:tcPr>
            <w:tcW w:w="4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40" w:type="dxa"/>
            <w:vAlign w:val="bottom"/>
            <w:tcBorders>
              <w:right w:val="single" w:sz="8" w:color="0F7C7F"/>
            </w:tcBorders>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5020" w:type="dxa"/>
            <w:vAlign w:val="bottom"/>
            <w:gridSpan w:val="10"/>
          </w:tcPr>
          <w:p>
            <w:pPr>
              <w:spacing w:after="0"/>
              <w:rPr>
                <w:sz w:val="20"/>
                <w:szCs w:val="20"/>
                <w:color w:val="auto"/>
              </w:rPr>
            </w:pPr>
            <w:r>
              <w:rPr>
                <w:rFonts w:ascii="Arial" w:cs="Arial" w:eastAsia="Arial" w:hAnsi="Arial"/>
                <w:sz w:val="13"/>
                <w:szCs w:val="13"/>
                <w:color w:val="0F7C7F"/>
              </w:rPr>
              <w:t>Signatures</w:t>
            </w:r>
          </w:p>
        </w:tc>
        <w:tc>
          <w:tcPr>
            <w:tcW w:w="5620" w:type="dxa"/>
            <w:vAlign w:val="bottom"/>
            <w:gridSpan w:val="3"/>
          </w:tcPr>
          <w:p>
            <w:pPr>
              <w:jc w:val="right"/>
              <w:spacing w:after="0"/>
              <w:rPr>
                <w:sz w:val="20"/>
                <w:szCs w:val="20"/>
                <w:color w:val="auto"/>
              </w:rPr>
            </w:pPr>
            <w:r>
              <w:rPr>
                <w:rFonts w:ascii="Arial" w:cs="Arial" w:eastAsia="Arial" w:hAnsi="Arial"/>
                <w:sz w:val="13"/>
                <w:szCs w:val="13"/>
                <w:color w:val="0F7C7F"/>
              </w:rPr>
              <w:t>37</w:t>
            </w:r>
          </w:p>
        </w:tc>
        <w:tc>
          <w:tcPr>
            <w:tcW w:w="40" w:type="dxa"/>
            <w:vAlign w:val="bottom"/>
          </w:tcPr>
          <w:p>
            <w:pPr>
              <w:spacing w:after="0"/>
              <w:rPr>
                <w:sz w:val="16"/>
                <w:szCs w:val="16"/>
                <w:color w:val="auto"/>
              </w:rPr>
            </w:pPr>
          </w:p>
        </w:tc>
      </w:tr>
      <w:tr>
        <w:trPr>
          <w:trHeight w:val="1223"/>
        </w:trPr>
        <w:tc>
          <w:tcPr>
            <w:tcW w:w="600" w:type="dxa"/>
            <w:vAlign w:val="bottom"/>
            <w:tcBorders>
              <w:bottom w:val="single" w:sz="8" w:color="9A9A9A"/>
            </w:tcBorders>
          </w:tcPr>
          <w:p>
            <w:pPr>
              <w:spacing w:after="0"/>
              <w:rPr>
                <w:sz w:val="24"/>
                <w:szCs w:val="24"/>
                <w:color w:val="auto"/>
              </w:rPr>
            </w:pPr>
          </w:p>
        </w:tc>
        <w:tc>
          <w:tcPr>
            <w:tcW w:w="440" w:type="dxa"/>
            <w:vAlign w:val="bottom"/>
            <w:tcBorders>
              <w:top w:val="single" w:sz="8" w:color="0F7C7F"/>
              <w:bottom w:val="single" w:sz="8" w:color="9A9A9A"/>
            </w:tcBorders>
          </w:tcPr>
          <w:p>
            <w:pPr>
              <w:spacing w:after="0"/>
              <w:rPr>
                <w:sz w:val="24"/>
                <w:szCs w:val="24"/>
                <w:color w:val="auto"/>
              </w:rPr>
            </w:pPr>
          </w:p>
        </w:tc>
        <w:tc>
          <w:tcPr>
            <w:tcW w:w="180" w:type="dxa"/>
            <w:vAlign w:val="bottom"/>
            <w:tcBorders>
              <w:top w:val="single" w:sz="8" w:color="0F7C7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1"/>
                <w:szCs w:val="11"/>
                <w:b w:val="1"/>
                <w:bCs w:val="1"/>
                <w:color w:val="auto"/>
              </w:rPr>
              <w:t>Three Months Ended 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880" w:type="dxa"/>
            <w:vAlign w:val="bottom"/>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2024</w:t>
            </w:r>
          </w:p>
        </w:tc>
      </w:tr>
      <w:tr>
        <w:trPr>
          <w:trHeight w:val="144"/>
        </w:trPr>
        <w:tc>
          <w:tcPr>
            <w:tcW w:w="4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60" w:type="dxa"/>
            <w:vAlign w:val="bottom"/>
            <w:gridSpan w:val="6"/>
          </w:tcPr>
          <w:p>
            <w:pPr>
              <w:ind w:left="540"/>
              <w:spacing w:after="0"/>
              <w:rPr>
                <w:sz w:val="20"/>
                <w:szCs w:val="20"/>
                <w:color w:val="auto"/>
              </w:rPr>
            </w:pPr>
            <w:r>
              <w:rPr>
                <w:rFonts w:ascii="Arial" w:cs="Arial" w:eastAsia="Arial" w:hAnsi="Arial"/>
                <w:sz w:val="11"/>
                <w:szCs w:val="11"/>
                <w:b w:val="1"/>
                <w:bCs w:val="1"/>
                <w:color w:val="auto"/>
              </w:rPr>
              <w:t>(In millions, except per-share amounts)</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4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(Unaudited)</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1000" w:type="dxa"/>
            <w:vAlign w:val="bottom"/>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10,841</w:t>
            </w:r>
          </w:p>
        </w:tc>
        <w:tc>
          <w:tcPr>
            <w:tcW w:w="80" w:type="dxa"/>
            <w:vAlign w:val="bottom"/>
          </w:tcPr>
          <w:p>
            <w:pPr>
              <w:spacing w:after="0"/>
              <w:rPr>
                <w:sz w:val="14"/>
                <w:szCs w:val="14"/>
                <w:color w:val="auto"/>
              </w:rPr>
            </w:pPr>
          </w:p>
        </w:tc>
        <w:tc>
          <w:tcPr>
            <w:tcW w:w="1000" w:type="dxa"/>
            <w:vAlign w:val="bottom"/>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9,694</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32,337</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28,644</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Premium tax revenue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w:t>
            </w: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Investment income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341</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revenue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59"/>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revenue</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11,477</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10,340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34,051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30,151</w:t>
            </w:r>
          </w:p>
        </w:tc>
      </w:tr>
      <w:tr>
        <w:trPr>
          <w:trHeight w:val="15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10,044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8,643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29,352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25,425</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w:t>
            </w:r>
          </w:p>
        </w:tc>
      </w:tr>
      <w:tr>
        <w:trPr>
          <w:trHeight w:val="169"/>
        </w:trPr>
        <w:tc>
          <w:tcPr>
            <w:tcW w:w="4880" w:type="dxa"/>
            <w:vAlign w:val="bottom"/>
          </w:tcPr>
          <w:p>
            <w:pPr>
              <w:ind w:left="180"/>
              <w:spacing w:after="0"/>
              <w:rPr>
                <w:sz w:val="20"/>
                <w:szCs w:val="20"/>
                <w:color w:val="auto"/>
              </w:rPr>
            </w:pPr>
            <w:r>
              <w:rPr>
                <w:rFonts w:ascii="Arial" w:cs="Arial" w:eastAsia="Arial" w:hAnsi="Arial"/>
                <w:sz w:val="13"/>
                <w:szCs w:val="13"/>
                <w:color w:val="auto"/>
              </w:rPr>
              <w:t>Premium tax expenses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1,103</w:t>
            </w:r>
          </w:p>
        </w:tc>
      </w:tr>
      <w:tr>
        <w:trPr>
          <w:trHeight w:val="171"/>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69"/>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r>
      <w:tr>
        <w:trPr>
          <w:trHeight w:val="162"/>
        </w:trPr>
        <w:tc>
          <w:tcPr>
            <w:tcW w:w="48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operating expenses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11,340</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9,873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33,108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28,824</w:t>
            </w:r>
          </w:p>
        </w:tc>
      </w:tr>
      <w:tr>
        <w:trPr>
          <w:trHeight w:val="15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Operating income</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1,327</w:t>
            </w:r>
          </w:p>
        </w:tc>
      </w:tr>
      <w:tr>
        <w:trPr>
          <w:trHeight w:val="162"/>
        </w:trPr>
        <w:tc>
          <w:tcPr>
            <w:tcW w:w="4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59"/>
        </w:trPr>
        <w:tc>
          <w:tcPr>
            <w:tcW w:w="48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1,243</w:t>
            </w: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r>
      <w:tr>
        <w:trPr>
          <w:trHeight w:val="162"/>
        </w:trPr>
        <w:tc>
          <w:tcPr>
            <w:tcW w:w="48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3"/>
        </w:trPr>
        <w:tc>
          <w:tcPr>
            <w:tcW w:w="4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Net income per share - Basic</w:t>
            </w: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7"/>
        </w:trPr>
        <w:tc>
          <w:tcPr>
            <w:tcW w:w="488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per share - Diluted</w:t>
            </w:r>
          </w:p>
        </w:tc>
        <w:tc>
          <w:tcPr>
            <w:tcW w:w="10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COMPREHENSIVE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1"/>
                <w:szCs w:val="11"/>
                <w:b w:val="1"/>
                <w:bCs w:val="1"/>
                <w:color w:val="auto"/>
              </w:rPr>
              <w:t>Three Months Ended September 30,</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860" w:type="dxa"/>
            <w:vAlign w:val="bottom"/>
          </w:tcPr>
          <w:p>
            <w:pPr>
              <w:spacing w:after="0"/>
              <w:rPr>
                <w:sz w:val="13"/>
                <w:szCs w:val="13"/>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2024</w:t>
            </w:r>
          </w:p>
        </w:tc>
      </w:tr>
      <w:tr>
        <w:trPr>
          <w:trHeight w:val="144"/>
        </w:trPr>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gridSpan w:val="3"/>
          </w:tcPr>
          <w:p>
            <w:pPr>
              <w:jc w:val="right"/>
              <w:ind w:right="116"/>
              <w:spacing w:after="0"/>
              <w:rPr>
                <w:sz w:val="20"/>
                <w:szCs w:val="20"/>
                <w:color w:val="auto"/>
              </w:rPr>
            </w:pPr>
            <w:r>
              <w:rPr>
                <w:rFonts w:ascii="Arial" w:cs="Arial" w:eastAsia="Arial" w:hAnsi="Arial"/>
                <w:sz w:val="11"/>
                <w:szCs w:val="11"/>
                <w:b w:val="1"/>
                <w:bCs w:val="1"/>
                <w:color w:val="auto"/>
              </w:rPr>
              <w:t>(Unaudited)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w:t>
            </w: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Other comprehensive gain:</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48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investment gain</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69"/>
        </w:trPr>
        <w:tc>
          <w:tcPr>
            <w:tcW w:w="48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Less: effect of income taxes</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160"/>
        </w:trPr>
        <w:tc>
          <w:tcPr>
            <w:tcW w:w="4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comprehensive gain, net of tax</w:t>
            </w:r>
          </w:p>
        </w:tc>
        <w:tc>
          <w:tcPr>
            <w:tcW w:w="11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62"/>
        </w:trPr>
        <w:tc>
          <w:tcPr>
            <w:tcW w:w="486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120" w:type="dxa"/>
            <w:vAlign w:val="bottom"/>
            <w:tcBorders>
              <w:bottom w:val="single" w:sz="8" w:color="auto"/>
            </w:tcBorders>
          </w:tcPr>
          <w:p>
            <w:pPr>
              <w:jc w:val="right"/>
              <w:ind w:right="980"/>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1,001</w:t>
            </w:r>
          </w:p>
        </w:tc>
      </w:tr>
      <w:tr>
        <w:trPr>
          <w:trHeight w:val="20"/>
        </w:trPr>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BALANCE SHEETS</w:t>
      </w:r>
    </w:p>
    <w:p>
      <w:pPr>
        <w:spacing w:after="0" w:line="32" w:lineRule="exact"/>
        <w:rPr>
          <w:sz w:val="20"/>
          <w:szCs w:val="20"/>
          <w:color w:val="auto"/>
        </w:rPr>
      </w:pPr>
    </w:p>
    <w:tbl>
      <w:tblPr>
        <w:tblLayout w:type="fixed"/>
        <w:tblInd w:w="8300" w:type="dxa"/>
        <w:tblCellMar>
          <w:top w:w="0" w:type="dxa"/>
          <w:left w:w="0" w:type="dxa"/>
          <w:bottom w:w="0" w:type="dxa"/>
          <w:right w:w="0" w:type="dxa"/>
        </w:tblCellMar>
      </w:tblPr>
      <w:tr>
        <w:trPr>
          <w:trHeight w:val="126"/>
        </w:trPr>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September 30,</w:t>
            </w: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144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14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2024</w:t>
            </w:r>
          </w:p>
        </w:tc>
      </w:tr>
    </w:tbl>
    <w:p>
      <w:pPr>
        <w:spacing w:after="0" w:line="26" w:lineRule="exact"/>
        <w:rPr>
          <w:sz w:val="20"/>
          <w:szCs w:val="20"/>
          <w:color w:val="auto"/>
        </w:rPr>
      </w:pPr>
    </w:p>
    <w:p>
      <w:pPr>
        <w:sectPr>
          <w:pgSz w:w="11900" w:h="16838" w:orient="portrait"/>
          <w:cols w:equalWidth="0" w:num="1">
            <w:col w:w="11280"/>
          </w:cols>
          <w:pgMar w:left="300" w:top="126" w:right="31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Current assets: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Cash and cash equivalents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Receivables</w:t>
      </w:r>
    </w:p>
    <w:p>
      <w:pPr>
        <w:spacing w:after="0" w:line="20" w:lineRule="exact"/>
        <w:rPr>
          <w:sz w:val="20"/>
          <w:szCs w:val="20"/>
          <w:color w:val="auto"/>
        </w:rPr>
      </w:pPr>
    </w:p>
    <w:p>
      <w:pPr>
        <w:ind w:left="180" w:right="1040" w:hanging="63"/>
        <w:spacing w:after="0" w:line="281" w:lineRule="auto"/>
        <w:rPr>
          <w:sz w:val="20"/>
          <w:szCs w:val="20"/>
          <w:color w:val="auto"/>
        </w:rPr>
      </w:pPr>
      <w:r>
        <w:rPr>
          <w:rFonts w:ascii="Arial" w:cs="Arial" w:eastAsia="Arial" w:hAnsi="Arial"/>
          <w:sz w:val="13"/>
          <w:szCs w:val="13"/>
          <w:color w:val="auto"/>
        </w:rPr>
        <w:t>Prepaid expenses and other current assets Total current assets</w:t>
      </w:r>
    </w:p>
    <w:p>
      <w:pPr>
        <w:ind w:left="20"/>
        <w:spacing w:after="0"/>
        <w:rPr>
          <w:sz w:val="20"/>
          <w:szCs w:val="20"/>
          <w:color w:val="auto"/>
        </w:rPr>
      </w:pPr>
      <w:r>
        <w:rPr>
          <w:rFonts w:ascii="Arial" w:cs="Arial" w:eastAsia="Arial" w:hAnsi="Arial"/>
          <w:sz w:val="12"/>
          <w:szCs w:val="12"/>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Goodwill, and intangible assets,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Restricted investments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income taxes, net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assets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8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3"/>
          </w:tcPr>
          <w:p>
            <w:pPr>
              <w:jc w:val="right"/>
              <w:ind w:right="296"/>
              <w:spacing w:after="0"/>
              <w:rPr>
                <w:sz w:val="20"/>
                <w:szCs w:val="20"/>
                <w:color w:val="auto"/>
              </w:rPr>
            </w:pPr>
            <w:r>
              <w:rPr>
                <w:rFonts w:ascii="Arial" w:cs="Arial" w:eastAsia="Arial" w:hAnsi="Arial"/>
                <w:sz w:val="11"/>
                <w:szCs w:val="11"/>
                <w:b w:val="1"/>
                <w:bCs w:val="1"/>
                <w:color w:val="auto"/>
              </w:rPr>
              <w:t>(Dollars in millions,</w:t>
            </w:r>
          </w:p>
        </w:tc>
        <w:tc>
          <w:tcPr>
            <w:tcW w:w="600" w:type="dxa"/>
            <w:vAlign w:val="bottom"/>
          </w:tcPr>
          <w:p>
            <w:pPr>
              <w:spacing w:after="0"/>
              <w:rPr>
                <w:sz w:val="10"/>
                <w:szCs w:val="10"/>
                <w:color w:val="auto"/>
              </w:rPr>
            </w:pPr>
          </w:p>
        </w:tc>
      </w:tr>
      <w:tr>
        <w:trPr>
          <w:trHeight w:val="149"/>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3"/>
          </w:tcPr>
          <w:p>
            <w:pPr>
              <w:jc w:val="right"/>
              <w:ind w:right="96"/>
              <w:spacing w:after="0"/>
              <w:rPr>
                <w:sz w:val="20"/>
                <w:szCs w:val="20"/>
                <w:color w:val="auto"/>
              </w:rPr>
            </w:pPr>
            <w:r>
              <w:rPr>
                <w:rFonts w:ascii="Arial" w:cs="Arial" w:eastAsia="Arial" w:hAnsi="Arial"/>
                <w:sz w:val="11"/>
                <w:szCs w:val="11"/>
                <w:b w:val="1"/>
                <w:bCs w:val="1"/>
                <w:color w:val="auto"/>
              </w:rPr>
              <w:t>except per-share amounts)</w:t>
            </w:r>
          </w:p>
        </w:tc>
        <w:tc>
          <w:tcPr>
            <w:tcW w:w="600" w:type="dxa"/>
            <w:vAlign w:val="bottom"/>
          </w:tcPr>
          <w:p>
            <w:pPr>
              <w:spacing w:after="0"/>
              <w:rPr>
                <w:sz w:val="12"/>
                <w:szCs w:val="12"/>
                <w:color w:val="auto"/>
              </w:rPr>
            </w:pPr>
          </w:p>
        </w:tc>
      </w:tr>
      <w:tr>
        <w:trPr>
          <w:trHeight w:val="154"/>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(Unaudited)</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4"/>
        </w:trPr>
        <w:tc>
          <w:tcPr>
            <w:tcW w:w="3160" w:type="dxa"/>
            <w:vAlign w:val="bottom"/>
            <w:gridSpan w:val="2"/>
          </w:tcPr>
          <w:p>
            <w:pPr>
              <w:jc w:val="right"/>
              <w:ind w:right="2660"/>
              <w:spacing w:after="0"/>
              <w:rPr>
                <w:sz w:val="20"/>
                <w:szCs w:val="20"/>
                <w:color w:val="auto"/>
              </w:rPr>
            </w:pPr>
            <w:r>
              <w:rPr>
                <w:rFonts w:ascii="Arial" w:cs="Arial" w:eastAsia="Arial" w:hAnsi="Arial"/>
                <w:sz w:val="13"/>
                <w:szCs w:val="13"/>
                <w:b w:val="1"/>
                <w:bCs w:val="1"/>
                <w:color w:val="auto"/>
                <w:w w:val="92"/>
              </w:rPr>
              <w:t>ASSETS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34"/>
        </w:trPr>
        <w:tc>
          <w:tcPr>
            <w:tcW w:w="3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4,221</w:t>
            </w:r>
          </w:p>
        </w:tc>
        <w:tc>
          <w:tcPr>
            <w:tcW w:w="80" w:type="dxa"/>
            <w:vAlign w:val="bottom"/>
          </w:tcPr>
          <w:p>
            <w:pPr>
              <w:spacing w:after="0"/>
              <w:rPr>
                <w:sz w:val="24"/>
                <w:szCs w:val="24"/>
                <w:color w:val="auto"/>
              </w:rPr>
            </w:pPr>
          </w:p>
        </w:tc>
        <w:tc>
          <w:tcPr>
            <w:tcW w:w="84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4,662</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4,226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4,325</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3,515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3,299</w:t>
            </w:r>
          </w:p>
        </w:tc>
      </w:tr>
      <w:tr>
        <w:trPr>
          <w:trHeight w:val="171"/>
        </w:trPr>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w:t>
            </w:r>
          </w:p>
        </w:tc>
      </w:tr>
      <w:tr>
        <w:trPr>
          <w:trHeight w:val="159"/>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12,552</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12,773</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288</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2,202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1,938</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300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286</w:t>
            </w:r>
          </w:p>
        </w:tc>
      </w:tr>
      <w:tr>
        <w:trPr>
          <w:trHeight w:val="170"/>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171"/>
        </w:trPr>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r>
      <w:tr>
        <w:trPr>
          <w:trHeight w:val="160"/>
        </w:trPr>
        <w:tc>
          <w:tcPr>
            <w:tcW w:w="3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15,698</w:t>
            </w:r>
          </w:p>
        </w:tc>
        <w:tc>
          <w:tcPr>
            <w:tcW w:w="80" w:type="dxa"/>
            <w:vAlign w:val="bottom"/>
          </w:tcPr>
          <w:p>
            <w:pPr>
              <w:spacing w:after="0"/>
              <w:rPr>
                <w:sz w:val="13"/>
                <w:szCs w:val="13"/>
                <w:color w:val="auto"/>
              </w:rPr>
            </w:pPr>
          </w:p>
        </w:tc>
        <w:tc>
          <w:tcPr>
            <w:tcW w:w="840" w:type="dxa"/>
            <w:vAlign w:val="bottom"/>
          </w:tcPr>
          <w:p>
            <w:pPr>
              <w:jc w:val="right"/>
              <w:ind w:right="676"/>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15,630</w:t>
            </w:r>
          </w:p>
        </w:tc>
      </w:tr>
      <w:tr>
        <w:trPr>
          <w:trHeight w:val="20"/>
        </w:trPr>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-1441450</wp:posOffset>
            </wp:positionV>
            <wp:extent cx="7148195" cy="107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-1225550</wp:posOffset>
            </wp:positionV>
            <wp:extent cx="7148195"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-1009650</wp:posOffset>
            </wp:positionV>
            <wp:extent cx="7148195" cy="107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-794385</wp:posOffset>
            </wp:positionV>
            <wp:extent cx="7148195"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-572135</wp:posOffset>
            </wp:positionV>
            <wp:extent cx="7148195" cy="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-356235</wp:posOffset>
            </wp:positionV>
            <wp:extent cx="7148195"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-140970</wp:posOffset>
            </wp:positionV>
            <wp:extent cx="714819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28270"/>
                    </a:xfrm>
                    <a:prstGeom prst="rect">
                      <a:avLst/>
                    </a:prstGeom>
                    <a:noFill/>
                  </pic:spPr>
                </pic:pic>
              </a:graphicData>
            </a:graphic>
          </wp:anchor>
        </w:drawing>
        <w:drawing>
          <wp:anchor simplePos="0" relativeHeight="251657728" behindDoc="1" locked="0" layoutInCell="0" allowOverlap="1">
            <wp:simplePos x="0" y="0"/>
            <wp:positionH relativeFrom="column">
              <wp:posOffset>-2726690</wp:posOffset>
            </wp:positionH>
            <wp:positionV relativeFrom="paragraph">
              <wp:posOffset>114300</wp:posOffset>
            </wp:positionV>
            <wp:extent cx="7148195" cy="107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 AND STOCKHOLDERS’ EQUITY</w:t>
      </w:r>
    </w:p>
    <w:p>
      <w:pPr>
        <w:spacing w:after="0" w:line="24" w:lineRule="exact"/>
        <w:rPr>
          <w:sz w:val="20"/>
          <w:szCs w:val="20"/>
          <w:color w:val="auto"/>
        </w:rPr>
      </w:pPr>
    </w:p>
    <w:p>
      <w:pPr>
        <w:sectPr>
          <w:pgSz w:w="11900" w:h="16838" w:orient="portrait"/>
          <w:cols w:equalWidth="0" w:num="2">
            <w:col w:w="3580" w:space="720"/>
            <w:col w:w="6980"/>
          </w:cols>
          <w:pgMar w:left="30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83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Medical claims and benefits payable</w:t>
            </w:r>
          </w:p>
        </w:tc>
        <w:tc>
          <w:tcPr>
            <w:tcW w:w="54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0" w:type="dxa"/>
            <w:vAlign w:val="bottom"/>
          </w:tcPr>
          <w:p>
            <w:pPr>
              <w:spacing w:after="0"/>
              <w:rPr>
                <w:sz w:val="1"/>
                <w:szCs w:val="1"/>
                <w:color w:val="auto"/>
              </w:rPr>
            </w:pPr>
          </w:p>
        </w:tc>
      </w:tr>
      <w:tr>
        <w:trPr>
          <w:trHeight w:val="169"/>
        </w:trPr>
        <w:tc>
          <w:tcPr>
            <w:tcW w:w="8300" w:type="dxa"/>
            <w:vAlign w:val="bottom"/>
          </w:tcPr>
          <w:p>
            <w:pPr>
              <w:ind w:left="120"/>
              <w:spacing w:after="0"/>
              <w:rPr>
                <w:sz w:val="20"/>
                <w:szCs w:val="20"/>
                <w:color w:val="auto"/>
              </w:rPr>
            </w:pPr>
            <w:r>
              <w:rPr>
                <w:rFonts w:ascii="Arial" w:cs="Arial" w:eastAsia="Arial" w:hAnsi="Arial"/>
                <w:sz w:val="13"/>
                <w:szCs w:val="13"/>
                <w:color w:val="auto"/>
              </w:rPr>
              <w:t>Amounts due government agencies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1,874</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 accrued liabilities and other</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Deferred revenue</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7,896</w:t>
            </w:r>
          </w:p>
        </w:tc>
        <w:tc>
          <w:tcPr>
            <w:tcW w:w="0" w:type="dxa"/>
            <w:vAlign w:val="bottom"/>
          </w:tcPr>
          <w:p>
            <w:pPr>
              <w:spacing w:after="0"/>
              <w:rPr>
                <w:sz w:val="1"/>
                <w:szCs w:val="1"/>
                <w:color w:val="auto"/>
              </w:rPr>
            </w:pPr>
          </w:p>
        </w:tc>
      </w:tr>
      <w:tr>
        <w:trPr>
          <w:trHeight w:val="169"/>
        </w:trPr>
        <w:tc>
          <w:tcPr>
            <w:tcW w:w="83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3,664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Finance lease liabilities</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11,507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11,134</w:t>
            </w:r>
          </w:p>
        </w:tc>
        <w:tc>
          <w:tcPr>
            <w:tcW w:w="0" w:type="dxa"/>
            <w:vAlign w:val="bottom"/>
          </w:tcPr>
          <w:p>
            <w:pPr>
              <w:spacing w:after="0"/>
              <w:rPr>
                <w:sz w:val="1"/>
                <w:szCs w:val="1"/>
                <w:color w:val="auto"/>
              </w:rPr>
            </w:pPr>
          </w:p>
        </w:tc>
      </w:tr>
      <w:tr>
        <w:trPr>
          <w:trHeight w:val="149"/>
        </w:trPr>
        <w:tc>
          <w:tcPr>
            <w:tcW w:w="8300" w:type="dxa"/>
            <w:vAlign w:val="bottom"/>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30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Common stock, $0.001 par value, 150 million shares authorized; outstanding: 51 million shares at September 30, 2025 and 56 million at</w:t>
            </w:r>
          </w:p>
        </w:tc>
        <w:tc>
          <w:tcPr>
            <w:tcW w:w="5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December 31, 2024</w:t>
            </w:r>
          </w:p>
        </w:tc>
        <w:tc>
          <w:tcPr>
            <w:tcW w:w="5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120"/>
              <w:spacing w:after="0"/>
              <w:rPr>
                <w:sz w:val="20"/>
                <w:szCs w:val="20"/>
                <w:color w:val="auto"/>
              </w:rPr>
            </w:pPr>
            <w:r>
              <w:rPr>
                <w:rFonts w:ascii="Arial" w:cs="Arial" w:eastAsia="Arial" w:hAnsi="Arial"/>
                <w:sz w:val="13"/>
                <w:szCs w:val="13"/>
                <w:color w:val="auto"/>
              </w:rPr>
              <w:t>Preferred stock, $0.001 par value; 20 million shares authorized, no shares issued and outstanding</w:t>
            </w:r>
          </w:p>
        </w:tc>
        <w:tc>
          <w:tcPr>
            <w:tcW w:w="5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69"/>
        </w:trPr>
        <w:tc>
          <w:tcPr>
            <w:tcW w:w="8300" w:type="dxa"/>
            <w:vAlign w:val="bottom"/>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3,762</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0" w:type="dxa"/>
            <w:vAlign w:val="bottom"/>
          </w:tcPr>
          <w:p>
            <w:pPr>
              <w:spacing w:after="0"/>
              <w:rPr>
                <w:sz w:val="1"/>
                <w:szCs w:val="1"/>
                <w:color w:val="auto"/>
              </w:rPr>
            </w:pPr>
          </w:p>
        </w:tc>
      </w:tr>
      <w:tr>
        <w:trPr>
          <w:trHeight w:val="15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4,191</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15,698</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15,630</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STOCKHOLDERS’ EQUITY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left="243"/>
              <w:spacing w:after="0"/>
              <w:rPr>
                <w:sz w:val="20"/>
                <w:szCs w:val="20"/>
                <w:color w:val="auto"/>
              </w:rPr>
            </w:pPr>
            <w:r>
              <w:rPr>
                <w:rFonts w:ascii="Arial" w:cs="Arial" w:eastAsia="Arial" w:hAnsi="Arial"/>
                <w:sz w:val="11"/>
                <w:szCs w:val="11"/>
                <w:b w:val="1"/>
                <w:bCs w:val="1"/>
                <w:color w:val="auto"/>
              </w:rPr>
              <w:t>Accumulated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5"/>
          </w:tcPr>
          <w:p>
            <w:pPr>
              <w:jc w:val="right"/>
              <w:spacing w:after="0" w:line="123" w:lineRule="exact"/>
              <w:rPr>
                <w:sz w:val="20"/>
                <w:szCs w:val="20"/>
                <w:color w:val="auto"/>
              </w:rPr>
            </w:pPr>
            <w:r>
              <w:rPr>
                <w:rFonts w:ascii="Arial" w:cs="Arial" w:eastAsia="Arial" w:hAnsi="Arial"/>
                <w:sz w:val="11"/>
                <w:szCs w:val="11"/>
                <w:b w:val="1"/>
                <w:bCs w:val="1"/>
                <w:color w:val="auto"/>
              </w:rPr>
              <w:t>Common 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23"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1200" w:type="dxa"/>
            <w:vAlign w:val="bottom"/>
          </w:tcPr>
          <w:p>
            <w:pPr>
              <w:jc w:val="center"/>
              <w:ind w:left="243"/>
              <w:spacing w:after="0" w:line="123" w:lineRule="exact"/>
              <w:rPr>
                <w:sz w:val="20"/>
                <w:szCs w:val="20"/>
                <w:color w:val="auto"/>
              </w:rPr>
            </w:pPr>
            <w:r>
              <w:rPr>
                <w:rFonts w:ascii="Arial" w:cs="Arial" w:eastAsia="Arial" w:hAnsi="Arial"/>
                <w:sz w:val="11"/>
                <w:szCs w:val="11"/>
                <w:b w:val="1"/>
                <w:bCs w:val="1"/>
                <w:color w:val="auto"/>
              </w:rPr>
              <w:t>Other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180"/>
              <w:spacing w:after="0" w:line="106"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3"/>
                <w:szCs w:val="3"/>
                <w:color w:val="auto"/>
              </w:rPr>
            </w:pPr>
          </w:p>
        </w:tc>
        <w:tc>
          <w:tcPr>
            <w:tcW w:w="1600" w:type="dxa"/>
            <w:vAlign w:val="bottom"/>
            <w:gridSpan w:val="4"/>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rPr>
              <w:t>Comprehensive Income</w:t>
            </w:r>
          </w:p>
        </w:tc>
        <w:tc>
          <w:tcPr>
            <w:tcW w:w="180" w:type="dxa"/>
            <w:vAlign w:val="bottom"/>
          </w:tcPr>
          <w:p>
            <w:pPr>
              <w:spacing w:after="0"/>
              <w:rPr>
                <w:sz w:val="3"/>
                <w:szCs w:val="3"/>
                <w:color w:val="auto"/>
              </w:rPr>
            </w:pPr>
          </w:p>
        </w:tc>
        <w:tc>
          <w:tcPr>
            <w:tcW w:w="1020" w:type="dxa"/>
            <w:vAlign w:val="bottom"/>
            <w:gridSpan w:val="4"/>
            <w:vMerge w:val="restart"/>
          </w:tcPr>
          <w:p>
            <w:pPr>
              <w:ind w:left="140"/>
              <w:spacing w:after="0" w:line="106" w:lineRule="exact"/>
              <w:rPr>
                <w:sz w:val="20"/>
                <w:szCs w:val="20"/>
                <w:color w:val="auto"/>
              </w:rPr>
            </w:pPr>
            <w:r>
              <w:rPr>
                <w:rFonts w:ascii="Arial" w:cs="Arial" w:eastAsia="Arial" w:hAnsi="Arial"/>
                <w:sz w:val="11"/>
                <w:szCs w:val="11"/>
                <w:b w:val="1"/>
                <w:bCs w:val="1"/>
                <w:color w:val="auto"/>
              </w:rPr>
              <w:t>Retained</w:t>
            </w: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Outstanding</w:t>
            </w:r>
          </w:p>
        </w:tc>
        <w:tc>
          <w:tcPr>
            <w:tcW w:w="100" w:type="dxa"/>
            <w:vAlign w:val="bottom"/>
            <w:gridSpan w:val="2"/>
            <w:vMerge w:val="restart"/>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gridSpan w:val="2"/>
            <w:vMerge w:val="restart"/>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rPr>
              <w:t>(Loss)</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Earnings</w:t>
            </w:r>
          </w:p>
        </w:tc>
        <w:tc>
          <w:tcPr>
            <w:tcW w:w="100" w:type="dxa"/>
            <w:vAlign w:val="bottom"/>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543"/>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right"/>
              <w:ind w:right="543"/>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w w:val="82"/>
              </w:rPr>
              <w:t>$</w:t>
            </w: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4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Stock purchase excise tax</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income, net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2025</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comprehensive income, net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June 30, 2025</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0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69"/>
        </w:trPr>
        <w:tc>
          <w:tcPr>
            <w:tcW w:w="3920" w:type="dxa"/>
            <w:vAlign w:val="bottom"/>
            <w:gridSpan w:val="2"/>
          </w:tcPr>
          <w:p>
            <w:pPr>
              <w:ind w:left="100"/>
              <w:spacing w:after="0"/>
              <w:rPr>
                <w:sz w:val="20"/>
                <w:szCs w:val="20"/>
                <w:color w:val="auto"/>
              </w:rPr>
            </w:pPr>
            <w:r>
              <w:rPr>
                <w:rFonts w:ascii="Arial" w:cs="Arial" w:eastAsia="Arial" w:hAnsi="Arial"/>
                <w:sz w:val="13"/>
                <w:szCs w:val="13"/>
                <w:color w:val="auto"/>
              </w:rPr>
              <w:t>Stock purchase excise tax</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comprehensive income, net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September 30, 2025</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3"/>
                <w:szCs w:val="13"/>
                <w:color w:val="auto"/>
                <w:w w:val="82"/>
              </w:rPr>
              <w:t>$</w:t>
            </w:r>
          </w:p>
        </w:tc>
        <w:tc>
          <w:tcPr>
            <w:tcW w:w="760" w:type="dxa"/>
            <w:vAlign w:val="bottom"/>
            <w:gridSpan w:val="4"/>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4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center"/>
              <w:ind w:left="223"/>
              <w:spacing w:after="0"/>
              <w:rPr>
                <w:sz w:val="20"/>
                <w:szCs w:val="20"/>
                <w:color w:val="auto"/>
              </w:rPr>
            </w:pPr>
            <w:r>
              <w:rPr>
                <w:rFonts w:ascii="Arial" w:cs="Arial" w:eastAsia="Arial" w:hAnsi="Arial"/>
                <w:sz w:val="11"/>
                <w:szCs w:val="11"/>
                <w:b w:val="1"/>
                <w:bCs w:val="1"/>
                <w:color w:val="auto"/>
              </w:rPr>
              <w:t>Accumulated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5"/>
          </w:tcPr>
          <w:p>
            <w:pPr>
              <w:jc w:val="right"/>
              <w:spacing w:after="0" w:line="123" w:lineRule="exact"/>
              <w:rPr>
                <w:sz w:val="20"/>
                <w:szCs w:val="20"/>
                <w:color w:val="auto"/>
              </w:rPr>
            </w:pPr>
            <w:r>
              <w:rPr>
                <w:rFonts w:ascii="Arial" w:cs="Arial" w:eastAsia="Arial" w:hAnsi="Arial"/>
                <w:sz w:val="11"/>
                <w:szCs w:val="11"/>
                <w:b w:val="1"/>
                <w:bCs w:val="1"/>
                <w:color w:val="auto"/>
              </w:rPr>
              <w:t>Common 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00"/>
              <w:spacing w:after="0" w:line="123"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1200" w:type="dxa"/>
            <w:vAlign w:val="bottom"/>
          </w:tcPr>
          <w:p>
            <w:pPr>
              <w:jc w:val="center"/>
              <w:ind w:left="243"/>
              <w:spacing w:after="0" w:line="123" w:lineRule="exact"/>
              <w:rPr>
                <w:sz w:val="20"/>
                <w:szCs w:val="20"/>
                <w:color w:val="auto"/>
              </w:rPr>
            </w:pPr>
            <w:r>
              <w:rPr>
                <w:rFonts w:ascii="Arial" w:cs="Arial" w:eastAsia="Arial" w:hAnsi="Arial"/>
                <w:sz w:val="11"/>
                <w:szCs w:val="11"/>
                <w:b w:val="1"/>
                <w:bCs w:val="1"/>
                <w:color w:val="auto"/>
              </w:rPr>
              <w:t>Other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9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180"/>
              <w:spacing w:after="0" w:line="106"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3"/>
                <w:szCs w:val="3"/>
                <w:color w:val="auto"/>
              </w:rPr>
            </w:pPr>
          </w:p>
        </w:tc>
        <w:tc>
          <w:tcPr>
            <w:tcW w:w="1200" w:type="dxa"/>
            <w:vAlign w:val="bottom"/>
            <w:vMerge w:val="restart"/>
          </w:tcPr>
          <w:p>
            <w:pPr>
              <w:jc w:val="center"/>
              <w:ind w:left="223"/>
              <w:spacing w:after="0" w:line="106" w:lineRule="exact"/>
              <w:rPr>
                <w:sz w:val="20"/>
                <w:szCs w:val="20"/>
                <w:color w:val="auto"/>
              </w:rPr>
            </w:pPr>
            <w:r>
              <w:rPr>
                <w:rFonts w:ascii="Arial" w:cs="Arial" w:eastAsia="Arial" w:hAnsi="Arial"/>
                <w:sz w:val="11"/>
                <w:szCs w:val="11"/>
                <w:b w:val="1"/>
                <w:bCs w:val="1"/>
                <w:color w:val="auto"/>
              </w:rPr>
              <w:t>Comprehensive</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restart"/>
          </w:tcPr>
          <w:p>
            <w:pPr>
              <w:ind w:left="120"/>
              <w:spacing w:after="0" w:line="106" w:lineRule="exact"/>
              <w:rPr>
                <w:sz w:val="20"/>
                <w:szCs w:val="20"/>
                <w:color w:val="auto"/>
              </w:rPr>
            </w:pPr>
            <w:r>
              <w:rPr>
                <w:rFonts w:ascii="Arial" w:cs="Arial" w:eastAsia="Arial" w:hAnsi="Arial"/>
                <w:sz w:val="11"/>
                <w:szCs w:val="11"/>
                <w:b w:val="1"/>
                <w:bCs w:val="1"/>
                <w:color w:val="auto"/>
              </w:rPr>
              <w:t>Retained</w:t>
            </w: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3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vMerge w:val="restart"/>
          </w:tcPr>
          <w:p>
            <w:pPr>
              <w:jc w:val="right"/>
              <w:ind w:right="197"/>
              <w:spacing w:after="0"/>
              <w:rPr>
                <w:sz w:val="20"/>
                <w:szCs w:val="20"/>
                <w:color w:val="auto"/>
              </w:rPr>
            </w:pPr>
            <w:r>
              <w:rPr>
                <w:rFonts w:ascii="Arial" w:cs="Arial" w:eastAsia="Arial" w:hAnsi="Arial"/>
                <w:sz w:val="11"/>
                <w:szCs w:val="11"/>
                <w:b w:val="1"/>
                <w:bCs w:val="1"/>
                <w:color w:val="auto"/>
              </w:rPr>
              <w:t>Outstanding</w:t>
            </w:r>
          </w:p>
        </w:tc>
        <w:tc>
          <w:tcPr>
            <w:tcW w:w="10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b w:val="1"/>
                <w:bCs w:val="1"/>
                <w:color w:val="auto"/>
              </w:rPr>
              <w:t>Income (Loss)</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Earnings</w:t>
            </w:r>
          </w:p>
        </w:tc>
        <w:tc>
          <w:tcPr>
            <w:tcW w:w="1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583"/>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right"/>
              <w:ind w:right="583"/>
              <w:spacing w:after="0"/>
              <w:rPr>
                <w:sz w:val="20"/>
                <w:szCs w:val="20"/>
                <w:color w:val="auto"/>
              </w:rPr>
            </w:pPr>
            <w:r>
              <w:rPr>
                <w:rFonts w:ascii="Arial" w:cs="Arial" w:eastAsia="Arial" w:hAnsi="Arial"/>
                <w:sz w:val="11"/>
                <w:szCs w:val="11"/>
                <w:b w:val="1"/>
                <w:bCs w:val="1"/>
                <w:color w:val="auto"/>
              </w:rPr>
              <w:t>(Unaudited)</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December 31,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6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 loss, net</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March 31, 2024</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 at June 30, 2024</w:t>
            </w:r>
          </w:p>
        </w:tc>
        <w:tc>
          <w:tcPr>
            <w:tcW w:w="1160" w:type="dxa"/>
            <w:vAlign w:val="bottom"/>
          </w:tcPr>
          <w:p>
            <w:pPr>
              <w:jc w:val="right"/>
              <w:spacing w:after="0"/>
              <w:rPr>
                <w:sz w:val="20"/>
                <w:szCs w:val="20"/>
                <w:color w:val="auto"/>
              </w:rPr>
            </w:pPr>
            <w:r>
              <w:rPr>
                <w:rFonts w:ascii="Arial" w:cs="Arial" w:eastAsia="Arial" w:hAnsi="Arial"/>
                <w:sz w:val="13"/>
                <w:szCs w:val="13"/>
                <w:color w:val="auto"/>
              </w:rPr>
              <w:t>59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Common stock purchases</w:t>
            </w:r>
          </w:p>
        </w:tc>
        <w:tc>
          <w:tcPr>
            <w:tcW w:w="116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Stock purchase excise tax</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4"/>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2"/>
          </w:tcPr>
          <w:p>
            <w:pPr>
              <w:ind w:left="120"/>
              <w:spacing w:after="0"/>
              <w:rPr>
                <w:sz w:val="20"/>
                <w:szCs w:val="20"/>
                <w:color w:val="auto"/>
              </w:rPr>
            </w:pPr>
            <w:r>
              <w:rPr>
                <w:rFonts w:ascii="Arial" w:cs="Arial" w:eastAsia="Arial" w:hAnsi="Arial"/>
                <w:sz w:val="13"/>
                <w:szCs w:val="13"/>
                <w:color w:val="auto"/>
              </w:rPr>
              <w:t>Other comprehensive income, net</w:t>
            </w:r>
          </w:p>
        </w:tc>
        <w:tc>
          <w:tcPr>
            <w:tcW w:w="128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w:t>
            </w:r>
          </w:p>
        </w:tc>
        <w:tc>
          <w:tcPr>
            <w:tcW w:w="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0"/>
              <w:spacing w:after="0"/>
              <w:rPr>
                <w:sz w:val="20"/>
                <w:szCs w:val="20"/>
                <w:color w:val="auto"/>
              </w:rPr>
            </w:pPr>
            <w:r>
              <w:rPr>
                <w:rFonts w:ascii="Arial" w:cs="Arial" w:eastAsia="Arial" w:hAnsi="Arial"/>
                <w:sz w:val="13"/>
                <w:szCs w:val="13"/>
                <w:color w:val="auto"/>
              </w:rPr>
              <w:t>Balance at September 30, 2024</w:t>
            </w:r>
          </w:p>
        </w:tc>
        <w:tc>
          <w:tcPr>
            <w:tcW w:w="1160" w:type="dxa"/>
            <w:vAlign w:val="bottom"/>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760" w:type="dxa"/>
            <w:vAlign w:val="bottom"/>
            <w:gridSpan w:val="4"/>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453</w:t>
            </w:r>
          </w:p>
        </w:tc>
        <w:tc>
          <w:tcPr>
            <w:tcW w:w="20" w:type="dxa"/>
            <w:vAlign w:val="bottom"/>
          </w:tcPr>
          <w:p>
            <w:pPr>
              <w:spacing w:after="0"/>
              <w:rPr>
                <w:sz w:val="14"/>
                <w:szCs w:val="14"/>
                <w:color w:val="auto"/>
              </w:rPr>
            </w:pPr>
          </w:p>
        </w:tc>
        <w:tc>
          <w:tcPr>
            <w:tcW w:w="1280" w:type="dxa"/>
            <w:vAlign w:val="bottom"/>
            <w:gridSpan w:val="2"/>
          </w:tcPr>
          <w:p>
            <w:pPr>
              <w:jc w:val="right"/>
              <w:ind w:right="1063"/>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STATEMENTS OF CASH FLOWS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tcPr>
          <w:p>
            <w:pPr>
              <w:spacing w:after="0"/>
              <w:rPr>
                <w:sz w:val="13"/>
                <w:szCs w:val="13"/>
                <w:color w:val="auto"/>
              </w:rPr>
            </w:pPr>
          </w:p>
        </w:tc>
        <w:tc>
          <w:tcPr>
            <w:tcW w:w="2660" w:type="dxa"/>
            <w:vAlign w:val="bottom"/>
            <w:tcBorders>
              <w:bottom w:val="single" w:sz="8" w:color="auto"/>
            </w:tcBorders>
            <w:gridSpan w:val="4"/>
          </w:tcPr>
          <w:p>
            <w:pPr>
              <w:jc w:val="center"/>
              <w:ind w:left="460"/>
              <w:spacing w:after="0"/>
              <w:rPr>
                <w:sz w:val="20"/>
                <w:szCs w:val="20"/>
                <w:color w:val="auto"/>
              </w:rPr>
            </w:pPr>
            <w:r>
              <w:rPr>
                <w:rFonts w:ascii="Arial" w:cs="Arial" w:eastAsia="Arial" w:hAnsi="Arial"/>
                <w:sz w:val="11"/>
                <w:szCs w:val="11"/>
                <w:b w:val="1"/>
                <w:bCs w:val="1"/>
                <w:color w:val="auto"/>
              </w:rPr>
              <w:t>Nine Months Ended September 30,</w:t>
            </w:r>
          </w:p>
        </w:tc>
        <w:tc>
          <w:tcPr>
            <w:tcW w:w="500" w:type="dxa"/>
            <w:vAlign w:val="bottom"/>
            <w:tcBorders>
              <w:bottom w:val="single" w:sz="8" w:color="auto"/>
            </w:tcBorders>
          </w:tcPr>
          <w:p>
            <w:pPr>
              <w:spacing w:after="0"/>
              <w:rPr>
                <w:sz w:val="13"/>
                <w:szCs w:val="13"/>
                <w:color w:val="auto"/>
              </w:rPr>
            </w:pPr>
          </w:p>
        </w:tc>
      </w:tr>
      <w:tr>
        <w:trPr>
          <w:trHeight w:val="150"/>
        </w:trPr>
        <w:tc>
          <w:tcPr>
            <w:tcW w:w="8080" w:type="dxa"/>
            <w:vAlign w:val="bottom"/>
          </w:tcPr>
          <w:p>
            <w:pPr>
              <w:spacing w:after="0"/>
              <w:rPr>
                <w:sz w:val="13"/>
                <w:szCs w:val="1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r>
      <w:tr>
        <w:trPr>
          <w:trHeight w:val="144"/>
        </w:trPr>
        <w:tc>
          <w:tcPr>
            <w:tcW w:w="8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gridSpan w:val="3"/>
          </w:tcPr>
          <w:p>
            <w:pPr>
              <w:jc w:val="center"/>
              <w:ind w:right="439"/>
              <w:spacing w:after="0"/>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2"/>
                <w:szCs w:val="12"/>
                <w:color w:val="auto"/>
              </w:rPr>
            </w:pPr>
          </w:p>
        </w:tc>
      </w:tr>
      <w:tr>
        <w:trPr>
          <w:trHeight w:val="144"/>
        </w:trPr>
        <w:tc>
          <w:tcPr>
            <w:tcW w:w="8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gridSpan w:val="3"/>
          </w:tcPr>
          <w:p>
            <w:pPr>
              <w:jc w:val="center"/>
              <w:ind w:right="419"/>
              <w:spacing w:after="0"/>
              <w:rPr>
                <w:sz w:val="20"/>
                <w:szCs w:val="20"/>
                <w:color w:val="auto"/>
              </w:rPr>
            </w:pPr>
            <w:r>
              <w:rPr>
                <w:rFonts w:ascii="Arial" w:cs="Arial" w:eastAsia="Arial" w:hAnsi="Arial"/>
                <w:sz w:val="11"/>
                <w:szCs w:val="11"/>
                <w:b w:val="1"/>
                <w:bCs w:val="1"/>
                <w:color w:val="auto"/>
              </w:rPr>
              <w:t>(Unaudited)</w:t>
            </w:r>
          </w:p>
        </w:tc>
        <w:tc>
          <w:tcPr>
            <w:tcW w:w="500" w:type="dxa"/>
            <w:vAlign w:val="bottom"/>
          </w:tcPr>
          <w:p>
            <w:pPr>
              <w:spacing w:after="0"/>
              <w:rPr>
                <w:sz w:val="12"/>
                <w:szCs w:val="12"/>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activities: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69"/>
        </w:trPr>
        <w:tc>
          <w:tcPr>
            <w:tcW w:w="8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00" w:type="dxa"/>
            <w:vAlign w:val="bottom"/>
          </w:tcPr>
          <w:p>
            <w:pPr>
              <w:jc w:val="right"/>
              <w:ind w:right="8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1020" w:type="dxa"/>
            <w:vAlign w:val="bottom"/>
          </w:tcPr>
          <w:p>
            <w:pPr>
              <w:jc w:val="right"/>
              <w:ind w:right="879"/>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928</w:t>
            </w:r>
          </w:p>
        </w:tc>
      </w:tr>
      <w:tr>
        <w:trPr>
          <w:trHeight w:val="17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(used in) provided by operating activities: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Medical claims and benefits payable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Amounts due government agencies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 accrued liabilities and other</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7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59"/>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(used in) provided by operating activities</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w:t>
            </w:r>
          </w:p>
        </w:tc>
      </w:tr>
      <w:tr>
        <w:trPr>
          <w:trHeight w:val="151"/>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Investing activities:</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Purchases of investments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(989)</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sales and maturities of investments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Net cash paid in business combinations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(344)</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property, equipment and capitalized software</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69"/>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net</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r>
      <w:tr>
        <w:trPr>
          <w:trHeight w:val="162"/>
        </w:trPr>
        <w:tc>
          <w:tcPr>
            <w:tcW w:w="8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investing activities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w:t>
            </w:r>
          </w:p>
        </w:tc>
      </w:tr>
      <w:tr>
        <w:trPr>
          <w:trHeight w:val="149"/>
        </w:trPr>
        <w:tc>
          <w:tcPr>
            <w:tcW w:w="8080" w:type="dxa"/>
            <w:vAlign w:val="bottom"/>
          </w:tcPr>
          <w:p>
            <w:pPr>
              <w:ind w:left="20"/>
              <w:spacing w:after="0" w:line="148" w:lineRule="exact"/>
              <w:rPr>
                <w:sz w:val="20"/>
                <w:szCs w:val="20"/>
                <w:color w:val="auto"/>
              </w:rPr>
            </w:pPr>
            <w:r>
              <w:rPr>
                <w:rFonts w:ascii="Arial" w:cs="Arial" w:eastAsia="Arial" w:hAnsi="Arial"/>
                <w:sz w:val="13"/>
                <w:szCs w:val="13"/>
                <w:color w:val="auto"/>
              </w:rPr>
              <w:t>Financing activities:</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borrowings under credit facility and term loans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Common stock purchases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credit facility and term loans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Common stock withheld to settle employee tax obligations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net</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59"/>
        </w:trPr>
        <w:tc>
          <w:tcPr>
            <w:tcW w:w="8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w:t>
            </w:r>
          </w:p>
        </w:tc>
      </w:tr>
      <w:tr>
        <w:trPr>
          <w:trHeight w:val="162"/>
        </w:trPr>
        <w:tc>
          <w:tcPr>
            <w:tcW w:w="8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decrease in cash, cash equivalents, and restricted cash and cash equivalents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6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and cash equivalents at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4,741</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4,908</w:t>
            </w:r>
          </w:p>
        </w:tc>
      </w:tr>
      <w:tr>
        <w:trPr>
          <w:trHeight w:val="18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and cash equivalents at end of period</w:t>
            </w:r>
          </w:p>
        </w:tc>
        <w:tc>
          <w:tcPr>
            <w:tcW w:w="100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4,324</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NOTES TO CONSOLIDATED FINANCIAL STATEMENTS (UNAUDITED)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SEPTEMBER 30, 2025</w:t>
      </w:r>
    </w:p>
    <w:p>
      <w:pPr>
        <w:spacing w:after="0" w:line="285" w:lineRule="exact"/>
        <w:rPr>
          <w:sz w:val="20"/>
          <w:szCs w:val="20"/>
          <w:color w:val="auto"/>
        </w:rPr>
      </w:pPr>
    </w:p>
    <w:p>
      <w:pPr>
        <w:ind w:right="8480" w:firstLine="5"/>
        <w:spacing w:after="0" w:line="379" w:lineRule="auto"/>
        <w:tabs>
          <w:tab w:leader="none" w:pos="157" w:val="left"/>
        </w:tabs>
        <w:numPr>
          <w:ilvl w:val="0"/>
          <w:numId w:val="3"/>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Organization and Basis of Presentation </w:t>
      </w:r>
      <w:r>
        <w:rPr>
          <w:rFonts w:ascii="Arial" w:cs="Arial" w:eastAsia="Arial" w:hAnsi="Arial"/>
          <w:sz w:val="14"/>
          <w:szCs w:val="14"/>
          <w:b w:val="1"/>
          <w:bCs w:val="1"/>
          <w:i w:val="1"/>
          <w:iCs w:val="1"/>
          <w:color w:val="000000"/>
        </w:rPr>
        <w:t>Organization and Operations</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2025, we served approximately 5.6 million members eligible for government-sponsored healthcare programs, located across 21 states.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Our state Medicaid contracts typically have terms of three years to five years, contain renewal options exercisable by the state Medicaid agency, and allow either the state or the health plan to terminate the contract with or without cause. Such contracts are subject to risk of loss in states that issue requests for proposal (“RFP”) open to competitive bidding by other health plans. If one of our health plans is not a successful responsive bidder to a state RFP, its contract may not be renewed.</w:t>
      </w:r>
    </w:p>
    <w:p>
      <w:pPr>
        <w:spacing w:after="0" w:line="49"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In Medicare, we enter into Medicare Advantage-Part D contracts with the Centers for Medicare and Medicaid Services (“CMS”) annually, and for dual-eligible programs, we enter into contracts with CMS, in partnership with each state’s department of health and human services. Such contracts typically have terms of one year to three years.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 Marketplace, we enter into contracts with CMS, which end on December 31 of each year, and must be renewed annually.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and Interim Financial Information</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consolidated financial statements include the accounts of Molina Healthcare, Inc. and its subsidiaries. In the opinion of management, these financial statements reflect all normal recurring adjustments, which are considered necessary for a fair presentation of the results as of the dates and for the interim periods presented. All significant intercompany balances and transactions have been eliminated. The consolidated results of operations for the nine months ended September 30, 2025 are not necessarily indicative of the results for the entire year ending December 31, 2025.</w:t>
      </w:r>
    </w:p>
    <w:p>
      <w:pPr>
        <w:spacing w:after="0" w:line="5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2024. Accordingly, certain disclosures that would substantially duplicate the disclosures contained in our December 31, 2024, audited consolidated financial statements have been omitted.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2"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40" w:lineRule="exact"/>
        <w:rPr>
          <w:sz w:val="20"/>
          <w:szCs w:val="20"/>
          <w:color w:val="auto"/>
        </w:rPr>
      </w:pPr>
    </w:p>
    <w:p>
      <w:pPr>
        <w:ind w:right="9000" w:firstLine="5"/>
        <w:spacing w:after="0" w:line="379" w:lineRule="auto"/>
        <w:tabs>
          <w:tab w:leader="none" w:pos="157" w:val="left"/>
        </w:tabs>
        <w:numPr>
          <w:ilvl w:val="0"/>
          <w:numId w:val="4"/>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Significant Accounting Policies </w:t>
      </w:r>
      <w:r>
        <w:rPr>
          <w:rFonts w:ascii="Arial" w:cs="Arial" w:eastAsia="Arial" w:hAnsi="Arial"/>
          <w:sz w:val="14"/>
          <w:szCs w:val="14"/>
          <w:b w:val="1"/>
          <w:bCs w:val="1"/>
          <w:i w:val="1"/>
          <w:iCs w:val="1"/>
          <w:color w:val="000000"/>
        </w:rPr>
        <w:t>Cash and Cash Equivalents</w:t>
      </w:r>
    </w:p>
    <w:p>
      <w:pPr>
        <w:spacing w:after="0" w:line="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and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September 30,</w:t>
            </w:r>
          </w:p>
        </w:tc>
        <w:tc>
          <w:tcPr>
            <w:tcW w:w="960" w:type="dxa"/>
            <w:vAlign w:val="bottom"/>
            <w:tcBorders>
              <w:bottom w:val="single" w:sz="8" w:color="auto"/>
            </w:tcBorders>
          </w:tcPr>
          <w:p>
            <w:pPr>
              <w:spacing w:after="0"/>
              <w:rPr>
                <w:sz w:val="13"/>
                <w:szCs w:val="13"/>
                <w:color w:val="auto"/>
              </w:rPr>
            </w:pPr>
          </w:p>
        </w:tc>
      </w:tr>
      <w:tr>
        <w:trPr>
          <w:trHeight w:val="150"/>
        </w:trPr>
        <w:tc>
          <w:tcPr>
            <w:tcW w:w="8320" w:type="dxa"/>
            <w:vAlign w:val="bottom"/>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2024</w:t>
            </w:r>
          </w:p>
        </w:tc>
      </w:tr>
      <w:tr>
        <w:trPr>
          <w:trHeight w:val="182"/>
        </w:trPr>
        <w:tc>
          <w:tcPr>
            <w:tcW w:w="8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3"/>
          </w:tcPr>
          <w:p>
            <w:pPr>
              <w:jc w:val="right"/>
              <w:ind w:right="136"/>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5"/>
                <w:szCs w:val="15"/>
                <w:color w:val="auto"/>
              </w:rPr>
            </w:pP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4,732</w:t>
            </w:r>
          </w:p>
        </w:tc>
      </w:tr>
      <w:tr>
        <w:trPr>
          <w:trHeight w:val="16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18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cash, cash equivalents, and restricted cash and cash equivalents presented in the consolidated statements of cash flows</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Receivables</w:t>
      </w:r>
    </w:p>
    <w:p>
      <w:pPr>
        <w:spacing w:after="0" w:line="9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Receivables consist primarily of premium amounts due from government agencies, which are subject to potential retroactive adjustments, as well as pharmacy rebates and other receivables. Government receivables amounted to $ 2,241 million and $ 2,223 million at September 30, 2025 and December 31, 2024, respectively. We apply the current expected credit loss model to measure expected credit losses on our receivables based on available information about past events and reasonable and supportable forecasts.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Revenue Recognition and Amounts Due Government Agencies</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 State Medicaid programs and the federal Medicare program periodically adjust premium rates, including certain components of premium revenue that are subject to accounting estimates and are described below, and in our 2024 Annual Report on Form 10-K, Note 2, “Significant Accounting Policies,” under “Premium Revenue Recognition and Amounts Due Government Agencies,” and “Quality Incentives.”</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i w:val="1"/>
          <w:iCs w:val="1"/>
          <w:color w:val="auto"/>
        </w:rPr>
        <w:t xml:space="preserve">Minimum MLR, Medical Cost Corridors and Profit Sharing. </w:t>
      </w:r>
      <w:r>
        <w:rPr>
          <w:rFonts w:ascii="Arial" w:cs="Arial" w:eastAsia="Arial" w:hAnsi="Arial"/>
          <w:sz w:val="14"/>
          <w:szCs w:val="14"/>
          <w:color w:val="auto"/>
        </w:rPr>
        <w:t>A portion of our Medicaid premium revenue may be returned if certain minimum amounts are not spent on defined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medical care costs as a percentage of premium revenue, or minimum medical loss ratio (“Minimum MLR”). Under certain medical cost corridor provisions, the health plans may receive additional premiums if amounts spent on medical care costs exceed a defined maximum threshold. This includes remaining risk corridors that were enacted by various states in 2020 in response to the reduced demand for medical services stemming from COVID-19. Our contracts with certain states contain profit sharing provisions under which we refund amounts to the states if our health plans generate profit above a certain specified percentage. In some cases, we are limited in the amount of administrative costs that we may deduct in calculating the refund, if any. We recorded aggregate liabilities under the terms of such contract provisions of $641 million and $1,006 million at September 30, 2025 and December 31, 2024, respectively, to “Amounts due government agencies” in the accompanying consolidated balance sheets.</w:t>
      </w:r>
    </w:p>
    <w:p>
      <w:pPr>
        <w:spacing w:after="0" w:line="5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Affordable Care Act (“ACA”) established a Minimum MLR of 85% for Medicare. Federal regulations define what constitutes medical costs and premium revenue. If the Minimum MLR is not met, we may be required to pay rebates to the federal government. Our dual-eligible plans may also be subject to state-specific Minimum MLRs, medical cost corridors, and profit-sharing provisions. We recognize estimated rebates as an adjustment to premium revenue in our consolidated statements of income. We recorded a liability under the terms of such contract provisions of $38 million and $32 million at September 30, 2025 and December 31, 2024, respectively, to “Amounts due government agencies” in the accompanying consolidated balance sheets.</w:t>
      </w:r>
    </w:p>
    <w:p>
      <w:pPr>
        <w:spacing w:after="0" w:line="5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ACA established a Minimum MLR of 80% for the Marketplace. If the Minimum MLR is not met, we may be required to pay rebates to our Marketplace policyholders. The Marketplace risk adjustment program discussed below is taken into consideration when computing the Minimum MLR. We recognize estimated rebates under the Minimum MLR as an adjustment to premium revenue in our consolidated statements of income. We recorded a liability under the terms of such contract provisions of $18 million and $30 million at September 30, 2025 and December 31, 2024, respectively, to “Amounts due government agencies” in the accompanying consolidated balance sheets.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b w:val="1"/>
          <w:bCs w:val="1"/>
          <w:i w:val="1"/>
          <w:iCs w:val="1"/>
          <w:color w:val="auto"/>
        </w:rPr>
        <w:t xml:space="preserve">Risk Adjustment. </w:t>
      </w:r>
      <w:r>
        <w:rPr>
          <w:rFonts w:ascii="Arial" w:cs="Arial" w:eastAsia="Arial" w:hAnsi="Arial"/>
          <w:sz w:val="14"/>
          <w:szCs w:val="14"/>
          <w:color w:val="auto"/>
        </w:rPr>
        <w:t>Our Medicare premiums are subject to retroactive increase or decrease based on the health status of our Medicare members (as measured by member risk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score). We estimate our members’ risk scores and the related amount of Medicare revenue that will ultimately be realized for the periods presented based on our knowledge of our members’ health status, risk scores and CMS practices. We also estimate amounts owed to CMS for Part D settlements. We recorded a liability under the terms of such contract provisions of $128 million and $115 million at September 30, 2025 and December 31, 2024, respectively, to “Amounts due government agencies” in the accompanying consolidated balance sheets.</w:t>
      </w:r>
    </w:p>
    <w:p>
      <w:pPr>
        <w:spacing w:after="0" w:line="55"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Under this program for our Marketplace business, our health plans’ composite risk scores are compared with the overall average risk score for the 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2025, Marketplace risk adjustment payables amounted to $353 million and related receivables amounted to $183 million, for a net payable of $170 million. As of December 31, 2024, Marketplace risk adjustment payables amounted to $290 million and related receivables amounted to $192 million, for a net payable of $98 million.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Premium Deficiency Reserve on Loss Contracts</w:t>
      </w:r>
    </w:p>
    <w:p>
      <w:pPr>
        <w:spacing w:after="0" w:line="9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assess the profitability of our contracts to determine if it is probable that a loss will be incurred in the future by reviewing current results and forecasts. For purposes of this assessment, contracts are grouped in a manner consistent with our method of acquiring, servicing and measuring the profitability of such contracts. A premium deficiency reserve (“PDR”) is recognized if anticipated future medical care and administrative costs exceed anticipated future premium revenue, investment income and reinsurance recoveries.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U.S. Treasury securities, and corporate debt securities. Concentration of credit risk with respect to accounts receivable is limited because our payors consist principally of the federal government, and governments of each state in which our health plan subsidiaries operate.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2"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The provision for income taxes is determined using an estimated annual effective tax rate, which generally differs from the U.S. federal statutory rate primarily because of tax credits, state taxes, and nondeductible expenses such as certain compensation and other general and administrative expenses.</w:t>
      </w:r>
    </w:p>
    <w:p>
      <w:pPr>
        <w:spacing w:after="0" w:line="35"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 xml:space="preserve">In September 2025, the Financial Accounting Standards Board issued Accounting Standards Update (“ASU”) 2025-06, </w:t>
      </w:r>
      <w:r>
        <w:rPr>
          <w:rFonts w:ascii="Arial" w:cs="Arial" w:eastAsia="Arial" w:hAnsi="Arial"/>
          <w:sz w:val="14"/>
          <w:szCs w:val="14"/>
          <w:i w:val="1"/>
          <w:iCs w:val="1"/>
          <w:color w:val="auto"/>
        </w:rPr>
        <w:t>Targeted Improvements to the Accounting for Internal-Use</w:t>
      </w:r>
      <w:r>
        <w:rPr>
          <w:rFonts w:ascii="Arial" w:cs="Arial" w:eastAsia="Arial" w:hAnsi="Arial"/>
          <w:sz w:val="14"/>
          <w:szCs w:val="14"/>
          <w:color w:val="auto"/>
        </w:rPr>
        <w:t xml:space="preserve"> </w:t>
      </w:r>
      <w:r>
        <w:rPr>
          <w:rFonts w:ascii="Arial" w:cs="Arial" w:eastAsia="Arial" w:hAnsi="Arial"/>
          <w:sz w:val="14"/>
          <w:szCs w:val="14"/>
          <w:i w:val="1"/>
          <w:iCs w:val="1"/>
          <w:color w:val="auto"/>
        </w:rPr>
        <w:t>Software</w:t>
      </w:r>
      <w:r>
        <w:rPr>
          <w:rFonts w:ascii="Arial" w:cs="Arial" w:eastAsia="Arial" w:hAnsi="Arial"/>
          <w:sz w:val="14"/>
          <w:szCs w:val="14"/>
          <w:color w:val="auto"/>
        </w:rPr>
        <w:t>, which modernizes the accounting for internal-use software costs to better align with the way that software is currently developed. The update removes all reference to the</w:t>
      </w:r>
      <w:r>
        <w:rPr>
          <w:rFonts w:ascii="Arial" w:cs="Arial" w:eastAsia="Arial" w:hAnsi="Arial"/>
          <w:sz w:val="14"/>
          <w:szCs w:val="14"/>
          <w:i w:val="1"/>
          <w:iCs w:val="1"/>
          <w:color w:val="auto"/>
        </w:rPr>
        <w:t xml:space="preserve"> </w:t>
      </w:r>
      <w:r>
        <w:rPr>
          <w:rFonts w:ascii="Arial" w:cs="Arial" w:eastAsia="Arial" w:hAnsi="Arial"/>
          <w:sz w:val="14"/>
          <w:szCs w:val="14"/>
          <w:color w:val="auto"/>
        </w:rPr>
        <w:t>project stages of software development and establishes two criteria that must be met to begin capitalizing software costs. ASU 2025-06 is effective for annual reporting beginning with the fiscal year ending December 31, 2028, and for interim periods therein. It can be adopted using a prospective, modified, or retrospective approach, and early adoption is permitted. We are currently evaluating the impact of the update to our consolidated financial statements.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Other recent accounting pronouncements issued by the Financial Accounting Standards Board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3. Net Income Per Share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calculation of basic and diluted net income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3380" w:type="dxa"/>
            <w:vAlign w:val="bottom"/>
            <w:gridSpan w:val="6"/>
          </w:tcPr>
          <w:p>
            <w:pPr>
              <w:ind w:left="68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3"/>
                <w:szCs w:val="13"/>
                <w:color w:val="auto"/>
              </w:rPr>
            </w:pPr>
          </w:p>
        </w:tc>
        <w:tc>
          <w:tcPr>
            <w:tcW w:w="2920" w:type="dxa"/>
            <w:vAlign w:val="bottom"/>
            <w:gridSpan w:val="4"/>
          </w:tcPr>
          <w:p>
            <w:pPr>
              <w:jc w:val="right"/>
              <w:ind w:right="65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40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2024</w:t>
            </w:r>
          </w:p>
        </w:tc>
      </w:tr>
      <w:tr>
        <w:trPr>
          <w:trHeight w:val="182"/>
        </w:trPr>
        <w:tc>
          <w:tcPr>
            <w:tcW w:w="4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5"/>
          </w:tcPr>
          <w:p>
            <w:pPr>
              <w:ind w:left="240"/>
              <w:spacing w:after="0"/>
              <w:rPr>
                <w:sz w:val="20"/>
                <w:szCs w:val="20"/>
                <w:color w:val="auto"/>
              </w:rPr>
            </w:pPr>
            <w:r>
              <w:rPr>
                <w:rFonts w:ascii="Arial" w:cs="Arial" w:eastAsia="Arial" w:hAnsi="Arial"/>
                <w:sz w:val="11"/>
                <w:szCs w:val="11"/>
                <w:b w:val="1"/>
                <w:bCs w:val="1"/>
                <w:color w:val="auto"/>
              </w:rPr>
              <w:t>(In millions, except net income per share)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Numerator:</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44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auto"/>
            </w:tcBorders>
          </w:tcPr>
          <w:p>
            <w:pPr>
              <w:jc w:val="right"/>
              <w:ind w:right="95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1"/>
        </w:trPr>
        <w:tc>
          <w:tcPr>
            <w:tcW w:w="440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i w:val="1"/>
                <w:iCs w:val="1"/>
                <w:color w:val="auto"/>
              </w:rPr>
              <w:t>Denominator:</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Shares outstanding at the beginning of the period</w:t>
            </w:r>
          </w:p>
        </w:tc>
        <w:tc>
          <w:tcPr>
            <w:tcW w:w="1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57.8</w:t>
            </w: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number of shares issued:</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40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71"/>
        </w:trPr>
        <w:tc>
          <w:tcPr>
            <w:tcW w:w="4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purchases</w:t>
            </w:r>
          </w:p>
        </w:tc>
        <w:tc>
          <w:tcPr>
            <w:tcW w:w="1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59"/>
        </w:trPr>
        <w:tc>
          <w:tcPr>
            <w:tcW w:w="4400" w:type="dxa"/>
            <w:vAlign w:val="bottom"/>
          </w:tcPr>
          <w:p>
            <w:pPr>
              <w:ind w:left="20"/>
              <w:spacing w:after="0"/>
              <w:rPr>
                <w:sz w:val="20"/>
                <w:szCs w:val="20"/>
                <w:color w:val="auto"/>
              </w:rPr>
            </w:pPr>
            <w:r>
              <w:rPr>
                <w:rFonts w:ascii="Arial" w:cs="Arial" w:eastAsia="Arial" w:hAnsi="Arial"/>
                <w:sz w:val="13"/>
                <w:szCs w:val="13"/>
                <w:color w:val="auto"/>
              </w:rPr>
              <w:t>Denominator for basic net income per share</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57.8</w:t>
            </w:r>
          </w:p>
        </w:tc>
      </w:tr>
      <w:tr>
        <w:trPr>
          <w:trHeight w:val="171"/>
        </w:trPr>
        <w:tc>
          <w:tcPr>
            <w:tcW w:w="440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Effect of dilutive securities: </w:t>
            </w:r>
            <w:r>
              <w:rPr>
                <w:rFonts w:ascii="Arial" w:cs="Arial" w:eastAsia="Arial" w:hAnsi="Arial"/>
                <w:sz w:val="16"/>
                <w:szCs w:val="16"/>
                <w:color w:val="auto"/>
                <w:vertAlign w:val="superscript"/>
              </w:rPr>
              <w:t>(1)</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400" w:type="dxa"/>
            <w:vAlign w:val="bottom"/>
          </w:tcPr>
          <w:p>
            <w:pPr>
              <w:ind w:left="120"/>
              <w:spacing w:after="0"/>
              <w:rPr>
                <w:sz w:val="20"/>
                <w:szCs w:val="20"/>
                <w:color w:val="auto"/>
              </w:rPr>
            </w:pPr>
            <w:r>
              <w:rPr>
                <w:rFonts w:ascii="Arial" w:cs="Arial" w:eastAsia="Arial" w:hAnsi="Arial"/>
                <w:sz w:val="13"/>
                <w:szCs w:val="13"/>
                <w:color w:val="auto"/>
              </w:rPr>
              <w:t>Stock-based compensation</w:t>
            </w:r>
          </w:p>
        </w:tc>
        <w:tc>
          <w:tcPr>
            <w:tcW w:w="1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87"/>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Denominator for diluted net income per share</w:t>
            </w:r>
          </w:p>
        </w:tc>
        <w:tc>
          <w:tcPr>
            <w:tcW w:w="112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5"/>
        </w:trPr>
        <w:tc>
          <w:tcPr>
            <w:tcW w:w="440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Net income per share - Basic </w:t>
            </w:r>
            <w:r>
              <w:rPr>
                <w:rFonts w:ascii="Arial" w:cs="Arial" w:eastAsia="Arial" w:hAnsi="Arial"/>
                <w:sz w:val="16"/>
                <w:szCs w:val="16"/>
                <w:color w:val="auto"/>
                <w:vertAlign w:val="superscript"/>
              </w:rPr>
              <w:t>(2)</w:t>
            </w:r>
          </w:p>
        </w:tc>
        <w:tc>
          <w:tcPr>
            <w:tcW w:w="112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16.05</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400" w:type="dxa"/>
            <w:vAlign w:val="bottom"/>
          </w:tcPr>
          <w:p>
            <w:pPr>
              <w:ind w:left="20"/>
              <w:spacing w:after="0" w:line="132" w:lineRule="exact"/>
              <w:rPr>
                <w:sz w:val="20"/>
                <w:szCs w:val="20"/>
                <w:color w:val="auto"/>
              </w:rPr>
            </w:pPr>
            <w:r>
              <w:rPr>
                <w:rFonts w:ascii="Arial" w:cs="Arial" w:eastAsia="Arial" w:hAnsi="Arial"/>
                <w:sz w:val="12"/>
                <w:szCs w:val="12"/>
                <w:color w:val="auto"/>
              </w:rPr>
              <w:t xml:space="preserve">Net income per share - Diluted </w:t>
            </w:r>
            <w:r>
              <w:rPr>
                <w:rFonts w:ascii="Arial" w:cs="Arial" w:eastAsia="Arial" w:hAnsi="Arial"/>
                <w:sz w:val="15"/>
                <w:szCs w:val="15"/>
                <w:color w:val="auto"/>
                <w:vertAlign w:val="superscript"/>
              </w:rPr>
              <w:t>(2)</w:t>
            </w:r>
          </w:p>
        </w:tc>
        <w:tc>
          <w:tcPr>
            <w:tcW w:w="1120" w:type="dxa"/>
            <w:vAlign w:val="bottom"/>
            <w:tcBorders>
              <w:bottom w:val="single" w:sz="8" w:color="auto"/>
            </w:tcBorders>
          </w:tcPr>
          <w:p>
            <w:pPr>
              <w:jc w:val="right"/>
              <w:ind w:right="959"/>
              <w:spacing w:after="0" w:line="133"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1.51</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5.65</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11.79</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15.97</w:t>
            </w:r>
          </w:p>
        </w:tc>
      </w:tr>
      <w:tr>
        <w:trPr>
          <w:trHeight w:val="20"/>
        </w:trPr>
        <w:tc>
          <w:tcPr>
            <w:tcW w:w="4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260" w:hanging="255"/>
        <w:spacing w:after="0" w:line="250" w:lineRule="auto"/>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dilutive effect of all potentially dilutive common shares is calculated using the treasury stock method. Certain potentially dilutive common shares issuable are not included in the computation of diluted net income per share because to do so would be anti-dilutive. For the three and nine months ended September 30, 2025, 532,000 and 265,000 shares were excluded from diluted shares outstanding. For the three and nine months ended September 30, 2024, 196,000 and 102,000 shares, respectively, were excluded from diluted shares outstanding.</w:t>
      </w:r>
    </w:p>
    <w:p>
      <w:pPr>
        <w:spacing w:after="0" w:line="1" w:lineRule="exact"/>
        <w:rPr>
          <w:rFonts w:ascii="Arial" w:cs="Arial" w:eastAsia="Arial" w:hAnsi="Arial"/>
          <w:sz w:val="13"/>
          <w:szCs w:val="13"/>
          <w:color w:val="auto"/>
        </w:rPr>
      </w:pPr>
    </w:p>
    <w:p>
      <w:pPr>
        <w:ind w:left="300" w:hanging="295"/>
        <w:spacing w:after="0"/>
        <w:tabs>
          <w:tab w:leader="none" w:pos="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data for calculations in thousands.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4. Business Combinations</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i w:val="1"/>
          <w:iCs w:val="1"/>
          <w:color w:val="auto"/>
        </w:rPr>
        <w:t xml:space="preserve">ConnectiCare. </w:t>
      </w:r>
      <w:r>
        <w:rPr>
          <w:rFonts w:ascii="Arial" w:cs="Arial" w:eastAsia="Arial" w:hAnsi="Arial"/>
          <w:sz w:val="14"/>
          <w:szCs w:val="14"/>
          <w:color w:val="auto"/>
        </w:rPr>
        <w:t>Effective February 1, 2025, we closed on our acquisition of 100% of the issued and outstanding capital stock of ConnectiCare Holding Company, Inc.</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(“ConnectiCare”) for $350 million in cash. For this transaction, we applied the acquisition method of accounting, where the total purchase price was preliminarily allocated to the tangible and intangible assets acquired and liabilities assumed, based on their fair values as of the acquisition date. The pro forma effects of this acquisition for prior periods were not material to our consolidated results of operations. Acquisition costs amounted to $3 million in the aggregate for the nine months ended September 30, 2025, and were recorded as “General and administrative expenses” in the accompanying consolidated statements of income.</w:t>
      </w:r>
    </w:p>
    <w:p>
      <w:pPr>
        <w:spacing w:after="0" w:line="5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valuation of the assets acquired and liabilities assumed has not yet been finalized. Further, the finalization of purchase price adjustments as provided in the stock purchase agreement is expected to occur in the first quarter of 2026. As a result, provisional estimates have been recorded and are subject to change, primarily for accounts that include the use of estimates, such as medical claims and benefits payable, receivables, amounts due government agencies, certain acquired intangible assets, and certain tax assets and liabilities.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Such assets include synergies we expect to achieve as a result of the transaction, such as the use of our existing infrastructure to support the added membership, and future economic benefits arising from the assembled workforce. Goodwill was assigned to the Medicare, Marketplace, and Other segments and is not deductible for income tax purposes. The following table summarizes the provisional fair values assigned to assets acquired and liabilities assumed,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 acquired:</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Current assets</w:t>
            </w:r>
          </w:p>
        </w:tc>
        <w:tc>
          <w:tcPr>
            <w:tcW w:w="600" w:type="dxa"/>
            <w:vAlign w:val="bottom"/>
          </w:tcPr>
          <w:p>
            <w:pPr>
              <w:jc w:val="right"/>
              <w:ind w:right="45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464</w:t>
            </w:r>
          </w:p>
        </w:tc>
      </w:tr>
      <w:tr>
        <w:trPr>
          <w:trHeight w:val="171"/>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1"/>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long-term assets</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70"/>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Medical claims and benefits payable</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r>
      <w:tr>
        <w:trPr>
          <w:trHeight w:val="169"/>
        </w:trPr>
        <w:tc>
          <w:tcPr>
            <w:tcW w:w="9860" w:type="dxa"/>
            <w:vAlign w:val="bottom"/>
          </w:tcPr>
          <w:p>
            <w:pPr>
              <w:ind w:left="100"/>
              <w:spacing w:after="0"/>
              <w:rPr>
                <w:sz w:val="20"/>
                <w:szCs w:val="20"/>
                <w:color w:val="auto"/>
              </w:rPr>
            </w:pPr>
            <w:r>
              <w:rPr>
                <w:rFonts w:ascii="Arial" w:cs="Arial" w:eastAsia="Arial" w:hAnsi="Arial"/>
                <w:sz w:val="13"/>
                <w:szCs w:val="13"/>
                <w:color w:val="auto"/>
              </w:rPr>
              <w:t>Amounts due government agencies</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0"/>
        </w:trPr>
        <w:tc>
          <w:tcPr>
            <w:tcW w:w="9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payable, accrued and other long-term liabilities</w:t>
            </w:r>
          </w:p>
        </w:tc>
        <w:tc>
          <w:tcPr>
            <w:tcW w:w="6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62"/>
        </w:trPr>
        <w:tc>
          <w:tcPr>
            <w:tcW w:w="9860" w:type="dxa"/>
            <w:vAlign w:val="bottom"/>
          </w:tcPr>
          <w:p>
            <w:pPr>
              <w:ind w:left="20"/>
              <w:spacing w:after="0"/>
              <w:rPr>
                <w:sz w:val="20"/>
                <w:szCs w:val="20"/>
                <w:color w:val="auto"/>
              </w:rPr>
            </w:pPr>
            <w:r>
              <w:rPr>
                <w:rFonts w:ascii="Arial" w:cs="Arial" w:eastAsia="Arial" w:hAnsi="Arial"/>
                <w:sz w:val="13"/>
                <w:szCs w:val="13"/>
                <w:b w:val="1"/>
                <w:bCs w:val="1"/>
                <w:color w:val="auto"/>
              </w:rPr>
              <w:t>Fair value of net assets acquired</w:t>
            </w: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r>
      <w:tr>
        <w:trPr>
          <w:trHeight w:val="20"/>
        </w:trPr>
        <w:tc>
          <w:tcPr>
            <w:tcW w:w="9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intangible assets acquired, by major class, for the ConnectiCare acquisition. The weighted-average amortization period, in the aggregate, is 9.8 years.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20" w:type="dxa"/>
            <w:vAlign w:val="bottom"/>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r>
      <w:tr>
        <w:trPr>
          <w:trHeight w:val="192"/>
        </w:trPr>
        <w:tc>
          <w:tcPr>
            <w:tcW w:w="8320" w:type="dxa"/>
            <w:vAlign w:val="bottom"/>
          </w:tcPr>
          <w:p>
            <w:pPr>
              <w:spacing w:after="0"/>
              <w:rPr>
                <w:sz w:val="16"/>
                <w:szCs w:val="16"/>
                <w:color w:val="auto"/>
              </w:rPr>
            </w:pPr>
          </w:p>
        </w:tc>
        <w:tc>
          <w:tcPr>
            <w:tcW w:w="1140" w:type="dxa"/>
            <w:vAlign w:val="bottom"/>
          </w:tcPr>
          <w:p>
            <w:pPr>
              <w:jc w:val="right"/>
              <w:ind w:right="4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rPr>
              <w:t>(Years)</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rights - member list</w:t>
            </w: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82"/>
              </w:rPr>
              <w:t>7</w:t>
            </w:r>
          </w:p>
        </w:tc>
      </w:tr>
      <w:tr>
        <w:trPr>
          <w:trHeight w:val="169"/>
        </w:trPr>
        <w:tc>
          <w:tcPr>
            <w:tcW w:w="8320" w:type="dxa"/>
            <w:vAlign w:val="bottom"/>
          </w:tcPr>
          <w:p>
            <w:pPr>
              <w:ind w:left="20"/>
              <w:spacing w:after="0"/>
              <w:rPr>
                <w:sz w:val="20"/>
                <w:szCs w:val="20"/>
                <w:color w:val="auto"/>
              </w:rPr>
            </w:pPr>
            <w:r>
              <w:rPr>
                <w:rFonts w:ascii="Arial" w:cs="Arial" w:eastAsia="Arial" w:hAnsi="Arial"/>
                <w:sz w:val="13"/>
                <w:szCs w:val="13"/>
                <w:color w:val="auto"/>
              </w:rPr>
              <w:t>Trade name</w:t>
            </w:r>
          </w:p>
        </w:tc>
        <w:tc>
          <w:tcPr>
            <w:tcW w:w="1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w:t>
            </w:r>
          </w:p>
        </w:tc>
        <w:tc>
          <w:tcPr>
            <w:tcW w:w="1520" w:type="dxa"/>
            <w:vAlign w:val="bottom"/>
            <w:gridSpan w:val="2"/>
          </w:tcPr>
          <w:p>
            <w:pPr>
              <w:jc w:val="center"/>
              <w:ind w:left="36"/>
              <w:spacing w:after="0"/>
              <w:rPr>
                <w:sz w:val="20"/>
                <w:szCs w:val="20"/>
                <w:color w:val="auto"/>
              </w:rPr>
            </w:pPr>
            <w:r>
              <w:rPr>
                <w:rFonts w:ascii="Arial" w:cs="Arial" w:eastAsia="Arial" w:hAnsi="Arial"/>
                <w:sz w:val="13"/>
                <w:szCs w:val="13"/>
                <w:color w:val="auto"/>
                <w:w w:val="96"/>
              </w:rPr>
              <w:t>15</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Provider network</w:t>
            </w:r>
          </w:p>
        </w:tc>
        <w:tc>
          <w:tcPr>
            <w:tcW w:w="11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520" w:type="dxa"/>
            <w:vAlign w:val="bottom"/>
            <w:gridSpan w:val="2"/>
            <w:shd w:val="clear" w:color="auto" w:fill="CCEEFF"/>
          </w:tcPr>
          <w:p>
            <w:pPr>
              <w:jc w:val="center"/>
              <w:ind w:left="36"/>
              <w:spacing w:after="0"/>
              <w:rPr>
                <w:sz w:val="20"/>
                <w:szCs w:val="20"/>
                <w:color w:val="auto"/>
              </w:rPr>
            </w:pPr>
            <w:r>
              <w:rPr>
                <w:rFonts w:ascii="Arial" w:cs="Arial" w:eastAsia="Arial" w:hAnsi="Arial"/>
                <w:sz w:val="13"/>
                <w:szCs w:val="13"/>
                <w:color w:val="auto"/>
                <w:w w:val="96"/>
              </w:rPr>
              <w:t>10</w:t>
            </w:r>
          </w:p>
        </w:tc>
      </w:tr>
      <w:tr>
        <w:trPr>
          <w:trHeight w:val="160"/>
        </w:trPr>
        <w:tc>
          <w:tcPr>
            <w:tcW w:w="8320" w:type="dxa"/>
            <w:vAlign w:val="bottom"/>
          </w:tcPr>
          <w:p>
            <w:pPr>
              <w:spacing w:after="0"/>
              <w:rPr>
                <w:sz w:val="13"/>
                <w:szCs w:val="13"/>
                <w:color w:val="auto"/>
              </w:rPr>
            </w:pPr>
          </w:p>
        </w:tc>
        <w:tc>
          <w:tcPr>
            <w:tcW w:w="1140" w:type="dxa"/>
            <w:vAlign w:val="bottom"/>
            <w:tcBorders>
              <w:bottom w:val="single" w:sz="8" w:color="auto"/>
            </w:tcBorders>
          </w:tcPr>
          <w:p>
            <w:pPr>
              <w:jc w:val="right"/>
              <w:ind w:right="1000"/>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8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5. Fair Value Measurements</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2024 Annual Report on Form 10-K, Note 5, “Fair Value Measurements.”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September 30, 2025,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Observable Inputs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Directly or Indirectly</w:t>
            </w:r>
          </w:p>
        </w:tc>
        <w:tc>
          <w:tcPr>
            <w:tcW w:w="14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Unobservable Inputs</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Observable Inputs</w:t>
            </w: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Total</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(Level 1)</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(Level 2)</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82"/>
        </w:trPr>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(In millions)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assets</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4,226</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Our financial instruments measured at fair value on a recurring basis at December 31, 2024,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Observable Inputs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Directly or Indirectly</w:t>
            </w:r>
          </w:p>
        </w:tc>
        <w:tc>
          <w:tcPr>
            <w:tcW w:w="14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Unobservable Inputs</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Observable Inputs</w:t>
            </w:r>
          </w:p>
        </w:tc>
        <w:tc>
          <w:tcPr>
            <w:tcW w:w="1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Total</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(Level 1)</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rPr>
              <w:t>(Level 2)</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20" w:type="dxa"/>
            <w:vAlign w:val="bottom"/>
            <w:gridSpan w:val="5"/>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2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20"/>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860" w:type="dxa"/>
            <w:vAlign w:val="bottom"/>
            <w:shd w:val="clear" w:color="auto" w:fill="CCEEFF"/>
          </w:tcPr>
          <w:p>
            <w:pPr>
              <w:ind w:left="180"/>
              <w:spacing w:after="0" w:line="141" w:lineRule="exact"/>
              <w:rPr>
                <w:sz w:val="20"/>
                <w:szCs w:val="20"/>
                <w:color w:val="auto"/>
              </w:rPr>
            </w:pPr>
            <w:r>
              <w:rPr>
                <w:rFonts w:ascii="Arial" w:cs="Arial" w:eastAsia="Arial" w:hAnsi="Arial"/>
                <w:sz w:val="13"/>
                <w:szCs w:val="13"/>
                <w:color w:val="auto"/>
              </w:rPr>
              <w:t>Total assets</w:t>
            </w:r>
          </w:p>
        </w:tc>
        <w:tc>
          <w:tcPr>
            <w:tcW w:w="1020" w:type="dxa"/>
            <w:vAlign w:val="bottom"/>
            <w:shd w:val="clear" w:color="auto" w:fill="CCEEFF"/>
          </w:tcPr>
          <w:p>
            <w:pPr>
              <w:jc w:val="right"/>
              <w:ind w:right="879"/>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4,325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120"/>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4,325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ind w:left="12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 Disclosure Only</w:t>
      </w:r>
    </w:p>
    <w:p>
      <w:pPr>
        <w:spacing w:after="0" w:line="92"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 2025</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2024</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02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Carrying</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vMerge w:val="restart"/>
          </w:tcPr>
          <w:p>
            <w:pPr>
              <w:jc w:val="right"/>
              <w:ind w:right="438"/>
              <w:spacing w:after="0"/>
              <w:rPr>
                <w:sz w:val="20"/>
                <w:szCs w:val="20"/>
                <w:color w:val="auto"/>
              </w:rPr>
            </w:pPr>
            <w:r>
              <w:rPr>
                <w:rFonts w:ascii="Arial" w:cs="Arial" w:eastAsia="Arial" w:hAnsi="Arial"/>
                <w:sz w:val="11"/>
                <w:szCs w:val="11"/>
                <w:b w:val="1"/>
                <w:bCs w:val="1"/>
                <w:color w:val="auto"/>
                <w:w w:val="98"/>
              </w:rPr>
              <w:t>Fair Value</w:t>
            </w:r>
          </w:p>
        </w:tc>
        <w:tc>
          <w:tcPr>
            <w:tcW w:w="10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Carrying</w:t>
            </w:r>
          </w:p>
        </w:tc>
        <w:tc>
          <w:tcPr>
            <w:tcW w:w="480" w:type="dxa"/>
            <w:vAlign w:val="bottom"/>
          </w:tcPr>
          <w:p>
            <w:pPr>
              <w:spacing w:after="0"/>
              <w:rPr>
                <w:sz w:val="9"/>
                <w:szCs w:val="9"/>
                <w:color w:val="auto"/>
              </w:rPr>
            </w:pPr>
          </w:p>
        </w:tc>
        <w:tc>
          <w:tcPr>
            <w:tcW w:w="1040" w:type="dxa"/>
            <w:vAlign w:val="bottom"/>
            <w:vMerge w:val="restart"/>
          </w:tcPr>
          <w:p>
            <w:pPr>
              <w:jc w:val="right"/>
              <w:ind w:right="437"/>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gridSpan w:val="3"/>
          </w:tcPr>
          <w:p>
            <w:pPr>
              <w:jc w:val="right"/>
              <w:ind w:right="76"/>
              <w:spacing w:after="0"/>
              <w:rPr>
                <w:sz w:val="20"/>
                <w:szCs w:val="20"/>
                <w:color w:val="auto"/>
              </w:rPr>
            </w:pPr>
            <w:r>
              <w:rPr>
                <w:rFonts w:ascii="Arial" w:cs="Arial" w:eastAsia="Arial" w:hAnsi="Arial"/>
                <w:sz w:val="11"/>
                <w:szCs w:val="11"/>
                <w:b w:val="1"/>
                <w:b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4.375% Notes due 2028</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3.875% Notes due 2030</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3.875% Notes due 2032</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6.250% Notes due 2033</w:t>
            </w: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741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Loans</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880" w:type="dxa"/>
            <w:vAlign w:val="bottom"/>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3,664</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3,559</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2,923</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2,726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0080" w:firstLine="5"/>
        <w:spacing w:after="0" w:line="379" w:lineRule="auto"/>
        <w:tabs>
          <w:tab w:leader="none" w:pos="157" w:val="left"/>
        </w:tabs>
        <w:numPr>
          <w:ilvl w:val="0"/>
          <w:numId w:val="6"/>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Investments </w:t>
      </w:r>
      <w:r>
        <w:rPr>
          <w:rFonts w:ascii="Arial" w:cs="Arial" w:eastAsia="Arial" w:hAnsi="Arial"/>
          <w:sz w:val="14"/>
          <w:szCs w:val="14"/>
          <w:b w:val="1"/>
          <w:bCs w:val="1"/>
          <w:i w:val="1"/>
          <w:iCs w:val="1"/>
          <w:color w:val="000000"/>
        </w:rPr>
        <w:t>Available-for-Sale</w:t>
      </w:r>
    </w:p>
    <w:p>
      <w:pPr>
        <w:spacing w:after="0"/>
        <w:rPr>
          <w:rFonts w:ascii="Arial" w:cs="Arial" w:eastAsia="Arial" w:hAnsi="Arial"/>
          <w:sz w:val="14"/>
          <w:szCs w:val="14"/>
          <w:b w:val="1"/>
          <w:bCs w:val="1"/>
          <w:color w:val="828282"/>
        </w:rPr>
      </w:pPr>
      <w:r>
        <w:rPr>
          <w:rFonts w:ascii="Arial" w:cs="Arial" w:eastAsia="Arial" w:hAnsi="Arial"/>
          <w:sz w:val="14"/>
          <w:szCs w:val="14"/>
          <w:color w:val="auto"/>
        </w:rPr>
        <w:t>We consider all of our investments classified as current assets to be available-for-sale. The following tables summarize our current investments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September 30, 2025</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81"/>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Gross Unrealized</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0"/>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Amortized Cost</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Losses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Estimated Fair Value</w:t>
            </w:r>
          </w:p>
        </w:tc>
      </w:tr>
      <w:tr>
        <w:trPr>
          <w:trHeight w:val="182"/>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996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982</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178</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87"/>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December 31, 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81"/>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Gross Unrealized</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50"/>
        </w:trPr>
        <w:tc>
          <w:tcPr>
            <w:tcW w:w="4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Amortized Cost</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Gains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Losses</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rPr>
              <w:t>Estimated Fair Value</w:t>
            </w:r>
          </w:p>
        </w:tc>
      </w:tr>
      <w:tr>
        <w:trPr>
          <w:trHeight w:val="182"/>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0"/>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2,744</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914</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71"/>
        </w:trPr>
        <w:tc>
          <w:tcPr>
            <w:tcW w:w="4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notes</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9"/>
        </w:trPr>
        <w:tc>
          <w:tcPr>
            <w:tcW w:w="4880" w:type="dxa"/>
            <w:vAlign w:val="bottom"/>
          </w:tcPr>
          <w:p>
            <w:pPr>
              <w:ind w:left="20"/>
              <w:spacing w:after="0"/>
              <w:rPr>
                <w:sz w:val="20"/>
                <w:szCs w:val="20"/>
                <w:color w:val="auto"/>
              </w:rPr>
            </w:pPr>
            <w:r>
              <w:rPr>
                <w:rFonts w:ascii="Arial" w:cs="Arial" w:eastAsia="Arial" w:hAnsi="Arial"/>
                <w:sz w:val="13"/>
                <w:szCs w:val="13"/>
                <w:color w:val="auto"/>
              </w:rPr>
              <w:t>Other</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87"/>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 contractual maturities of our current investments as of September 30, 2025 are summarized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restart"/>
          </w:tcPr>
          <w:p>
            <w:pPr>
              <w:jc w:val="right"/>
              <w:ind w:right="278"/>
              <w:spacing w:after="0"/>
              <w:rPr>
                <w:sz w:val="20"/>
                <w:szCs w:val="20"/>
                <w:color w:val="auto"/>
              </w:rPr>
            </w:pPr>
            <w:r>
              <w:rPr>
                <w:rFonts w:ascii="Arial" w:cs="Arial" w:eastAsia="Arial" w:hAnsi="Arial"/>
                <w:sz w:val="11"/>
                <w:szCs w:val="11"/>
                <w:b w:val="1"/>
                <w:bCs w:val="1"/>
                <w:color w:val="auto"/>
              </w:rPr>
              <w:t>Amortized Cost</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jc w:val="right"/>
              <w:ind w:right="438"/>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144"/>
        </w:trPr>
        <w:tc>
          <w:tcPr>
            <w:tcW w:w="8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81"/>
        </w:trPr>
        <w:tc>
          <w:tcPr>
            <w:tcW w:w="8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ind w:right="56"/>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in one year or less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69"/>
        </w:trPr>
        <w:tc>
          <w:tcPr>
            <w:tcW w:w="814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1,801</w:t>
            </w: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0" w:type="dxa"/>
            <w:vAlign w:val="bottom"/>
          </w:tcPr>
          <w:p>
            <w:pPr>
              <w:spacing w:after="0"/>
              <w:rPr>
                <w:sz w:val="1"/>
                <w:szCs w:val="1"/>
                <w:color w:val="auto"/>
              </w:rPr>
            </w:pP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Due after ten years</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1,158</w:t>
            </w:r>
          </w:p>
        </w:tc>
        <w:tc>
          <w:tcPr>
            <w:tcW w:w="0" w:type="dxa"/>
            <w:vAlign w:val="bottom"/>
          </w:tcPr>
          <w:p>
            <w:pPr>
              <w:spacing w:after="0"/>
              <w:rPr>
                <w:sz w:val="1"/>
                <w:szCs w:val="1"/>
                <w:color w:val="auto"/>
              </w:rPr>
            </w:pPr>
          </w:p>
        </w:tc>
      </w:tr>
      <w:tr>
        <w:trPr>
          <w:trHeight w:val="187"/>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In the nine months ended September 30, 2025, and 2024, maturities and redemptions of available-for-sale securities amounted to $933 million and $ 786 million, respectively, and sales amounted to $84 million and $85 million, respectively. Gross realized gains and losses from sales of available-for-sale securities are calculated under the specific identification method and are included in investment income. Gross realized investment gains and losses were insignificant for the nine months ended September 30, 2025 and 2024.</w:t>
      </w:r>
    </w:p>
    <w:p>
      <w:pPr>
        <w:spacing w:after="0" w:line="4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We have determined that unrealized losses at September 30, 2025, and December 31, 2024, primarily resulted from fluctuating interest rates, rather than a deterioration of the creditworthiness of the issuers. Further, as of September 30, 2025, we do not intend to sell, and it is not likely that we will be required to sell these investments prior to the recovery of their amortized cost basis. Therefore, we determined that an allowance for credit losses was not necessary.</w:t>
      </w:r>
    </w:p>
    <w:p>
      <w:pPr>
        <w:spacing w:after="0" w:line="4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September 30,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60" w:type="dxa"/>
            <w:vAlign w:val="bottom"/>
            <w:gridSpan w:val="6"/>
          </w:tcPr>
          <w:p>
            <w:pPr>
              <w:jc w:val="center"/>
              <w:ind w:left="11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020" w:type="dxa"/>
            <w:vAlign w:val="bottom"/>
          </w:tcPr>
          <w:p>
            <w:pPr>
              <w:jc w:val="center"/>
              <w:ind w:left="261"/>
              <w:spacing w:after="0" w:line="112" w:lineRule="exact"/>
              <w:rPr>
                <w:sz w:val="20"/>
                <w:szCs w:val="20"/>
                <w:color w:val="auto"/>
              </w:rPr>
            </w:pPr>
            <w:r>
              <w:rPr>
                <w:rFonts w:ascii="Arial" w:cs="Arial" w:eastAsia="Arial" w:hAnsi="Arial"/>
                <w:sz w:val="11"/>
                <w:szCs w:val="11"/>
                <w:b w:val="1"/>
                <w:bCs w:val="1"/>
                <w:color w:val="auto"/>
              </w:rPr>
              <w:t>Estimated</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3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1000" w:type="dxa"/>
            <w:vAlign w:val="bottom"/>
          </w:tcPr>
          <w:p>
            <w:pPr>
              <w:jc w:val="center"/>
              <w:ind w:left="281"/>
              <w:spacing w:after="0" w:line="112" w:lineRule="exact"/>
              <w:rPr>
                <w:sz w:val="20"/>
                <w:szCs w:val="20"/>
                <w:color w:val="auto"/>
              </w:rPr>
            </w:pPr>
            <w:r>
              <w:rPr>
                <w:rFonts w:ascii="Arial" w:cs="Arial" w:eastAsia="Arial" w:hAnsi="Arial"/>
                <w:sz w:val="11"/>
                <w:szCs w:val="11"/>
                <w:b w:val="1"/>
                <w:bCs w:val="1"/>
                <w:color w:val="auto"/>
              </w:rPr>
              <w:t>Estimated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020" w:type="dxa"/>
            <w:vAlign w:val="bottom"/>
          </w:tcPr>
          <w:p>
            <w:pPr>
              <w:jc w:val="center"/>
              <w:ind w:left="241"/>
              <w:spacing w:after="0" w:line="113" w:lineRule="exact"/>
              <w:rPr>
                <w:sz w:val="20"/>
                <w:szCs w:val="20"/>
                <w:color w:val="auto"/>
              </w:rPr>
            </w:pPr>
            <w:r>
              <w:rPr>
                <w:rFonts w:ascii="Arial" w:cs="Arial" w:eastAsia="Arial" w:hAnsi="Arial"/>
                <w:sz w:val="11"/>
                <w:szCs w:val="11"/>
                <w:b w:val="1"/>
                <w:bCs w:val="1"/>
                <w:color w:val="auto"/>
                <w:w w:val="98"/>
              </w:rPr>
              <w:t>Fair</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0" w:type="dxa"/>
            <w:vAlign w:val="bottom"/>
          </w:tcPr>
          <w:p>
            <w:pPr>
              <w:jc w:val="center"/>
              <w:ind w:left="261"/>
              <w:spacing w:after="0" w:line="113" w:lineRule="exact"/>
              <w:rPr>
                <w:sz w:val="20"/>
                <w:szCs w:val="20"/>
                <w:color w:val="auto"/>
              </w:rPr>
            </w:pPr>
            <w:r>
              <w:rPr>
                <w:rFonts w:ascii="Arial" w:cs="Arial" w:eastAsia="Arial" w:hAnsi="Arial"/>
                <w:sz w:val="11"/>
                <w:szCs w:val="11"/>
                <w:b w:val="1"/>
                <w:bCs w:val="1"/>
                <w:color w:val="auto"/>
                <w:w w:val="98"/>
              </w:rPr>
              <w:t>Fair</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20" w:type="dxa"/>
            <w:vAlign w:val="bottom"/>
            <w:tcBorders>
              <w:bottom w:val="single" w:sz="8" w:color="auto"/>
            </w:tcBorders>
          </w:tcPr>
          <w:p>
            <w:pPr>
              <w:jc w:val="center"/>
              <w:ind w:left="241"/>
              <w:spacing w:after="0"/>
              <w:rPr>
                <w:sz w:val="20"/>
                <w:szCs w:val="20"/>
                <w:color w:val="auto"/>
              </w:rPr>
            </w:pPr>
            <w:r>
              <w:rPr>
                <w:rFonts w:ascii="Arial" w:cs="Arial" w:eastAsia="Arial" w:hAnsi="Arial"/>
                <w:sz w:val="11"/>
                <w:szCs w:val="11"/>
                <w:b w:val="1"/>
                <w:bCs w:val="1"/>
                <w:color w:val="auto"/>
                <w:w w:val="95"/>
              </w:rPr>
              <w:t>Value</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center"/>
              <w:ind w:left="261"/>
              <w:spacing w:after="0"/>
              <w:rPr>
                <w:sz w:val="20"/>
                <w:szCs w:val="20"/>
                <w:color w:val="auto"/>
              </w:rPr>
            </w:pPr>
            <w:r>
              <w:rPr>
                <w:rFonts w:ascii="Arial" w:cs="Arial" w:eastAsia="Arial" w:hAnsi="Arial"/>
                <w:sz w:val="11"/>
                <w:szCs w:val="11"/>
                <w:b w:val="1"/>
                <w:bCs w:val="1"/>
                <w:color w:val="auto"/>
                <w:w w:val="95"/>
              </w:rPr>
              <w:t>Value</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right"/>
              <w:ind w:right="481"/>
              <w:spacing w:after="0"/>
              <w:rPr>
                <w:sz w:val="20"/>
                <w:szCs w:val="20"/>
                <w:color w:val="auto"/>
              </w:rPr>
            </w:pPr>
            <w:r>
              <w:rPr>
                <w:rFonts w:ascii="Arial" w:cs="Arial" w:eastAsia="Arial" w:hAnsi="Arial"/>
                <w:sz w:val="11"/>
                <w:szCs w:val="11"/>
                <w:b w:val="1"/>
                <w:bCs w:val="1"/>
                <w:color w:val="auto"/>
              </w:rPr>
              <w:t>(Dollars in millions)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86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10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92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9"/>
        </w:trPr>
        <w:tc>
          <w:tcPr>
            <w:tcW w:w="28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0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70"/>
        </w:trPr>
        <w:tc>
          <w:tcPr>
            <w:tcW w:w="2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3"/>
                <w:szCs w:val="13"/>
                <w:color w:val="auto"/>
              </w:rPr>
              <w:t>Total</w:t>
            </w:r>
          </w:p>
        </w:tc>
        <w:tc>
          <w:tcPr>
            <w:tcW w:w="1020" w:type="dxa"/>
            <w:vAlign w:val="bottom"/>
          </w:tcPr>
          <w:p>
            <w:pPr>
              <w:jc w:val="right"/>
              <w:ind w:right="861"/>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92</w:t>
            </w:r>
          </w:p>
        </w:tc>
        <w:tc>
          <w:tcPr>
            <w:tcW w:w="380" w:type="dxa"/>
            <w:vAlign w:val="bottom"/>
            <w:gridSpan w:val="3"/>
          </w:tcPr>
          <w:p>
            <w:pPr>
              <w:jc w:val="right"/>
              <w:ind w:right="83"/>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1000" w:type="dxa"/>
            <w:vAlign w:val="bottom"/>
          </w:tcPr>
          <w:p>
            <w:pPr>
              <w:jc w:val="right"/>
              <w:ind w:right="861"/>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following table segregates those available-for-sale investments that have been in a continuous loss position for less than 12 months, and those that have been in a continuous loss position for 12 months or more as of December 31,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20" w:type="dxa"/>
            <w:vAlign w:val="bottom"/>
            <w:gridSpan w:val="6"/>
          </w:tcPr>
          <w:p>
            <w:pPr>
              <w:jc w:val="center"/>
              <w:ind w:left="17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40" w:type="dxa"/>
            <w:vAlign w:val="bottom"/>
            <w:gridSpan w:val="6"/>
          </w:tcPr>
          <w:p>
            <w:pPr>
              <w:jc w:val="center"/>
              <w:ind w:left="177"/>
              <w:spacing w:after="0"/>
              <w:rPr>
                <w:sz w:val="20"/>
                <w:szCs w:val="20"/>
                <w:color w:val="auto"/>
              </w:rPr>
            </w:pPr>
            <w:r>
              <w:rPr>
                <w:rFonts w:ascii="Arial" w:cs="Arial" w:eastAsia="Arial" w:hAnsi="Arial"/>
                <w:sz w:val="11"/>
                <w:szCs w:val="11"/>
                <w:b w:val="1"/>
                <w:bCs w:val="1"/>
                <w:color w:val="auto"/>
              </w:rPr>
              <w:t>In a Continuous Loss Position</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Less than 12 Months</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1"/>
                <w:szCs w:val="11"/>
                <w:b w:val="1"/>
                <w:bCs w:val="1"/>
                <w:color w:val="auto"/>
              </w:rPr>
              <w:t>for 12 Months or More</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940" w:type="dxa"/>
            <w:vAlign w:val="bottom"/>
          </w:tcPr>
          <w:p>
            <w:pPr>
              <w:jc w:val="center"/>
              <w:ind w:left="301"/>
              <w:spacing w:after="0" w:line="112" w:lineRule="exact"/>
              <w:rPr>
                <w:sz w:val="20"/>
                <w:szCs w:val="20"/>
                <w:color w:val="auto"/>
              </w:rPr>
            </w:pPr>
            <w:r>
              <w:rPr>
                <w:rFonts w:ascii="Arial" w:cs="Arial" w:eastAsia="Arial" w:hAnsi="Arial"/>
                <w:sz w:val="11"/>
                <w:szCs w:val="11"/>
                <w:b w:val="1"/>
                <w:bCs w:val="1"/>
                <w:color w:val="auto"/>
              </w:rPr>
              <w:t>Estimated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restart"/>
          </w:tcPr>
          <w:p>
            <w:pPr>
              <w:jc w:val="center"/>
              <w:ind w:right="460"/>
              <w:spacing w:after="0"/>
              <w:rPr>
                <w:sz w:val="20"/>
                <w:szCs w:val="20"/>
                <w:color w:val="auto"/>
              </w:rPr>
            </w:pPr>
            <w:r>
              <w:rPr>
                <w:rFonts w:ascii="Arial" w:cs="Arial" w:eastAsia="Arial" w:hAnsi="Arial"/>
                <w:sz w:val="11"/>
                <w:szCs w:val="11"/>
                <w:b w:val="1"/>
                <w:bCs w:val="1"/>
                <w:color w:val="auto"/>
              </w:rPr>
              <w:t>Unrealized</w:t>
            </w:r>
          </w:p>
        </w:tc>
        <w:tc>
          <w:tcPr>
            <w:tcW w:w="12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Total Number of</w:t>
            </w:r>
          </w:p>
        </w:tc>
        <w:tc>
          <w:tcPr>
            <w:tcW w:w="920" w:type="dxa"/>
            <w:vAlign w:val="bottom"/>
          </w:tcPr>
          <w:p>
            <w:pPr>
              <w:jc w:val="center"/>
              <w:ind w:left="321"/>
              <w:spacing w:after="0" w:line="112" w:lineRule="exact"/>
              <w:rPr>
                <w:sz w:val="20"/>
                <w:szCs w:val="20"/>
                <w:color w:val="auto"/>
              </w:rPr>
            </w:pPr>
            <w:r>
              <w:rPr>
                <w:rFonts w:ascii="Arial" w:cs="Arial" w:eastAsia="Arial" w:hAnsi="Arial"/>
                <w:sz w:val="11"/>
                <w:szCs w:val="11"/>
                <w:b w:val="1"/>
                <w:bCs w:val="1"/>
                <w:color w:val="auto"/>
              </w:rPr>
              <w:t>Estimated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restart"/>
          </w:tcPr>
          <w:p>
            <w:pPr>
              <w:jc w:val="center"/>
              <w:ind w:right="480"/>
              <w:spacing w:after="0"/>
              <w:rPr>
                <w:sz w:val="20"/>
                <w:szCs w:val="20"/>
                <w:color w:val="auto"/>
              </w:rPr>
            </w:pPr>
            <w:r>
              <w:rPr>
                <w:rFonts w:ascii="Arial" w:cs="Arial" w:eastAsia="Arial" w:hAnsi="Arial"/>
                <w:sz w:val="11"/>
                <w:szCs w:val="11"/>
                <w:b w:val="1"/>
                <w:bCs w:val="1"/>
                <w:color w:val="auto"/>
              </w:rPr>
              <w:t>Unrealized</w:t>
            </w:r>
          </w:p>
        </w:tc>
        <w:tc>
          <w:tcPr>
            <w:tcW w:w="118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Total Number of</w:t>
            </w: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940" w:type="dxa"/>
            <w:vAlign w:val="bottom"/>
          </w:tcPr>
          <w:p>
            <w:pPr>
              <w:jc w:val="center"/>
              <w:ind w:left="321"/>
              <w:spacing w:after="0" w:line="113" w:lineRule="exact"/>
              <w:rPr>
                <w:sz w:val="20"/>
                <w:szCs w:val="20"/>
                <w:color w:val="auto"/>
              </w:rPr>
            </w:pPr>
            <w:r>
              <w:rPr>
                <w:rFonts w:ascii="Arial" w:cs="Arial" w:eastAsia="Arial" w:hAnsi="Arial"/>
                <w:sz w:val="11"/>
                <w:szCs w:val="11"/>
                <w:b w:val="1"/>
                <w:bCs w:val="1"/>
                <w:color w:val="auto"/>
                <w:w w:val="98"/>
              </w:rPr>
              <w:t>Fair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20" w:type="dxa"/>
            <w:vAlign w:val="bottom"/>
          </w:tcPr>
          <w:p>
            <w:pPr>
              <w:jc w:val="center"/>
              <w:ind w:left="321"/>
              <w:spacing w:after="0" w:line="113" w:lineRule="exact"/>
              <w:rPr>
                <w:sz w:val="20"/>
                <w:szCs w:val="20"/>
                <w:color w:val="auto"/>
              </w:rPr>
            </w:pPr>
            <w:r>
              <w:rPr>
                <w:rFonts w:ascii="Arial" w:cs="Arial" w:eastAsia="Arial" w:hAnsi="Arial"/>
                <w:sz w:val="11"/>
                <w:szCs w:val="11"/>
                <w:b w:val="1"/>
                <w:bCs w:val="1"/>
                <w:color w:val="auto"/>
              </w:rPr>
              <w:t>Fair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40" w:type="dxa"/>
            <w:vAlign w:val="bottom"/>
            <w:tcBorders>
              <w:bottom w:val="single" w:sz="8" w:color="auto"/>
            </w:tcBorders>
          </w:tcPr>
          <w:p>
            <w:pPr>
              <w:jc w:val="center"/>
              <w:ind w:left="301"/>
              <w:spacing w:after="0"/>
              <w:rPr>
                <w:sz w:val="20"/>
                <w:szCs w:val="20"/>
                <w:color w:val="auto"/>
              </w:rPr>
            </w:pPr>
            <w:r>
              <w:rPr>
                <w:rFonts w:ascii="Arial" w:cs="Arial" w:eastAsia="Arial" w:hAnsi="Arial"/>
                <w:sz w:val="11"/>
                <w:szCs w:val="11"/>
                <w:b w:val="1"/>
                <w:bCs w:val="1"/>
                <w:color w:val="auto"/>
              </w:rPr>
              <w:t>Value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Positions</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center"/>
              <w:ind w:left="321"/>
              <w:spacing w:after="0"/>
              <w:rPr>
                <w:sz w:val="20"/>
                <w:szCs w:val="20"/>
                <w:color w:val="auto"/>
              </w:rPr>
            </w:pPr>
            <w:r>
              <w:rPr>
                <w:rFonts w:ascii="Arial" w:cs="Arial" w:eastAsia="Arial" w:hAnsi="Arial"/>
                <w:sz w:val="11"/>
                <w:szCs w:val="11"/>
                <w:b w:val="1"/>
                <w:bCs w:val="1"/>
                <w:color w:val="auto"/>
              </w:rPr>
              <w:t>Value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Positions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3"/>
          </w:tcPr>
          <w:p>
            <w:pPr>
              <w:jc w:val="right"/>
              <w:ind w:right="401"/>
              <w:spacing w:after="0"/>
              <w:rPr>
                <w:sz w:val="20"/>
                <w:szCs w:val="20"/>
                <w:color w:val="auto"/>
              </w:rPr>
            </w:pPr>
            <w:r>
              <w:rPr>
                <w:rFonts w:ascii="Arial" w:cs="Arial" w:eastAsia="Arial" w:hAnsi="Arial"/>
                <w:sz w:val="11"/>
                <w:szCs w:val="11"/>
                <w:b w:val="1"/>
                <w:bCs w:val="1"/>
                <w:color w:val="auto"/>
              </w:rPr>
              <w:t>(Dollars 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940" w:type="dxa"/>
            <w:vAlign w:val="bottom"/>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Mortgage-backed securities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Asset-backed securities</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9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2"/>
        </w:trPr>
        <w:tc>
          <w:tcPr>
            <w:tcW w:w="2860" w:type="dxa"/>
            <w:vAlign w:val="bottom"/>
          </w:tcPr>
          <w:p>
            <w:pPr>
              <w:ind w:left="120"/>
              <w:spacing w:after="0"/>
              <w:rPr>
                <w:sz w:val="20"/>
                <w:szCs w:val="20"/>
                <w:color w:val="auto"/>
              </w:rPr>
            </w:pPr>
            <w:r>
              <w:rPr>
                <w:rFonts w:ascii="Arial" w:cs="Arial" w:eastAsia="Arial" w:hAnsi="Arial"/>
                <w:sz w:val="13"/>
                <w:szCs w:val="13"/>
                <w:color w:val="auto"/>
              </w:rPr>
              <w:t>Total</w:t>
            </w:r>
          </w:p>
        </w:tc>
        <w:tc>
          <w:tcPr>
            <w:tcW w:w="94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1,204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1,594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Investments Held-to-Maturity</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Pursuant to the regulations governing our state health plan subsidiaries, we maintain statutory deposits and deposits required by government authorities primarily in cash, cash equivalents, U.S. Treasury securities, and corporate debt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$300 million at September 30, 2025, of which $267 million will mature in one year or less, $28 million will mature in one through five years, and $5 million will mature after five years.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7. Medical Claims and Benefits Payable</w:t>
      </w:r>
    </w:p>
    <w:p>
      <w:pPr>
        <w:spacing w:after="0" w:line="94"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399"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Molina Healthcare, Inc. September 30, 2025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7"/>
          </w:tcPr>
          <w:p>
            <w:pPr>
              <w:jc w:val="center"/>
              <w:ind w:left="38"/>
              <w:spacing w:after="0"/>
              <w:rPr>
                <w:sz w:val="20"/>
                <w:szCs w:val="20"/>
                <w:color w:val="auto"/>
              </w:rPr>
            </w:pPr>
            <w:r>
              <w:rPr>
                <w:rFonts w:ascii="Arial" w:cs="Arial" w:eastAsia="Arial" w:hAnsi="Arial"/>
                <w:sz w:val="11"/>
                <w:szCs w:val="11"/>
                <w:b w:val="1"/>
                <w:bCs w:val="1"/>
                <w:color w:val="auto"/>
              </w:rPr>
              <w:t>Nine Months Ended September 30, 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0"/>
        </w:trPr>
        <w:tc>
          <w:tcPr>
            <w:tcW w:w="4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Medicaid</w:t>
            </w:r>
          </w:p>
        </w:tc>
        <w:tc>
          <w:tcPr>
            <w:tcW w:w="10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Medicare</w:t>
            </w:r>
          </w:p>
        </w:tc>
        <w:tc>
          <w:tcPr>
            <w:tcW w:w="100" w:type="dxa"/>
            <w:vAlign w:val="bottom"/>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rPr>
              <w:t>Marketplace</w:t>
            </w: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Other</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Consolidated</w:t>
            </w:r>
          </w:p>
        </w:tc>
      </w:tr>
      <w:tr>
        <w:trPr>
          <w:trHeight w:val="182"/>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0"/>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r>
      <w:tr>
        <w:trPr>
          <w:trHeight w:val="169"/>
        </w:trPr>
        <w:tc>
          <w:tcPr>
            <w:tcW w:w="434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29,476</w:t>
            </w:r>
          </w:p>
        </w:tc>
      </w:tr>
      <w:tr>
        <w:trPr>
          <w:trHeight w:val="169"/>
        </w:trPr>
        <w:tc>
          <w:tcPr>
            <w:tcW w:w="4340" w:type="dxa"/>
            <w:vAlign w:val="bottom"/>
          </w:tcPr>
          <w:p>
            <w:pPr>
              <w:ind w:left="280"/>
              <w:spacing w:after="0"/>
              <w:rPr>
                <w:sz w:val="20"/>
                <w:szCs w:val="20"/>
                <w:color w:val="auto"/>
              </w:rPr>
            </w:pPr>
            <w:r>
              <w:rPr>
                <w:rFonts w:ascii="Arial" w:cs="Arial" w:eastAsia="Arial" w:hAnsi="Arial"/>
                <w:sz w:val="13"/>
                <w:szCs w:val="13"/>
                <w:color w:val="auto"/>
              </w:rPr>
              <w:t>Prior years</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162"/>
        </w:trPr>
        <w:tc>
          <w:tcPr>
            <w:tcW w:w="43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22,047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2,990</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29,352</w:t>
            </w:r>
          </w:p>
        </w:tc>
      </w:tr>
      <w:tr>
        <w:trPr>
          <w:trHeight w:val="149"/>
        </w:trPr>
        <w:tc>
          <w:tcPr>
            <w:tcW w:w="434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1"/>
        </w:trPr>
        <w:tc>
          <w:tcPr>
            <w:tcW w:w="4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25,425</w:t>
            </w:r>
          </w:p>
        </w:tc>
      </w:tr>
      <w:tr>
        <w:trPr>
          <w:trHeight w:val="169"/>
        </w:trPr>
        <w:tc>
          <w:tcPr>
            <w:tcW w:w="4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4,059</w:t>
            </w:r>
          </w:p>
        </w:tc>
      </w:tr>
      <w:tr>
        <w:trPr>
          <w:trHeight w:val="162"/>
        </w:trPr>
        <w:tc>
          <w:tcPr>
            <w:tcW w:w="4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29,484</w:t>
            </w:r>
          </w:p>
        </w:tc>
      </w:tr>
      <w:tr>
        <w:trPr>
          <w:trHeight w:val="159"/>
        </w:trPr>
        <w:tc>
          <w:tcPr>
            <w:tcW w:w="434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240" w:type="dxa"/>
            <w:vAlign w:val="bottom"/>
          </w:tcPr>
          <w:p>
            <w:pPr>
              <w:spacing w:after="0"/>
              <w:rPr>
                <w:sz w:val="13"/>
                <w:szCs w:val="13"/>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361</w:t>
            </w:r>
          </w:p>
        </w:tc>
      </w:tr>
      <w:tr>
        <w:trPr>
          <w:trHeight w:val="170"/>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payables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2"/>
        </w:trPr>
        <w:tc>
          <w:tcPr>
            <w:tcW w:w="434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4,844</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43"/>
        </w:trPr>
        <w:tc>
          <w:tcPr>
            <w:tcW w:w="4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center"/>
              <w:ind w:left="38"/>
              <w:spacing w:after="0"/>
              <w:rPr>
                <w:sz w:val="20"/>
                <w:szCs w:val="20"/>
                <w:color w:val="auto"/>
              </w:rPr>
            </w:pPr>
            <w:r>
              <w:rPr>
                <w:rFonts w:ascii="Arial" w:cs="Arial" w:eastAsia="Arial" w:hAnsi="Arial"/>
                <w:sz w:val="11"/>
                <w:szCs w:val="11"/>
                <w:b w:val="1"/>
                <w:bCs w:val="1"/>
                <w:color w:val="auto"/>
              </w:rPr>
              <w:t>Nine Months Ended September 30, 2024</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0"/>
        </w:trPr>
        <w:tc>
          <w:tcPr>
            <w:tcW w:w="4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Medicaid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Medicare</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Marketplace</w:t>
            </w: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Other</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Consolidated</w:t>
            </w:r>
          </w:p>
        </w:tc>
      </w:tr>
      <w:tr>
        <w:trPr>
          <w:trHeight w:val="182"/>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 millions)</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0"/>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claims and benefits payable, beginning balance</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4,204</w:t>
            </w:r>
          </w:p>
        </w:tc>
      </w:tr>
      <w:tr>
        <w:trPr>
          <w:trHeight w:val="169"/>
        </w:trPr>
        <w:tc>
          <w:tcPr>
            <w:tcW w:w="4340" w:type="dxa"/>
            <w:vAlign w:val="bottom"/>
          </w:tcPr>
          <w:p>
            <w:pPr>
              <w:ind w:left="20"/>
              <w:spacing w:after="0"/>
              <w:rPr>
                <w:sz w:val="20"/>
                <w:szCs w:val="20"/>
                <w:color w:val="auto"/>
              </w:rPr>
            </w:pPr>
            <w:r>
              <w:rPr>
                <w:rFonts w:ascii="Arial" w:cs="Arial" w:eastAsia="Arial" w:hAnsi="Arial"/>
                <w:sz w:val="13"/>
                <w:szCs w:val="13"/>
                <w:color w:val="auto"/>
              </w:rPr>
              <w:t>Components of medical care costs related to:</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4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26,050</w:t>
            </w:r>
          </w:p>
        </w:tc>
      </w:tr>
      <w:tr>
        <w:trPr>
          <w:trHeight w:val="169"/>
        </w:trPr>
        <w:tc>
          <w:tcPr>
            <w:tcW w:w="4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w:t>
            </w:r>
          </w:p>
        </w:tc>
      </w:tr>
      <w:tr>
        <w:trPr>
          <w:trHeight w:val="162"/>
        </w:trPr>
        <w:tc>
          <w:tcPr>
            <w:tcW w:w="4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medical care costs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25,425</w:t>
            </w:r>
          </w:p>
        </w:tc>
      </w:tr>
      <w:tr>
        <w:trPr>
          <w:trHeight w:val="149"/>
        </w:trPr>
        <w:tc>
          <w:tcPr>
            <w:tcW w:w="4340" w:type="dxa"/>
            <w:vAlign w:val="bottom"/>
          </w:tcPr>
          <w:p>
            <w:pPr>
              <w:ind w:left="20"/>
              <w:spacing w:after="0" w:line="148" w:lineRule="exact"/>
              <w:rPr>
                <w:sz w:val="20"/>
                <w:szCs w:val="20"/>
                <w:color w:val="auto"/>
              </w:rPr>
            </w:pPr>
            <w:r>
              <w:rPr>
                <w:rFonts w:ascii="Arial" w:cs="Arial" w:eastAsia="Arial" w:hAnsi="Arial"/>
                <w:sz w:val="13"/>
                <w:szCs w:val="13"/>
                <w:color w:val="auto"/>
              </w:rPr>
              <w:t>Payments for medical care costs related to:</w:t>
            </w: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171"/>
        </w:trPr>
        <w:tc>
          <w:tcPr>
            <w:tcW w:w="4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22,172</w:t>
            </w:r>
          </w:p>
        </w:tc>
      </w:tr>
      <w:tr>
        <w:trPr>
          <w:trHeight w:val="169"/>
        </w:trPr>
        <w:tc>
          <w:tcPr>
            <w:tcW w:w="43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Prior years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3,215</w:t>
            </w:r>
          </w:p>
        </w:tc>
      </w:tr>
      <w:tr>
        <w:trPr>
          <w:trHeight w:val="162"/>
        </w:trPr>
        <w:tc>
          <w:tcPr>
            <w:tcW w:w="4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paid</w:t>
            </w: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20,069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3,979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1,339</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25,387</w:t>
            </w:r>
          </w:p>
        </w:tc>
      </w:tr>
      <w:tr>
        <w:trPr>
          <w:trHeight w:val="159"/>
        </w:trPr>
        <w:tc>
          <w:tcPr>
            <w:tcW w:w="4340" w:type="dxa"/>
            <w:vAlign w:val="bottom"/>
          </w:tcPr>
          <w:p>
            <w:pPr>
              <w:ind w:left="20"/>
              <w:spacing w:after="0"/>
              <w:rPr>
                <w:sz w:val="20"/>
                <w:szCs w:val="20"/>
                <w:color w:val="auto"/>
              </w:rPr>
            </w:pPr>
            <w:r>
              <w:rPr>
                <w:rFonts w:ascii="Arial" w:cs="Arial" w:eastAsia="Arial" w:hAnsi="Arial"/>
                <w:sz w:val="13"/>
                <w:szCs w:val="13"/>
                <w:color w:val="auto"/>
              </w:rPr>
              <w:t>Acquired balances, net of post-acquisition adjustments</w:t>
            </w:r>
          </w:p>
        </w:tc>
        <w:tc>
          <w:tcPr>
            <w:tcW w:w="240" w:type="dxa"/>
            <w:vAlign w:val="bottom"/>
          </w:tcPr>
          <w:p>
            <w:pPr>
              <w:spacing w:after="0"/>
              <w:rPr>
                <w:sz w:val="13"/>
                <w:szCs w:val="13"/>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463</w:t>
            </w:r>
          </w:p>
        </w:tc>
      </w:tr>
      <w:tr>
        <w:trPr>
          <w:trHeight w:val="170"/>
        </w:trPr>
        <w:tc>
          <w:tcPr>
            <w:tcW w:w="4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non-risk and other payables</w:t>
            </w: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2"/>
        </w:trPr>
        <w:tc>
          <w:tcPr>
            <w:tcW w:w="4340" w:type="dxa"/>
            <w:vAlign w:val="bottom"/>
          </w:tcPr>
          <w:p>
            <w:pPr>
              <w:ind w:left="20"/>
              <w:spacing w:after="0"/>
              <w:rPr>
                <w:sz w:val="20"/>
                <w:szCs w:val="20"/>
                <w:color w:val="auto"/>
              </w:rPr>
            </w:pPr>
            <w:r>
              <w:rPr>
                <w:rFonts w:ascii="Arial" w:cs="Arial" w:eastAsia="Arial" w:hAnsi="Arial"/>
                <w:sz w:val="13"/>
                <w:szCs w:val="13"/>
                <w:color w:val="auto"/>
              </w:rPr>
              <w:t>Medical claims and benefits payable, ending balance</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3,752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236</w:t>
            </w:r>
          </w:p>
        </w:tc>
        <w:tc>
          <w:tcPr>
            <w:tcW w:w="80" w:type="dxa"/>
            <w:vAlign w:val="bottom"/>
          </w:tcPr>
          <w:p>
            <w:pPr>
              <w:spacing w:after="0"/>
              <w:rPr>
                <w:sz w:val="14"/>
                <w:szCs w:val="14"/>
                <w:color w:val="auto"/>
              </w:rPr>
            </w:pPr>
          </w:p>
        </w:tc>
        <w:tc>
          <w:tcPr>
            <w:tcW w:w="960" w:type="dxa"/>
            <w:vAlign w:val="bottom"/>
          </w:tcPr>
          <w:p>
            <w:pPr>
              <w:jc w:val="right"/>
              <w:ind w:right="799"/>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4,732</w:t>
            </w:r>
          </w:p>
        </w:tc>
      </w:tr>
      <w:tr>
        <w:trPr>
          <w:trHeight w:val="20"/>
        </w:trPr>
        <w:tc>
          <w:tcPr>
            <w:tcW w:w="4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Incurred but not paid (“IBNP”) plus expected development on reported claims as of September 30, 2025 was $3,173 million. IBNP includes the costs of claims incurred as of the balance sheet date which have been reported to us, and our best estimate of the cost of claims incurred but not yet reported to us. Our estimates of medical claims and benefits payable recorded at December 31, 2024, and 2023 developed favorably by approximately $124 million and $625 million as of September 30, 2025, and 2024, respectively.</w:t>
      </w:r>
    </w:p>
    <w:p>
      <w:pPr>
        <w:spacing w:after="0" w:line="49"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The favorable prior year development recognized in the nine months ended September 30, 2025 was primarily attributable to reserving under moderately adverse conditions. On a consolidated basis, the ultimate costs recognized in 2025, as claims payments were processed, were lower than our estimates in 2024; however, medical costs in our Marketplace segment were higher than our original estimates.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8. Debt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outstanding debt obligations, all of which are non-current as of the dates reported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8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September 30,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jc w:val="right"/>
              <w:ind w:right="338"/>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8080" w:type="dxa"/>
            <w:vAlign w:val="bottom"/>
          </w:tcPr>
          <w:p>
            <w:pPr>
              <w:spacing w:after="0"/>
              <w:rPr>
                <w:sz w:val="12"/>
                <w:szCs w:val="12"/>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2024</w:t>
            </w:r>
          </w:p>
        </w:tc>
      </w:tr>
      <w:tr>
        <w:trPr>
          <w:trHeight w:val="181"/>
        </w:trPr>
        <w:tc>
          <w:tcPr>
            <w:tcW w:w="8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200" w:type="dxa"/>
            <w:vAlign w:val="bottom"/>
          </w:tcPr>
          <w:p>
            <w:pPr>
              <w:spacing w:after="0"/>
              <w:rPr>
                <w:sz w:val="15"/>
                <w:szCs w:val="15"/>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Non-current long-term debt:</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9"/>
        </w:trPr>
        <w:tc>
          <w:tcPr>
            <w:tcW w:w="8080" w:type="dxa"/>
            <w:vAlign w:val="bottom"/>
          </w:tcPr>
          <w:p>
            <w:pPr>
              <w:ind w:left="120"/>
              <w:spacing w:after="0"/>
              <w:rPr>
                <w:sz w:val="20"/>
                <w:szCs w:val="20"/>
                <w:color w:val="auto"/>
              </w:rPr>
            </w:pPr>
            <w:r>
              <w:rPr>
                <w:rFonts w:ascii="Arial" w:cs="Arial" w:eastAsia="Arial" w:hAnsi="Arial"/>
                <w:sz w:val="13"/>
                <w:szCs w:val="13"/>
                <w:color w:val="auto"/>
              </w:rPr>
              <w:t>4.375% Notes due 2028</w:t>
            </w:r>
          </w:p>
        </w:tc>
        <w:tc>
          <w:tcPr>
            <w:tcW w:w="1160" w:type="dxa"/>
            <w:vAlign w:val="bottom"/>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800</w:t>
            </w:r>
          </w:p>
        </w:tc>
      </w:tr>
      <w:tr>
        <w:trPr>
          <w:trHeight w:val="171"/>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3.875% Notes due 2030</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3.875% Notes due 2032</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71"/>
        </w:trPr>
        <w:tc>
          <w:tcPr>
            <w:tcW w:w="8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6.250% Notes due 2033</w:t>
            </w:r>
          </w:p>
        </w:tc>
        <w:tc>
          <w:tcPr>
            <w:tcW w:w="11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69"/>
        </w:trPr>
        <w:tc>
          <w:tcPr>
            <w:tcW w:w="8080" w:type="dxa"/>
            <w:vAlign w:val="bottom"/>
          </w:tcPr>
          <w:p>
            <w:pPr>
              <w:ind w:left="100"/>
              <w:spacing w:after="0"/>
              <w:rPr>
                <w:sz w:val="20"/>
                <w:szCs w:val="20"/>
                <w:color w:val="auto"/>
              </w:rPr>
            </w:pPr>
            <w:r>
              <w:rPr>
                <w:rFonts w:ascii="Arial" w:cs="Arial" w:eastAsia="Arial" w:hAnsi="Arial"/>
                <w:sz w:val="13"/>
                <w:szCs w:val="13"/>
                <w:color w:val="auto"/>
              </w:rPr>
              <w:t>Term Loans</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debt issuance costs</w:t>
            </w:r>
          </w:p>
        </w:tc>
        <w:tc>
          <w:tcPr>
            <w:tcW w:w="11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62"/>
        </w:trPr>
        <w:tc>
          <w:tcPr>
            <w:tcW w:w="8080" w:type="dxa"/>
            <w:vAlign w:val="bottom"/>
          </w:tcPr>
          <w:p>
            <w:pPr>
              <w:ind w:left="280"/>
              <w:spacing w:after="0"/>
              <w:rPr>
                <w:sz w:val="20"/>
                <w:szCs w:val="20"/>
                <w:color w:val="auto"/>
              </w:rPr>
            </w:pPr>
            <w:r>
              <w:rPr>
                <w:rFonts w:ascii="Arial" w:cs="Arial" w:eastAsia="Arial" w:hAnsi="Arial"/>
                <w:sz w:val="13"/>
                <w:szCs w:val="13"/>
                <w:color w:val="auto"/>
              </w:rPr>
              <w:t>Total</w:t>
            </w:r>
          </w:p>
        </w:tc>
        <w:tc>
          <w:tcPr>
            <w:tcW w:w="1160" w:type="dxa"/>
            <w:vAlign w:val="bottom"/>
            <w:tcBorders>
              <w:bottom w:val="single" w:sz="8" w:color="auto"/>
            </w:tcBorders>
          </w:tcPr>
          <w:p>
            <w:pPr>
              <w:jc w:val="right"/>
              <w:ind w:right="100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3,664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2,923</w:t>
            </w:r>
          </w:p>
        </w:tc>
      </w:tr>
      <w:tr>
        <w:trPr>
          <w:trHeight w:val="20"/>
        </w:trPr>
        <w:tc>
          <w:tcPr>
            <w:tcW w:w="8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92"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On February 19, 2025, we entered into a Third Amendment to our credit agreement, which reflects the establishment of a delayed draw commitment (“Term Loan A-1”) in an aggregate principal amount of $500 million. Term Loan A-1 matures on February 19, 2027. On August 12, 2025, we entered into a Fourth Amendment to our credit agreement (as amended by the Third Amendment and the Fourth Amendment, the “Amended Credit Agreement”), which reflects the establishment of an additional delayed draw commitment (“Term Loan A-2” and, together with the Term Loan A-1, the “Term Loans”) in an aggregate principal amount of $500 million. Term Loan A-2 matures on August 12, 2027.</w:t>
      </w:r>
    </w:p>
    <w:p>
      <w:pPr>
        <w:spacing w:after="0" w:line="5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Amended Credit Agreement also includes a revolving credit facility (“Credit Facility”) of $1.25 billion, among other provisions. The Amended Credit Agreement has a term of five years, and all amounts outstanding (other than the Term Loans) will be due and payable on September 20, 2029. Borrowings under the Amended Credit Agreement bear interest based, at our election, on a base rate or other defined rate, plus in each case, the applicable margin. In addition to interest payable on the principal amount of indebtedness outstanding from time to time under the Amended Credit Agreement, we are required to pay a quarterly commitment fee. We have other relationships, including financial advisory and banking, with some parties to the Amended Credit Agreement.</w:t>
      </w:r>
    </w:p>
    <w:p>
      <w:pPr>
        <w:spacing w:after="0" w:line="5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Amended Credit Agreement contains customary non-financial and financial covenants. As of September 30, 2025, we were in compliance with all financial and non-financial covenants under the Amended Credit Agreement.</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In the nine months ended September 30, 2025, we borrowed $950 million under the Term Loans and $150 million under the Credit Facility. In the nine months ended September 30, 2025, we repaid $210 million under the Term Loans and $150 million under the Credit Facility. As of September 30, 2025, no amount was outstanding under the Credit Facility and $740 million was outstanding under the Term Loans.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9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Our senior notes are described below. Each of these notes are senior unsecured obligations of the parent corporation, Molina Healthcare, Inc., and rank equally in right of payment with all existing and future senior debt, and senior to all existing and future subordinated debt of Molina Healthcare, Inc. In addition, each of the indentures governing the senior notes contain customary non-financial covenants and change of control provisions. As of September 30, 2025, we were in compliance with all non-financial covenants in the indentures governing the senior notes.</w:t>
      </w:r>
    </w:p>
    <w:p>
      <w:pPr>
        <w:spacing w:after="0" w:line="53"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4.375% Notes due 2028. </w:t>
      </w:r>
      <w:r>
        <w:rPr>
          <w:rFonts w:ascii="Arial" w:cs="Arial" w:eastAsia="Arial" w:hAnsi="Arial"/>
          <w:sz w:val="14"/>
          <w:szCs w:val="14"/>
          <w:color w:val="auto"/>
        </w:rPr>
        <w:t>We have $800 million aggregate principal amount of senior notes (the “4.375% Notes”) outstanding as of September 30, 2025, which are due June 15,</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2028, unless earlier redeemed. Interest, at a rate of 4.375% per annum, is payable semiannually in arrears on June 15 and December 15.</w:t>
      </w:r>
    </w:p>
    <w:p>
      <w:pPr>
        <w:spacing w:after="0" w:line="80"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i w:val="1"/>
          <w:iCs w:val="1"/>
          <w:color w:val="auto"/>
        </w:rPr>
        <w:t xml:space="preserve">3.875% Notes due 2030. </w:t>
      </w:r>
      <w:r>
        <w:rPr>
          <w:rFonts w:ascii="Arial" w:cs="Arial" w:eastAsia="Arial" w:hAnsi="Arial"/>
          <w:sz w:val="14"/>
          <w:szCs w:val="14"/>
          <w:color w:val="auto"/>
        </w:rPr>
        <w:t>We have $650 million aggregate principal amount of senior notes (the “3.875% Notes due 2030”) outstanding as of September 30, 2025,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15, 2030, unless earlier redeemed. Interest, at a rate of 3.875% per annum, is payable semiannually in arrears on May 15 and November 15.</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i w:val="1"/>
          <w:iCs w:val="1"/>
          <w:color w:val="auto"/>
        </w:rPr>
        <w:t xml:space="preserve">3.875% Notes due 2032. </w:t>
      </w:r>
      <w:r>
        <w:rPr>
          <w:rFonts w:ascii="Arial" w:cs="Arial" w:eastAsia="Arial" w:hAnsi="Arial"/>
          <w:sz w:val="14"/>
          <w:szCs w:val="14"/>
          <w:color w:val="auto"/>
        </w:rPr>
        <w:t>We have $750 million aggregate principal amount of senior notes (the “3.875% Notes due 2032”) outstanding as of September 30, 2025,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May 15, 2032, unless earlier redeemed. Interest, at a rate of 3.875% per annum, is payable semiannually in arrears on May 15 and November 15.</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i w:val="1"/>
          <w:iCs w:val="1"/>
          <w:color w:val="auto"/>
        </w:rPr>
        <w:t xml:space="preserve">6.250% Notes due 2033. </w:t>
      </w:r>
      <w:r>
        <w:rPr>
          <w:rFonts w:ascii="Arial" w:cs="Arial" w:eastAsia="Arial" w:hAnsi="Arial"/>
          <w:sz w:val="14"/>
          <w:szCs w:val="14"/>
          <w:color w:val="auto"/>
        </w:rPr>
        <w:t>We have $750 million aggregate principal amount of senior notes (the “6.250% Notes due 2033”) outstanding as of September 30, 2025, which are due</w:t>
      </w:r>
      <w:r>
        <w:rPr>
          <w:rFonts w:ascii="Arial" w:cs="Arial" w:eastAsia="Arial" w:hAnsi="Arial"/>
          <w:sz w:val="14"/>
          <w:szCs w:val="14"/>
          <w:i w:val="1"/>
          <w:iCs w:val="1"/>
          <w:color w:val="auto"/>
        </w:rPr>
        <w:t xml:space="preserve"> </w:t>
      </w:r>
      <w:r>
        <w:rPr>
          <w:rFonts w:ascii="Arial" w:cs="Arial" w:eastAsia="Arial" w:hAnsi="Arial"/>
          <w:sz w:val="14"/>
          <w:szCs w:val="14"/>
          <w:color w:val="auto"/>
        </w:rPr>
        <w:t>January 15, 2033, unless earlier redeemed. Interest, at a rate of 6.250% per annum, is payable semiannually in arrears on January 15 and July 15.</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9. Stockholders' Equity</w:t>
      </w:r>
    </w:p>
    <w:p>
      <w:pPr>
        <w:spacing w:after="0" w:line="9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In October 2024, our board of directors authorized the purchase of up to $1 billion of our common stock. This program had superseded the stock purchase program previously approved by our board of directors in September 2023. Under this program, pursuant to a Rule 10b5-1 trading plan, we purchased approximately 1,679,000 shares for $500 million in the first quarter of 2025 (average cost of $297.83 per share). These first quarter purchases exhausted the funds available under the board’s October 2024 $1 billion repurchase authorization.</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In April 2025, our board of directors newly authorized the purchase of up to an additional $1 billion of our common stock. This new program extends through December 31, 2026. Under this program, pursuant to a Rule 10b5-1 trading plan, we purchased approximately 2,849,000 shares for $500 million in the third quarter of 2025 (average cost of $175.50 per share).</w:t>
      </w:r>
    </w:p>
    <w:p>
      <w:pPr>
        <w:spacing w:after="0" w:line="49"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have accrued a stock repurchase excise tax of $18 million related to the current and prior year share repurchase programs as of September 30, 2025. As of December 31, 2024, we had accrued a stock repurchase excise tax of $ 8 million related to the prior year share repurchase program. These amounts are located in “Accounts payable, accrued liabilities and other” and “Additional paid-in capital” in the accompanying consolidated balance sheets.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10. Segments</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currently have four reportable segments consisting of: 1) Medicaid; 2) Medicare; 3) Marketplace; and 4) Other. Our reportable segments are consistent with how we currently manage the business and view the markets we serve.</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4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Three Months Ended September 30, 2025</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378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8,015</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1,610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1,197</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10,841</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8,015</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1,610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1,197</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10,862</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10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11,477</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7,376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10,044</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7,376</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1,507</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10,064</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1,276</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639</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797</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339"/>
        </w:trPr>
        <w:tc>
          <w:tcPr>
            <w:tcW w:w="37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Three Months Ended September 30, 2024</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378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7,668</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9,694</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7,668</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9,714</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10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10,340</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6,938</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8,643</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6,938</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480</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8,662</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1,211</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467</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438</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1000" w:type="dxa"/>
            <w:vAlign w:val="bottom"/>
          </w:tcPr>
          <w:p>
            <w:pPr>
              <w:jc w:val="right"/>
              <w:ind w:right="859"/>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730</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1,051</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10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bl>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Nine Months Ended September 30, 2025</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37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24,174</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4,686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3,401</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32,337</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24,174</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4,686</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3,401</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32,402</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1,649</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34,051</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22,047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29,352</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22,047</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2,990</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29,410</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3,698</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943</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803</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2,127</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2,985</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339"/>
        </w:trPr>
        <w:tc>
          <w:tcPr>
            <w:tcW w:w="3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Nine Months Ended September 30, 2024</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37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Medicaid</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Medicare</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Marketplace</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Total</w:t>
            </w:r>
          </w:p>
        </w:tc>
      </w:tr>
      <w:tr>
        <w:trPr>
          <w:trHeight w:val="182"/>
        </w:trPr>
        <w:tc>
          <w:tcPr>
            <w:tcW w:w="3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0"/>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Premium revenue</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22,538</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1,856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28,644</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Revenue from external customers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22,538</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4,250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1,856</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28,704</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revenues </w:t>
            </w:r>
            <w:r>
              <w:rPr>
                <w:rFonts w:ascii="Arial" w:cs="Arial" w:eastAsia="Arial" w:hAnsi="Arial"/>
                <w:sz w:val="16"/>
                <w:szCs w:val="16"/>
                <w:color w:val="auto"/>
                <w:vertAlign w:val="superscript"/>
              </w:rPr>
              <w:t>(1)</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w:t>
            </w:r>
          </w:p>
        </w:tc>
      </w:tr>
      <w:tr>
        <w:trPr>
          <w:trHeight w:val="15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revenue</w:t>
            </w:r>
          </w:p>
        </w:tc>
        <w:tc>
          <w:tcPr>
            <w:tcW w:w="96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30,151</w:t>
            </w:r>
          </w:p>
        </w:tc>
      </w:tr>
      <w:tr>
        <w:trPr>
          <w:trHeight w:val="15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care costs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20,350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3,728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1,347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25,425</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service revenue</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Segment expenses</w:t>
            </w:r>
          </w:p>
        </w:tc>
        <w:tc>
          <w:tcPr>
            <w:tcW w:w="9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20,350</w:t>
            </w: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3,728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1,347</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25,480</w:t>
            </w:r>
          </w:p>
        </w:tc>
      </w:tr>
      <w:tr>
        <w:trPr>
          <w:trHeight w:val="171"/>
        </w:trPr>
        <w:tc>
          <w:tcPr>
            <w:tcW w:w="37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 xml:space="preserve">Other operating expenses </w:t>
            </w:r>
            <w:r>
              <w:rPr>
                <w:rFonts w:ascii="Arial" w:cs="Arial" w:eastAsia="Arial" w:hAnsi="Arial"/>
                <w:sz w:val="16"/>
                <w:szCs w:val="16"/>
                <w:color w:val="auto"/>
                <w:vertAlign w:val="superscript"/>
              </w:rPr>
              <w:t>(2)</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3,344</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1,327</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expense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59"/>
        </w:trPr>
        <w:tc>
          <w:tcPr>
            <w:tcW w:w="3780" w:type="dxa"/>
            <w:vAlign w:val="bottom"/>
          </w:tcPr>
          <w:p>
            <w:pPr>
              <w:ind w:left="20"/>
              <w:spacing w:after="0"/>
              <w:rPr>
                <w:sz w:val="20"/>
                <w:szCs w:val="20"/>
                <w:color w:val="auto"/>
              </w:rPr>
            </w:pPr>
            <w:r>
              <w:rPr>
                <w:rFonts w:ascii="Arial" w:cs="Arial" w:eastAsia="Arial" w:hAnsi="Arial"/>
                <w:sz w:val="13"/>
                <w:szCs w:val="13"/>
                <w:color w:val="auto"/>
              </w:rPr>
              <w:t>Income before income tax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1,243</w:t>
            </w: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Segment Margin:</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3780" w:type="dxa"/>
            <w:vAlign w:val="bottom"/>
          </w:tcPr>
          <w:p>
            <w:pPr>
              <w:ind w:left="180"/>
              <w:spacing w:after="0"/>
              <w:rPr>
                <w:sz w:val="20"/>
                <w:szCs w:val="20"/>
                <w:color w:val="auto"/>
              </w:rPr>
            </w:pPr>
            <w:r>
              <w:rPr>
                <w:rFonts w:ascii="Arial" w:cs="Arial" w:eastAsia="Arial" w:hAnsi="Arial"/>
                <w:sz w:val="13"/>
                <w:szCs w:val="13"/>
                <w:color w:val="auto"/>
              </w:rPr>
              <w:t>Medical margin</w:t>
            </w:r>
          </w:p>
        </w:tc>
        <w:tc>
          <w:tcPr>
            <w:tcW w:w="960" w:type="dxa"/>
            <w:vAlign w:val="bottom"/>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2,188</w:t>
            </w:r>
          </w:p>
        </w:tc>
        <w:tc>
          <w:tcPr>
            <w:tcW w:w="80" w:type="dxa"/>
            <w:vAlign w:val="bottom"/>
          </w:tcPr>
          <w:p>
            <w:pPr>
              <w:spacing w:after="0"/>
              <w:rPr>
                <w:sz w:val="14"/>
                <w:szCs w:val="14"/>
                <w:color w:val="auto"/>
              </w:rPr>
            </w:pPr>
          </w:p>
        </w:tc>
        <w:tc>
          <w:tcPr>
            <w:tcW w:w="1020" w:type="dxa"/>
            <w:vAlign w:val="bottom"/>
          </w:tcPr>
          <w:p>
            <w:pPr>
              <w:jc w:val="right"/>
              <w:ind w:right="859"/>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509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3,219</w:t>
            </w:r>
          </w:p>
        </w:tc>
      </w:tr>
      <w:tr>
        <w:trPr>
          <w:trHeight w:val="171"/>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margin</w:t>
            </w:r>
          </w:p>
        </w:tc>
        <w:tc>
          <w:tcPr>
            <w:tcW w:w="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55"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operating revenues include premium tax revenue, investment income, and certain other revenue.</w:t>
      </w:r>
    </w:p>
    <w:p>
      <w:pPr>
        <w:spacing w:after="0" w:line="17" w:lineRule="exact"/>
        <w:rPr>
          <w:rFonts w:ascii="Arial" w:cs="Arial" w:eastAsia="Arial" w:hAnsi="Arial"/>
          <w:sz w:val="13"/>
          <w:szCs w:val="13"/>
          <w:color w:val="auto"/>
        </w:rPr>
      </w:pPr>
    </w:p>
    <w:p>
      <w:pPr>
        <w:ind w:left="260" w:hanging="255"/>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Other operating expenses include general and administrative expenses, premium tax expenses, depreciation and amortization, and certain other operating expenses.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8800" w:firstLine="5"/>
        <w:spacing w:after="0" w:line="379" w:lineRule="auto"/>
        <w:tabs>
          <w:tab w:leader="none" w:pos="228" w:val="left"/>
        </w:tabs>
        <w:numPr>
          <w:ilvl w:val="0"/>
          <w:numId w:val="8"/>
        </w:numPr>
        <w:rPr>
          <w:rFonts w:ascii="Arial" w:cs="Arial" w:eastAsia="Arial" w:hAnsi="Arial"/>
          <w:sz w:val="14"/>
          <w:szCs w:val="14"/>
          <w:b w:val="1"/>
          <w:bCs w:val="1"/>
          <w:color w:val="828282"/>
        </w:rPr>
      </w:pPr>
      <w:r>
        <w:rPr>
          <w:rFonts w:ascii="Arial" w:cs="Arial" w:eastAsia="Arial" w:hAnsi="Arial"/>
          <w:sz w:val="14"/>
          <w:szCs w:val="14"/>
          <w:b w:val="1"/>
          <w:bCs w:val="1"/>
          <w:color w:val="828282"/>
        </w:rPr>
        <w:t xml:space="preserve">Commitments and Contingencies </w:t>
      </w:r>
      <w:r>
        <w:rPr>
          <w:rFonts w:ascii="Arial" w:cs="Arial" w:eastAsia="Arial" w:hAnsi="Arial"/>
          <w:sz w:val="14"/>
          <w:szCs w:val="14"/>
          <w:b w:val="1"/>
          <w:bCs w:val="1"/>
          <w:i w:val="1"/>
          <w:iCs w:val="1"/>
          <w:color w:val="000000"/>
        </w:rPr>
        <w:t>Legal Proceedings</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The healthcare industry is subject to numerous laws and regulations of federal, state, and local governments, as well as various contractual provisions, governing our operations. Compliance with these laws, regulations, and contractual provisions can be subject to government audit, review, and interpretation, as well as regulatory actions. Penalties associated with violations of these laws, regulations, and contractual provisions can include significant fines and penalties, temporary or permanent exclusion from participating in publicly funded programs, a limitation on our ability to market or sell products, the repayment of previously billed and collected revenues, and reputational damage.</w:t>
      </w:r>
    </w:p>
    <w:p>
      <w:pPr>
        <w:spacing w:after="0" w:line="5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or range of estimates, of reasonably possible and estimable losses and related disclosures, as necessary. We have accrued liabilities for legal matters for which we deem the loss to be both probable and reasonably estimable. These liability estimates could change as a result of further developments. The outcome of these legal actions are inherently uncertain. An adverse determination in one or more of these pending matters could have a material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MANAGEMENT’S DISCUSSION AND ANALYSIS OF FINANCIAL CONDITION AND RESULTS OF OPERATIONS (“MD&amp;A”)</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FORWARD-LOOKING STATEMENTS</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This Quarterly Report on Form 10-Q (this “Form 10-Q”) contains forward-looking statements. We intend such forward-looking statements to be covered under the safe harbor provisions for forward-looking statements contained in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all statements other than statements of historical fact contained in this Form 10-Q may be forward-looking statements. In some cases, you can identify forward-looking statements by words such as “guidance,” “future,” “anticipates,” “believes,” “embedded,” “estimates,” “expects,” “growth,” “intends,” “plans,” “predicts,” “projects,” “will,” “would,” “could,” “can,” “may,” or the negative of these terms or other similar expressions. Forward-looking statements contained in this Form 10-Q include, but are not limited to, statements regarding our future results of operations and financial position, industry and business trends, legislative and regulatory developments and their potential impact, business strategy, strategic transactions and commercial arrangements, membership, medical cost and market trends and our objectives for future operations. Readers are cautioned not to place undue reliance on any forward-looking statements, as forward-looking statements are not guarantees of future performance and the Company’s actual results may differ significantly due to numerous known and unknown risks and uncertainties.</w:t>
      </w:r>
    </w:p>
    <w:p>
      <w:pPr>
        <w:spacing w:after="0" w:line="63"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Those known risks and uncertainties include, but are not limited to, the risk factors identified in the section titled “Risk Factors” in our 2024 Annual Report on Form 10-K, including without limitation risks related to the following matters:</w:t>
      </w:r>
    </w:p>
    <w:p>
      <w:pPr>
        <w:spacing w:after="0" w:line="37" w:lineRule="exact"/>
        <w:rPr>
          <w:sz w:val="20"/>
          <w:szCs w:val="20"/>
          <w:color w:val="auto"/>
        </w:rPr>
      </w:pPr>
    </w:p>
    <w:p>
      <w:pPr>
        <w:ind w:left="260" w:right="400" w:hanging="255"/>
        <w:spacing w:after="0" w:line="261" w:lineRule="auto"/>
        <w:tabs>
          <w:tab w:leader="none" w:pos="256" w:val="left"/>
        </w:tabs>
        <w:numPr>
          <w:ilvl w:val="0"/>
          <w:numId w:val="9"/>
        </w:numPr>
        <w:rPr>
          <w:rFonts w:ascii="Times New Roman" w:cs="Times New Roman" w:eastAsia="Times New Roman" w:hAnsi="Times New Roman"/>
          <w:sz w:val="14"/>
          <w:szCs w:val="14"/>
          <w:i w:val="1"/>
          <w:iCs w:val="1"/>
          <w:color w:val="auto"/>
        </w:rPr>
      </w:pPr>
      <w:r>
        <w:rPr>
          <w:rFonts w:ascii="Arial" w:cs="Arial" w:eastAsia="Arial" w:hAnsi="Arial"/>
          <w:sz w:val="14"/>
          <w:szCs w:val="14"/>
          <w:i w:val="1"/>
          <w:iCs w:val="1"/>
          <w:color w:val="auto"/>
        </w:rPr>
        <w:t>the implementation in 2025 or 2026 of Medicaid rate adjustments and updates that are not commensurate with the current medical cost trends in our states and the health acuity levels of our members;</w:t>
      </w:r>
    </w:p>
    <w:p>
      <w:pPr>
        <w:ind w:left="260" w:right="12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federal or state legislative or regulatory changes, including changes effected by the One Big Beautiful Bill Act, or changes through executive orders, to the Medicaid, Medicare, or Marketplace programs, including potential reductions in Medicaid funding, changes to the federal matching percentage paid to states for either the Medicaid expansion or general population, block grants or per capita caps, work requirements, the reduction or elimination of provider taxes, the non-renewal of Marketplace subsidies, or the implementation of new program integrity rules, insufficient Medicare Advantage rate adjustments, or amendments of the Affordable Care Act (“ACA”);</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budget pressures on state governments and states’ efforts to reduce rates or limit rate increases;</w:t>
      </w:r>
    </w:p>
    <w:p>
      <w:pPr>
        <w:spacing w:after="0" w:line="8" w:lineRule="exact"/>
        <w:rPr>
          <w:rFonts w:ascii="Arial" w:cs="Arial" w:eastAsia="Arial" w:hAnsi="Arial"/>
          <w:sz w:val="14"/>
          <w:szCs w:val="14"/>
          <w:i w:val="1"/>
          <w:iCs w:val="1"/>
          <w:color w:val="auto"/>
        </w:rPr>
      </w:pPr>
    </w:p>
    <w:p>
      <w:pPr>
        <w:ind w:left="260" w:right="140" w:hanging="255"/>
        <w:spacing w:after="0" w:line="25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evolving Marketplace dynamics including issues impacting enrollment, special enrollment periods, member choice, premium subsidies, broker rates, risk adjustment estimates and results, Marketplace plan insolvencies or receiverships, and the potential for disproportionate enrollment of higher acuity members;</w:t>
      </w:r>
    </w:p>
    <w:p>
      <w:pPr>
        <w:ind w:left="260" w:right="60" w:hanging="255"/>
        <w:spacing w:after="0" w:line="25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the success of our efforts to retain existing or awarded government contracts, the success of our bid submissions in response to requests for proposal, and our ability to identify merger and acquisition targets to support our continued growth over time at projected levels;</w:t>
      </w:r>
    </w:p>
    <w:p>
      <w:pPr>
        <w:ind w:left="260" w:right="220" w:hanging="255"/>
        <w:spacing w:after="0" w:line="25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the success of the scaling up of our operations in new states in connection with request for proposal wins, and the satisfaction of all readiness review requirements under the new Medicaid contracts;</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integrate our acquisitions and realize benefits as projected;</w:t>
      </w:r>
    </w:p>
    <w:p>
      <w:pPr>
        <w:spacing w:after="0" w:line="8" w:lineRule="exact"/>
        <w:rPr>
          <w:rFonts w:ascii="Arial" w:cs="Arial" w:eastAsia="Arial" w:hAnsi="Arial"/>
          <w:sz w:val="14"/>
          <w:szCs w:val="14"/>
          <w:i w:val="1"/>
          <w:iCs w:val="1"/>
          <w:color w:val="auto"/>
        </w:rPr>
      </w:pPr>
    </w:p>
    <w:p>
      <w:pPr>
        <w:ind w:left="260" w:right="160" w:hanging="255"/>
        <w:spacing w:after="0" w:line="25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subsequent adjustments to reported premium revenue based upon subsequent developments or new information, including retroactive Medicaid rate adjustments in a state or changes to estimated amounts payable or receivable related to Marketplace risk adjustment;</w:t>
      </w: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effective management of our medical costs;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our ability to predict with a reasonable degree of accuracy utilization rates;</w:t>
      </w:r>
    </w:p>
    <w:p>
      <w:pPr>
        <w:spacing w:after="0" w:line="8" w:lineRule="exact"/>
        <w:rPr>
          <w:rFonts w:ascii="Arial" w:cs="Arial" w:eastAsia="Arial" w:hAnsi="Arial"/>
          <w:sz w:val="14"/>
          <w:szCs w:val="14"/>
          <w:color w:val="auto"/>
        </w:rPr>
      </w:pPr>
    </w:p>
    <w:p>
      <w:pPr>
        <w:ind w:left="260" w:right="260" w:hanging="255"/>
        <w:spacing w:after="0" w:line="25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cyber-attacks, ransomware attacks, or other privacy or data security incidents involving either ourselves or our contracted vendors, that result in an inadvertent unauthorized disclosure of protected information or operational delays;</w:t>
      </w:r>
    </w:p>
    <w:p>
      <w:pPr>
        <w:ind w:left="260" w:right="240" w:hanging="255"/>
        <w:spacing w:after="0" w:line="253"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260" w:right="120" w:hanging="255"/>
        <w:spacing w:after="0" w:line="253" w:lineRule="auto"/>
        <w:tabs>
          <w:tab w:leader="none" w:pos="25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operational improvements, efficiencies, and cost savings that are less than anticipated, or that result in unforeseen consequences, from our investments in artificial intelligence (“AI”) administrative tools and initiatives;</w:t>
      </w:r>
    </w:p>
    <w:p>
      <w:pPr>
        <w:ind w:left="260" w:hanging="255"/>
        <w:spacing w:after="0"/>
        <w:tabs>
          <w:tab w:leader="none" w:pos="26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our working in a remote work environment;</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ind w:left="260" w:right="240" w:hanging="255"/>
        <w:spacing w:after="0" w:line="262"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260" w:right="660" w:hanging="255"/>
        <w:spacing w:after="0" w:line="253"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interpretation, implementation, and estimates of amounts owed for federal or state medical cost expenditure floors, administrative cost and profit ceilings, premium stabilization programs, profit-sharing arrangements, and risk adjustment provisions and requirements;</w:t>
      </w:r>
    </w:p>
    <w:p>
      <w:pPr>
        <w:ind w:left="260" w:right="320" w:hanging="255"/>
        <w:spacing w:after="0" w:line="253"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260" w:right="40" w:hanging="255"/>
        <w:spacing w:after="0" w:line="253"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transition of Medicare-Medicaid pilot programs in California, Illinois, Michigan, Ohio, South Carolina, and Texas serving those dually eligible for both Medicare and Medicaid, the increasing integration of Medicare and Medicaid programmatic and compliance requirements, and the extension or incorporation of federal Medicare requirements developed by the Centers for Medicare and Medicaid Services (“CMS”) into state-administered Medicaid programs;</w:t>
      </w: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accurate estimation of incurred but not reported or paid medical costs across our health plans;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changes in our annual effective tax rate due to federal and/or state legislation, or changes in our mix of earnings and other factors;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efficient and effective operations of the vendors on whom our business relies;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complications, member confusion, or enrollment backlogs related to the renewal of Medicaid coverage;</w:t>
      </w:r>
    </w:p>
    <w:p>
      <w:pPr>
        <w:spacing w:after="0" w:line="8" w:lineRule="exact"/>
        <w:rPr>
          <w:rFonts w:ascii="Arial" w:cs="Arial" w:eastAsia="Arial" w:hAnsi="Arial"/>
          <w:sz w:val="14"/>
          <w:szCs w:val="14"/>
          <w:color w:val="auto"/>
        </w:rPr>
      </w:pPr>
    </w:p>
    <w:p>
      <w:pPr>
        <w:ind w:left="260" w:right="220" w:hanging="255"/>
        <w:spacing w:after="0" w:line="253"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fraud, waste and abuse matters, government audits, reviews, or investigations, comment letters, and any fine, sanction, enrollment freeze, debarment, corrective action plan, monitoring program, or premium recovery that may result therefrom;</w:t>
      </w:r>
    </w:p>
    <w:p>
      <w:pPr>
        <w:ind w:left="260" w:right="260" w:hanging="255"/>
        <w:spacing w:after="0" w:line="253"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success of our providers, including delegated providers, the adequacy of our provider networks, the successful maintenance of relations with our providers, and potential medical or pharmaceutical supply shortfalls suffered by our providers incidental to the implementation of tariffs;</w:t>
      </w: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approval by state regulators of dividends and distributions by our health plan subsidiaries;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high dollar claims related to catastrophic illness;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favorable resolution of litigation, arbitration, or administrative proceedings;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greater scale and revenues of our health plans in California, New York, Texas, and Washington, and risks related to the concentration of our business in those states;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failure to comply with the financial or other covenants in the Amended Credit Agreement (as defined below) or the indentures governing our outstanding senior notes;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availability of adequate financing on acceptable terms to fund and capitalize our expansion and growth, and meet our general liquidity needs;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failure of a state in which we operate to renew its federal Medicaid waiver;</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vaccine hesitancy and the potential for a new epidemic or pandemic, including risks presented by the H5N1 bird flu or the measles;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changes generally affecting the managed care industry, including any new federal or state legislation that impacts the business space in which we operate;</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increases in government surcharges, taxes, and assessments;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impact of inflation on our medical costs and the cost of refinancing our outstanding indebtedness;</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the unexpected loss of the leadership of one or more of our senior executives; and</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increasing competition and consolidation in the Medicaid or general healthcare sector.</w:t>
      </w:r>
    </w:p>
    <w:p>
      <w:pPr>
        <w:spacing w:after="0" w:line="8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Each of the terms “Molina Healthcare, Inc.” “Molina Healthcare,” “Company,” “we,” “our,” and “us,” as used herein, refers collectively to Molina Healthcare, Inc. and its wholly owned subsidiaries, unless otherwise stated. The forward-looking statements in this Form 10-Q are based upon information available to us as of the date of this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We qualify all of our forward-looking statements by these cautionary statements. These forward-looking statements speak only as of the date of this Form 10-Q. The Company assumes no obligation to revise or update any forward-looking statements for any reason, except as required by law.</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This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2024 Annual Report on Form 10-K.</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OVERVIEW</w:t>
      </w:r>
    </w:p>
    <w:p>
      <w:pPr>
        <w:spacing w:after="0" w:line="87"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color w:val="auto"/>
        </w:rPr>
        <w:t>Molina Healthcare, Inc., a FORTUNE 500 company, provides managed healthcare services under the Medicaid and Medicare programs, and through the state insurance marketplaces (the “Marketplace”). We served approximately 5.6 million members as of September 30, 2025, located across 21 states.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THIRD QUARTER 2025 HIGHLIGHTS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reported net income of $79 million, or $1.51 per diluted share, for the third quarter of 2025, which reflected the following:</w:t>
      </w:r>
    </w:p>
    <w:p>
      <w:pPr>
        <w:spacing w:after="0" w:line="94" w:lineRule="exact"/>
        <w:rPr>
          <w:sz w:val="20"/>
          <w:szCs w:val="20"/>
          <w:color w:val="auto"/>
        </w:rPr>
      </w:pPr>
    </w:p>
    <w:p>
      <w:pPr>
        <w:ind w:left="520" w:right="30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Membership of 5.6 million at September 30, 2025, which increased 30,000, or 0.5%, compared with September 30, 2024, primarily due to the growth in the Marketplace segment, including the ConnectiCare acquisition, partially offset by the impact of the Virginia contract termination and general contraction in Medicaid;</w:t>
      </w:r>
    </w:p>
    <w:p>
      <w:pPr>
        <w:spacing w:after="0" w:line="35"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Premium revenue of $10.8 billion, which increased 12% compared with the third quarter of 2024, and mainly reflects the ConnectiCare acquisition, rate increases, and growth in our current footprint;</w:t>
      </w:r>
    </w:p>
    <w:p>
      <w:pPr>
        <w:spacing w:after="0" w:line="35"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medical care ratio (“MCR”) of 92.6% compared with 89.2% for the third quarter of 2024, reflects the continuation of a very challenging medical cost trend environment for each of our segments, but especially in Marketplace;</w:t>
      </w:r>
    </w:p>
    <w:p>
      <w:pPr>
        <w:spacing w:after="0" w:line="35" w:lineRule="exact"/>
        <w:rPr>
          <w:rFonts w:ascii="Arial" w:cs="Arial" w:eastAsia="Arial" w:hAnsi="Arial"/>
          <w:sz w:val="14"/>
          <w:szCs w:val="14"/>
          <w:color w:val="auto"/>
        </w:rPr>
      </w:pPr>
    </w:p>
    <w:p>
      <w:pPr>
        <w:ind w:left="520" w:right="260" w:hanging="260"/>
        <w:spacing w:after="0" w:line="290"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and administrative expense (“G&amp;A”) ratio of 6.4%, compared with 6.5% for the third quarter of 2024, the continued benefit of fixed cost leverage as we grow our business and operating discipline;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Pre-tax margin of 0.8%.</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FINANCIAL SUMMARY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consolidated results of operations and other financial information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60" w:type="dxa"/>
            <w:vAlign w:val="bottom"/>
          </w:tcPr>
          <w:p>
            <w:pPr>
              <w:spacing w:after="0"/>
              <w:rPr>
                <w:sz w:val="13"/>
                <w:szCs w:val="13"/>
                <w:color w:val="auto"/>
              </w:rPr>
            </w:pPr>
          </w:p>
        </w:tc>
        <w:tc>
          <w:tcPr>
            <w:tcW w:w="3420" w:type="dxa"/>
            <w:vAlign w:val="bottom"/>
            <w:gridSpan w:val="6"/>
          </w:tcPr>
          <w:p>
            <w:pPr>
              <w:ind w:left="70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3"/>
                <w:szCs w:val="13"/>
                <w:color w:val="auto"/>
              </w:rPr>
            </w:pPr>
          </w:p>
        </w:tc>
        <w:tc>
          <w:tcPr>
            <w:tcW w:w="2920" w:type="dxa"/>
            <w:vAlign w:val="bottom"/>
            <w:gridSpan w:val="4"/>
          </w:tcPr>
          <w:p>
            <w:pPr>
              <w:jc w:val="right"/>
              <w:ind w:right="657"/>
              <w:spacing w:after="0"/>
              <w:rPr>
                <w:sz w:val="20"/>
                <w:szCs w:val="20"/>
                <w:color w:val="auto"/>
              </w:rPr>
            </w:pPr>
            <w:r>
              <w:rPr>
                <w:rFonts w:ascii="Arial" w:cs="Arial" w:eastAsia="Arial" w:hAnsi="Arial"/>
                <w:sz w:val="11"/>
                <w:szCs w:val="11"/>
                <w:b w:val="1"/>
                <w:bCs w:val="1"/>
                <w:color w:val="auto"/>
              </w:rPr>
              <w:t>Nine Months Ended September 30,</w:t>
            </w:r>
          </w:p>
        </w:tc>
      </w:tr>
      <w:tr>
        <w:trPr>
          <w:trHeight w:val="150"/>
        </w:trPr>
        <w:tc>
          <w:tcPr>
            <w:tcW w:w="45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c>
          <w:tcPr>
            <w:tcW w:w="12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2025</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2024</w:t>
            </w:r>
          </w:p>
        </w:tc>
      </w:tr>
      <w:tr>
        <w:trPr>
          <w:trHeight w:val="192"/>
        </w:trPr>
        <w:tc>
          <w:tcPr>
            <w:tcW w:w="4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60"/>
              <w:spacing w:after="0"/>
              <w:rPr>
                <w:sz w:val="20"/>
                <w:szCs w:val="20"/>
                <w:color w:val="auto"/>
              </w:rPr>
            </w:pPr>
            <w:r>
              <w:rPr>
                <w:rFonts w:ascii="Arial" w:cs="Arial" w:eastAsia="Arial" w:hAnsi="Arial"/>
                <w:sz w:val="11"/>
                <w:szCs w:val="11"/>
                <w:b w:val="1"/>
                <w:bCs w:val="1"/>
                <w:color w:val="auto"/>
              </w:rPr>
              <w:t>(In millions, except per-share amounts)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revenue</w:t>
            </w:r>
          </w:p>
        </w:tc>
        <w:tc>
          <w:tcPr>
            <w:tcW w:w="98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10,841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9,694</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32,337</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28,644</w:t>
            </w:r>
          </w:p>
        </w:tc>
      </w:tr>
      <w:tr>
        <w:trPr>
          <w:trHeight w:val="16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medical care costs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10,044</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8,643</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29,352</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25,425</w:t>
            </w:r>
          </w:p>
        </w:tc>
      </w:tr>
      <w:tr>
        <w:trPr>
          <w:trHeight w:val="162"/>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Medical margin</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797</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1,051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2,985</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3,219</w:t>
            </w:r>
          </w:p>
        </w:tc>
      </w:tr>
      <w:tr>
        <w:trPr>
          <w:trHeight w:val="170"/>
        </w:trPr>
        <w:tc>
          <w:tcPr>
            <w:tcW w:w="4560" w:type="dxa"/>
            <w:vAlign w:val="bottom"/>
          </w:tcPr>
          <w:p>
            <w:pPr>
              <w:ind w:left="100"/>
              <w:spacing w:after="0" w:line="170" w:lineRule="exact"/>
              <w:rPr>
                <w:sz w:val="20"/>
                <w:szCs w:val="20"/>
                <w:color w:val="auto"/>
              </w:rPr>
            </w:pPr>
            <w:r>
              <w:rPr>
                <w:rFonts w:ascii="Arial" w:cs="Arial" w:eastAsia="Arial" w:hAnsi="Arial"/>
                <w:sz w:val="19"/>
                <w:szCs w:val="19"/>
                <w:i w:val="1"/>
                <w:iCs w:val="1"/>
                <w:color w:val="auto"/>
                <w:vertAlign w:val="subscript"/>
              </w:rPr>
              <w:t>MCR</w:t>
            </w:r>
            <w:r>
              <w:rPr>
                <w:rFonts w:ascii="Arial" w:cs="Arial" w:eastAsia="Arial" w:hAnsi="Arial"/>
                <w:sz w:val="7"/>
                <w:szCs w:val="7"/>
                <w:i w:val="1"/>
                <w:iCs w:val="1"/>
                <w:color w:val="auto"/>
              </w:rPr>
              <w:t xml:space="preserve"> (1)</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92.6%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89.2%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i w:val="1"/>
                <w:iCs w:val="1"/>
                <w:color w:val="auto"/>
              </w:rPr>
              <w:t>90.8%</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88.8%</w:t>
            </w:r>
          </w:p>
        </w:tc>
      </w:tr>
      <w:tr>
        <w:trPr>
          <w:trHeight w:val="202"/>
        </w:trPr>
        <w:tc>
          <w:tcPr>
            <w:tcW w:w="4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3"/>
                <w:szCs w:val="13"/>
                <w:color w:val="auto"/>
              </w:rPr>
              <w:t>Other revenues: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Premium tax revenue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506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1,325</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1,103</w:t>
            </w:r>
          </w:p>
        </w:tc>
      </w:tr>
      <w:tr>
        <w:trPr>
          <w:trHeight w:val="169"/>
        </w:trPr>
        <w:tc>
          <w:tcPr>
            <w:tcW w:w="4560" w:type="dxa"/>
            <w:vAlign w:val="bottom"/>
          </w:tcPr>
          <w:p>
            <w:pPr>
              <w:ind w:left="20"/>
              <w:spacing w:after="0"/>
              <w:rPr>
                <w:sz w:val="20"/>
                <w:szCs w:val="20"/>
                <w:color w:val="auto"/>
              </w:rPr>
            </w:pPr>
            <w:r>
              <w:rPr>
                <w:rFonts w:ascii="Arial" w:cs="Arial" w:eastAsia="Arial" w:hAnsi="Arial"/>
                <w:sz w:val="13"/>
                <w:szCs w:val="13"/>
                <w:color w:val="auto"/>
              </w:rPr>
              <w:t>Investment income</w:t>
            </w:r>
          </w:p>
        </w:tc>
        <w:tc>
          <w:tcPr>
            <w:tcW w:w="98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108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322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341</w:t>
            </w: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63</w:t>
            </w:r>
          </w:p>
        </w:tc>
      </w:tr>
      <w:tr>
        <w:trPr>
          <w:trHeight w:val="202"/>
        </w:trPr>
        <w:tc>
          <w:tcPr>
            <w:tcW w:w="4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729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676</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2,214</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2,078</w:t>
            </w:r>
          </w:p>
        </w:tc>
      </w:tr>
      <w:tr>
        <w:trPr>
          <w:trHeight w:val="170"/>
        </w:trPr>
        <w:tc>
          <w:tcPr>
            <w:tcW w:w="4560" w:type="dxa"/>
            <w:vAlign w:val="bottom"/>
          </w:tcPr>
          <w:p>
            <w:pPr>
              <w:ind w:left="100"/>
              <w:spacing w:after="0" w:line="170" w:lineRule="exact"/>
              <w:rPr>
                <w:sz w:val="20"/>
                <w:szCs w:val="20"/>
                <w:color w:val="auto"/>
              </w:rPr>
            </w:pPr>
            <w:r>
              <w:rPr>
                <w:rFonts w:ascii="Arial" w:cs="Arial" w:eastAsia="Arial" w:hAnsi="Arial"/>
                <w:sz w:val="13"/>
                <w:szCs w:val="13"/>
                <w:i w:val="1"/>
                <w:iCs w:val="1"/>
                <w:color w:val="auto"/>
              </w:rPr>
              <w:t xml:space="preserve">G&amp;A ratio </w:t>
            </w:r>
            <w:r>
              <w:rPr>
                <w:rFonts w:ascii="Arial" w:cs="Arial" w:eastAsia="Arial" w:hAnsi="Arial"/>
                <w:sz w:val="16"/>
                <w:szCs w:val="16"/>
                <w:i w:val="1"/>
                <w:iCs w:val="1"/>
                <w:color w:val="auto"/>
                <w:vertAlign w:val="superscript"/>
              </w:rPr>
              <w:t>(2)</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i w:val="1"/>
                <w:iCs w:val="1"/>
                <w:color w:val="auto"/>
              </w:rPr>
              <w:t>6.4%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i w:val="1"/>
                <w:iCs w:val="1"/>
                <w:color w:val="auto"/>
              </w:rPr>
              <w:t>6.5%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i w:val="1"/>
                <w:iCs w:val="1"/>
                <w:color w:val="auto"/>
              </w:rPr>
              <w:t>6.5%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i w:val="1"/>
                <w:iCs w:val="1"/>
                <w:color w:val="auto"/>
              </w:rPr>
              <w:t>6.9%</w:t>
            </w:r>
          </w:p>
        </w:tc>
      </w:tr>
      <w:tr>
        <w:trPr>
          <w:trHeight w:val="202"/>
        </w:trPr>
        <w:tc>
          <w:tcPr>
            <w:tcW w:w="4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3"/>
                <w:szCs w:val="13"/>
                <w:color w:val="auto"/>
              </w:rPr>
              <w:t>Premium tax expenses</w:t>
            </w:r>
          </w:p>
        </w:tc>
        <w:tc>
          <w:tcPr>
            <w:tcW w:w="98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506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auto"/>
              </w:rPr>
              <w:t>508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1,325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1,103</w:t>
            </w: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151</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138</w:t>
            </w:r>
          </w:p>
        </w:tc>
      </w:tr>
      <w:tr>
        <w:trPr>
          <w:trHeight w:val="16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66</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80</w:t>
            </w:r>
          </w:p>
        </w:tc>
      </w:tr>
      <w:tr>
        <w:trPr>
          <w:trHeight w:val="162"/>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467</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943</w:t>
            </w:r>
          </w:p>
        </w:tc>
        <w:tc>
          <w:tcPr>
            <w:tcW w:w="1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1,327</w:t>
            </w:r>
          </w:p>
        </w:tc>
      </w:tr>
      <w:tr>
        <w:trPr>
          <w:trHeight w:val="15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49</w:t>
            </w: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140</w:t>
            </w:r>
          </w:p>
        </w:tc>
        <w:tc>
          <w:tcPr>
            <w:tcW w:w="1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84</w:t>
            </w:r>
          </w:p>
        </w:tc>
      </w:tr>
      <w:tr>
        <w:trPr>
          <w:trHeight w:val="162"/>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 expense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803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1,243</w:t>
            </w:r>
          </w:p>
        </w:tc>
      </w:tr>
      <w:tr>
        <w:trPr>
          <w:trHeight w:val="16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112</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171</w:t>
            </w:r>
          </w:p>
        </w:tc>
        <w:tc>
          <w:tcPr>
            <w:tcW w:w="1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315</w:t>
            </w:r>
          </w:p>
        </w:tc>
      </w:tr>
      <w:tr>
        <w:trPr>
          <w:trHeight w:val="18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79</w:t>
            </w: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326</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632</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928</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per share – Diluted</w:t>
            </w:r>
          </w:p>
        </w:tc>
        <w:tc>
          <w:tcPr>
            <w:tcW w:w="98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1.51</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5.65</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11.79</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15.97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weighted average shares outstanding</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52.5</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57.7</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53.6</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58.1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0"/>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Key Statistics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3"/>
                <w:szCs w:val="13"/>
                <w:color w:val="auto"/>
              </w:rPr>
              <w:t>Ending Membership</w:t>
            </w:r>
          </w:p>
        </w:tc>
        <w:tc>
          <w:tcPr>
            <w:tcW w:w="98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3"/>
                <w:szCs w:val="13"/>
                <w:color w:val="auto"/>
              </w:rPr>
              <w:t>5.6</w:t>
            </w:r>
          </w:p>
        </w:tc>
      </w:tr>
      <w:tr>
        <w:trPr>
          <w:trHeight w:val="171"/>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income tax rate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r>
      <w:tr>
        <w:trPr>
          <w:trHeight w:val="223"/>
        </w:trPr>
        <w:tc>
          <w:tcPr>
            <w:tcW w:w="4560" w:type="dxa"/>
            <w:vAlign w:val="bottom"/>
          </w:tcPr>
          <w:p>
            <w:pPr>
              <w:ind w:left="20"/>
              <w:spacing w:after="0"/>
              <w:rPr>
                <w:sz w:val="20"/>
                <w:szCs w:val="20"/>
                <w:color w:val="auto"/>
              </w:rPr>
            </w:pPr>
            <w:r>
              <w:rPr>
                <w:rFonts w:ascii="Arial" w:cs="Arial" w:eastAsia="Arial" w:hAnsi="Arial"/>
                <w:sz w:val="13"/>
                <w:szCs w:val="13"/>
                <w:color w:val="auto"/>
              </w:rPr>
              <w:t xml:space="preserve">Pre-tax margin </w:t>
            </w:r>
            <w:r>
              <w:rPr>
                <w:rFonts w:ascii="Arial" w:cs="Arial" w:eastAsia="Arial" w:hAnsi="Arial"/>
                <w:sz w:val="16"/>
                <w:szCs w:val="16"/>
                <w:color w:val="auto"/>
                <w:vertAlign w:val="superscript"/>
              </w:rPr>
              <w:t>(3)</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55" w:lineRule="exact"/>
        <w:rPr>
          <w:sz w:val="20"/>
          <w:szCs w:val="20"/>
          <w:color w:val="auto"/>
        </w:rPr>
      </w:pPr>
    </w:p>
    <w:p>
      <w:pPr>
        <w:ind w:left="300" w:hanging="295"/>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MCR represents medical care costs as a percentage of premium revenue.</w:t>
      </w:r>
    </w:p>
    <w:p>
      <w:pPr>
        <w:spacing w:after="0" w:line="11" w:lineRule="exact"/>
        <w:rPr>
          <w:rFonts w:ascii="Arial" w:cs="Arial" w:eastAsia="Arial" w:hAnsi="Arial"/>
          <w:sz w:val="13"/>
          <w:szCs w:val="13"/>
          <w:color w:val="auto"/>
        </w:rPr>
      </w:pPr>
    </w:p>
    <w:p>
      <w:pPr>
        <w:ind w:left="300" w:hanging="295"/>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G&amp;A ratio represents general and administrative expenses as a percentage of total revenue.</w:t>
      </w:r>
    </w:p>
    <w:p>
      <w:pPr>
        <w:spacing w:after="0" w:line="5" w:lineRule="exact"/>
        <w:rPr>
          <w:rFonts w:ascii="Arial" w:cs="Arial" w:eastAsia="Arial" w:hAnsi="Arial"/>
          <w:sz w:val="13"/>
          <w:szCs w:val="13"/>
          <w:color w:val="auto"/>
        </w:rPr>
      </w:pPr>
    </w:p>
    <w:p>
      <w:pPr>
        <w:ind w:left="300" w:hanging="295"/>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Pre-tax margin represents income before income tax expense as a percentage of total revenue.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CONSOLIDATED RESULTS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NET INCOME AND OPERATING INCOME</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Net income in the third quarter of 2025 amounted to $79 million, or $1.51 per diluted share, compared with $326 million, or $5.65 per diluted share, in the third quarter of 2024. Net income in the nine months ended September 30, 2025 amounted to $632 million, or $11.79 per diluted share, compared with $928 million, or $15.97 per diluted share, in the nine months ended September 30, 2024.</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The decline in net income in the third quarter of 2025 and nine months ended September 30, 2025 compared to the prior year reflects a decline in operating income for both periods. The decrease in operating income was mainly attributable to an increase in the MCR, higher interest cost and lower investment income, partially offset by the benefit of higher membership and G&amp;A expense efficiencies.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PREMIUM REVENUE</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Premium revenue increased $1.1 billion, or 12%, in the third quarter of 2025, when compared with the third quarter of 2024, and increased $ 3.7 billion, or 13%, in the nine months ended September 30, 2025, when compared with the nine months ended September 30, 2024. The higher premium revenue mainly reflects the ConnectiCare acquisition, rate increases, and growth in our current footprint, partially offset by the impact of lower membership in Medicaid. See further discussion in “Reportable Segments—Segment Financial Performance,” below.</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MEDICAL CARE RATIO</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consolidated MCR in the third quarter of 2025 increased to 92.6%, compared with 89.2% in the third quarter of 2024, or 340 basis points, and the consolidated MCR in the nine months ended September 30, 2025 increased to 90.8%, compared with 88.8% MCR for the nine months ended September 30, 2024, or 200 basis points. The increase in both periods reflects MCR increases in all our segments, reflecting the continuation of a very challenging medical cost trend environment for each of our segments, especially in Marketplace, but moderated by our medical cost management initiatives. The consolidated MCR for the nine months ended September 30, 2025 is above our long-term target range. See further discussion in “Reportable Segments—Segment Financial Performance,” below.</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impact of prior year reserve development in the nine months ended September 30, 2025 was partially absorbed by minimum MLRs and medical cost corridors.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PREMIUM TAX REVENUE AND EXPENSES</w:t>
      </w:r>
    </w:p>
    <w:p>
      <w:pPr>
        <w:spacing w:after="0" w:line="94"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The premium tax ratio (premium tax expense as a percentage of premium revenue plus premium tax revenue) was 4.5% and 5.0% for the third quarter of 2025 and 2024, respectively, and 3.9% and 3.7% for the nine months ended September 30, 2025 and 2024, respectively. The current year ratio changes were mainly due to state mix changes in our Medicaid segment.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INVESTMENT INCOME</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Investment income decreased to $108 million in the third quarter of 2025, compared with $118 million in the third quarter of 2024, and decreased to $322 million in the nine months ended September 30, 2025, compared with $341 million in the nine months ended September 30, 2024. The decrease was mainly attributable to a decline in prevailing interest rates, partially offset by an increase in average invested balances in each period.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REVENUE</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Other revenue amounted to $22 million in the third quarter of 2025, compared with $20 million in the third quarter of 2024, and totaled $ 67 million in the nine months ended September 30, 2025, compared with $ 63 million in the nine months ended September 30, 2024. Other revenue mainly includes service revenue associated with long-term services and supports consultative services we provide in Wisconsin.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G&amp;A EXPENSES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The G&amp;A expense ratio was 6.4% in the third quarter of 2025, compared with 6.5% in the third quarter of 2024. The G&amp;A expense ratio was 6.5% in the nine months ended September 30, 2025, compared with 6.9% in the nine months ended September 30, 2024. The change in G&amp;A ratios reflects reduced incentive compensation tied to lower expected performance, operating discipline, and the continued benefit of operating leverage as we grow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DEPRECIATION AND AMORTIZATION</w:t>
      </w:r>
    </w:p>
    <w:p>
      <w:pPr>
        <w:spacing w:after="0" w:line="94"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color w:val="auto"/>
        </w:rPr>
        <w:t>Depreciation and amortization was $ 45 million in the third quarter of 2025, compared with $ 47 million in the third quarter of 2024, and was $151 million in the nine months ended September 30, 2025, compared with $138 million in the nine months ended September 30, 2024. The increase in the nine months ended September 30, 2025 is due to impacts from the ConnectiCare acquisition that closed in the first quarter of 2025.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OPERATING EXPENSES</w:t>
      </w:r>
    </w:p>
    <w:p>
      <w:pPr>
        <w:spacing w:after="0" w:line="94"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Other operating expenses increased by $17 million in the third quarter of 2025, compared with the third quarter of 2024, and decreased by $14 million in the nine months ended September 30, 2025, compared with the nine months ended September 30, 2024. The third quarter changes reflect the impact of non-recurring litigation recoveries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recognized in 2024, and the nine month changes reflect the impact of certain non-recurring costs associated with acquisitions, and costs for litigation incurred in 2024. Other operating expenses also include service costs associated with long-term services and supports consultative services we provide in Wisconsin, as noted above.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INTEREST EXPENSE</w:t>
      </w:r>
    </w:p>
    <w:p>
      <w:pPr>
        <w:spacing w:after="0" w:line="94"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Interest expense was $49 million and $29 million in the third quarter of 2025 and 2024, respectively, and $140 million and $84 million for the nine months ended September 30, 2025 and 2024, respectively. The increase is due to borrowings under the Credit Facility (as defined below), borrowings under the Term Loans (as defined below) occurring in the first and third quarter of 2025, and the issuance of the $750 million 6.250% Notes due 2033 in November 2024.</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INCOME TAXES</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Income tax expense amounted to $ 9 million in the third quarter of 2025, or 10.1% of pretax income, compared with income tax expense of $112 million, or 25.7% of pretax income, in the third quarter of 2024. Income tax expense amounted to $ 171 million in the nine months ended September 30, 2025, or 21.3% of pretax income, compared with income tax expense of $315 million, or 25.3% of pretax income, in the nine months ended September 30, 2024. The difference in the effective tax rate for both periods is due to an increase in tax benefits related to transferable federal tax credits, decreases in nondeductible expenses and state and local income taxes, and differences in discrete tax benefits recognized in the respective periods.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TRENDS AND UNCERTAINTIES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REGULATORY DEVELOPMENTS AND RELATED TRENDS</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The President signed the One Big Beautiful Bill Act (“OBBBA”) into law in July 2025, which contains changes to the Medicaid and Marketplace programs. For Medicaid, the law requires states to establish work requirements, more frequent redeterminations, and cost sharing for the Expansion program over the period from 2027 to 2029, among other modifications. These changes are expected to reduce enrollment in state Medicaid programs, but the timing and magnitude of the reductions may vary by state depending on how quickly states implement the changes, as well as macroeconomic factors since some changes are subject to suspension in case of increases in local unemployment rates. We currently estimate the reduction in enrollment will be in the range of 15% to 20% on 1.3 million members in our Expansion population, and any acuity shifts should be modest and gradual. An estimated two thirds of our Expansion members already work in some capacity. The law also reduces revenues that states can raise through provider taxes to finance their share of Medicaid spending and limits payments to Medicaid providers to 100 percent of the mandated Medicare rate for Expansion states and 110 percent of the Medicare rate for non-Expansion states. These particular changes are scheduled to begin in 2028, and we expect may take 5 to 15 years to be fully implemented. Their impact is uncertain at this time and will depend on how states may adapt their future tax and Medicaid funding policies in response. Finally, the law also limits which legal aliens may be eligible for Marketplace premium tax credits (“PTCs”), and will require pre-enrollment eligibility verification in order for enrollees to receive PTCs. These changes are planned to be phased in over the period from 2026 to 2028 and are expected to reduce national Marketplace enrollment as well. The OBBBA also contains tax law changes affecting businesses, including modification of certain Tax Cuts &amp; Jobs Act provisions. We are still evaluating, but do not expect the new law to have a material impact on our financial statements.</w:t>
      </w:r>
    </w:p>
    <w:p>
      <w:pPr>
        <w:spacing w:after="0" w:line="61" w:lineRule="exact"/>
        <w:rPr>
          <w:sz w:val="20"/>
          <w:szCs w:val="20"/>
          <w:color w:val="auto"/>
        </w:rPr>
      </w:pPr>
    </w:p>
    <w:p>
      <w:pPr>
        <w:jc w:val="both"/>
        <w:ind w:right="140"/>
        <w:spacing w:after="0" w:line="265" w:lineRule="auto"/>
        <w:rPr>
          <w:sz w:val="20"/>
          <w:szCs w:val="20"/>
          <w:color w:val="auto"/>
        </w:rPr>
      </w:pPr>
      <w:r>
        <w:rPr>
          <w:rFonts w:ascii="Arial" w:cs="Arial" w:eastAsia="Arial" w:hAnsi="Arial"/>
          <w:sz w:val="14"/>
          <w:szCs w:val="14"/>
          <w:color w:val="auto"/>
        </w:rPr>
        <w:t>In June 2025, the Department of Health and Human Services (“HHS”) finalized the Marketplace Program Integrity and Affordability Rule. The rule, among other changes, shortens the open enrollment period (“OEP”) starting in 2027, eliminates the special enrollment period (“SEP”) for people with incomes at or below 150% federal poverty level, and tightens eligibility verification requirements for all enrollees. HHS expects the regulation to reduce Marketplace enrollment in 2026 predominantly in states that did not expand Medicaid. Its long term impacts are uncertain as many of the provisions sunset at the end of 2026 and some do not apply to state-based Marketplaces.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OTHER 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RFPs and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Mississippi Procurement—Medicaid. </w:t>
      </w:r>
      <w:r>
        <w:rPr>
          <w:rFonts w:ascii="Arial" w:cs="Arial" w:eastAsia="Arial" w:hAnsi="Arial"/>
          <w:sz w:val="14"/>
          <w:szCs w:val="14"/>
          <w:color w:val="auto"/>
        </w:rPr>
        <w:t>Our new contract with the Mississippi Division of Medicaid commenced on July 1, 2025.</w:t>
      </w:r>
    </w:p>
    <w:p>
      <w:pPr>
        <w:spacing w:after="0" w:line="94"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i w:val="1"/>
          <w:iCs w:val="1"/>
          <w:color w:val="auto"/>
        </w:rPr>
        <w:t xml:space="preserve">Nevada Procurement—Medicaid. </w:t>
      </w:r>
      <w:r>
        <w:rPr>
          <w:rFonts w:ascii="Arial" w:cs="Arial" w:eastAsia="Arial" w:hAnsi="Arial"/>
          <w:sz w:val="14"/>
          <w:szCs w:val="14"/>
          <w:color w:val="auto"/>
        </w:rPr>
        <w:t>In March 2025, the Nevada Department of Health and Human Services Division of Health Care Policy and Financing issued a notice of intent to</w:t>
      </w:r>
      <w:r>
        <w:rPr>
          <w:rFonts w:ascii="Arial" w:cs="Arial" w:eastAsia="Arial" w:hAnsi="Arial"/>
          <w:sz w:val="14"/>
          <w:szCs w:val="14"/>
          <w:i w:val="1"/>
          <w:iCs w:val="1"/>
          <w:color w:val="auto"/>
        </w:rPr>
        <w:t xml:space="preserve"> </w:t>
      </w:r>
      <w:r>
        <w:rPr>
          <w:rFonts w:ascii="Arial" w:cs="Arial" w:eastAsia="Arial" w:hAnsi="Arial"/>
          <w:sz w:val="14"/>
          <w:szCs w:val="14"/>
          <w:color w:val="auto"/>
        </w:rPr>
        <w:t>award Medicaid and Children’s Health Insurance Program managed care contracts to our Nevada health plan. The new contract will cover Urban Clark and Urban</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Washoe. The new contract is expected to begin on January 1, 2026 and run through December 31, 2030, with one two-year extension.</w:t>
      </w:r>
    </w:p>
    <w:p>
      <w:pPr>
        <w:spacing w:after="0" w:line="9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i w:val="1"/>
          <w:iCs w:val="1"/>
          <w:color w:val="auto"/>
        </w:rPr>
        <w:t xml:space="preserve">Illinois Procurement—Medicare. </w:t>
      </w:r>
      <w:r>
        <w:rPr>
          <w:rFonts w:ascii="Arial" w:cs="Arial" w:eastAsia="Arial" w:hAnsi="Arial"/>
          <w:sz w:val="14"/>
          <w:szCs w:val="14"/>
          <w:color w:val="auto"/>
        </w:rPr>
        <w:t>In March 2025, the Illinois Department of Healthcare and Family Services awarded a contract to provide a Fully Integrated Dual Eligible Special</w:t>
      </w:r>
      <w:r>
        <w:rPr>
          <w:rFonts w:ascii="Arial" w:cs="Arial" w:eastAsia="Arial" w:hAnsi="Arial"/>
          <w:sz w:val="14"/>
          <w:szCs w:val="14"/>
          <w:i w:val="1"/>
          <w:iCs w:val="1"/>
          <w:color w:val="auto"/>
        </w:rPr>
        <w:t xml:space="preserve"> </w:t>
      </w:r>
      <w:r>
        <w:rPr>
          <w:rFonts w:ascii="Arial" w:cs="Arial" w:eastAsia="Arial" w:hAnsi="Arial"/>
          <w:sz w:val="14"/>
          <w:szCs w:val="14"/>
          <w:color w:val="auto"/>
        </w:rPr>
        <w:t>Needs Plan to our Illinois health plan. This contract will replace the state’s Medicare-Medicaid Alignment Initiative demonstration program. The go-live date for the new contract is expected to be January 1, 2026. The contract is expected to have an initial term of four years, with the option to extend the contract from the initial term so long as the total contract term does not exceed ten years.</w:t>
      </w:r>
    </w:p>
    <w:p>
      <w:pPr>
        <w:spacing w:after="0" w:line="53"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i w:val="1"/>
          <w:iCs w:val="1"/>
          <w:color w:val="auto"/>
        </w:rPr>
        <w:t xml:space="preserve">Connecticut Acquisition—Marketplace and Medicare. </w:t>
      </w:r>
      <w:r>
        <w:rPr>
          <w:rFonts w:ascii="Arial" w:cs="Arial" w:eastAsia="Arial" w:hAnsi="Arial"/>
          <w:sz w:val="14"/>
          <w:szCs w:val="14"/>
          <w:color w:val="auto"/>
        </w:rPr>
        <w:t>Effective February 1, 2025, we closed on our acquisition of ConnectiCare Holding Company, Inc. (“ConnectiCare”), a wholly</w:t>
      </w:r>
      <w:r>
        <w:rPr>
          <w:rFonts w:ascii="Arial" w:cs="Arial" w:eastAsia="Arial" w:hAnsi="Arial"/>
          <w:sz w:val="14"/>
          <w:szCs w:val="14"/>
          <w:i w:val="1"/>
          <w:iCs w:val="1"/>
          <w:color w:val="auto"/>
        </w:rPr>
        <w:t xml:space="preserve"> </w:t>
      </w:r>
      <w:r>
        <w:rPr>
          <w:rFonts w:ascii="Arial" w:cs="Arial" w:eastAsia="Arial" w:hAnsi="Arial"/>
          <w:sz w:val="14"/>
          <w:szCs w:val="14"/>
          <w:color w:val="auto"/>
        </w:rPr>
        <w:t>owned subsidiary of EmblemHealth, Inc. ConnectiCare is a leading health plan in the state of Connecticut serving approximately 140,000 members across Marketplace, Medicare, and certain commercial products. The purchase price for the transaction was $350 million.</w:t>
      </w:r>
    </w:p>
    <w:p>
      <w:pPr>
        <w:spacing w:after="0" w:line="49"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i w:val="1"/>
          <w:iCs w:val="1"/>
          <w:color w:val="auto"/>
        </w:rPr>
        <w:t xml:space="preserve">Florida Procurement—Medicaid. </w:t>
      </w:r>
      <w:r>
        <w:rPr>
          <w:rFonts w:ascii="Arial" w:cs="Arial" w:eastAsia="Arial" w:hAnsi="Arial"/>
          <w:sz w:val="14"/>
          <w:szCs w:val="14"/>
          <w:color w:val="auto"/>
        </w:rPr>
        <w:t>In July 2024, we were notified that the Florida Agency for Healthcare Administration awarded a Medicaid managed care contract to our Florida</w:t>
      </w:r>
      <w:r>
        <w:rPr>
          <w:rFonts w:ascii="Arial" w:cs="Arial" w:eastAsia="Arial" w:hAnsi="Arial"/>
          <w:sz w:val="14"/>
          <w:szCs w:val="14"/>
          <w:i w:val="1"/>
          <w:iCs w:val="1"/>
          <w:color w:val="auto"/>
        </w:rPr>
        <w:t xml:space="preserve"> </w:t>
      </w:r>
      <w:r>
        <w:rPr>
          <w:rFonts w:ascii="Arial" w:cs="Arial" w:eastAsia="Arial" w:hAnsi="Arial"/>
          <w:sz w:val="14"/>
          <w:szCs w:val="14"/>
          <w:color w:val="auto"/>
        </w:rPr>
        <w:t>health plan. The contract commenced on February 1, 2025 and will run through December 31, 2030.</w:t>
      </w:r>
    </w:p>
    <w:p>
      <w:pPr>
        <w:spacing w:after="0" w:line="35"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i w:val="1"/>
          <w:iCs w:val="1"/>
          <w:color w:val="auto"/>
        </w:rPr>
        <w:t xml:space="preserve">Wisconsin Procurement—Medicaid. </w:t>
      </w:r>
      <w:r>
        <w:rPr>
          <w:rFonts w:ascii="Arial" w:cs="Arial" w:eastAsia="Arial" w:hAnsi="Arial"/>
          <w:sz w:val="14"/>
          <w:szCs w:val="14"/>
          <w:color w:val="auto"/>
        </w:rPr>
        <w:t>In August 2025, the Wisconsin Department of Health Services awarded a contract to provide services under the Family Care and Family Care</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Partnership program in its Geographic Service Regions 2 and 7 to our Wisconsin health plan. The contract is expected to commence on January 1, 2026 and is expected to have a duration of two years, with an option for three two-year extensions.</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In May 2024, the Wisconsin Department of Health Services awarded a contract to provide services under the Family Care and Family Care Partnership program in its Geographic Service Region 5 to our Wisconsin health plan. The contract commenced on January 1, 2025, and is expected to have a duration of two years, with an option for three two-year extensions.</w:t>
      </w:r>
    </w:p>
    <w:p>
      <w:pPr>
        <w:spacing w:after="0" w:line="4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i w:val="1"/>
          <w:iCs w:val="1"/>
          <w:color w:val="auto"/>
        </w:rPr>
        <w:t xml:space="preserve">Virginia Procurement—Medicaid. </w:t>
      </w:r>
      <w:r>
        <w:rPr>
          <w:rFonts w:ascii="Arial" w:cs="Arial" w:eastAsia="Arial" w:hAnsi="Arial"/>
          <w:sz w:val="14"/>
          <w:szCs w:val="14"/>
          <w:color w:val="auto"/>
        </w:rPr>
        <w:t>In April 2024, the Virginia Department of Medical Assistance Services (“DMAS”) issued a notice of intent to award which did not include our</w:t>
      </w:r>
      <w:r>
        <w:rPr>
          <w:rFonts w:ascii="Arial" w:cs="Arial" w:eastAsia="Arial" w:hAnsi="Arial"/>
          <w:sz w:val="14"/>
          <w:szCs w:val="14"/>
          <w:i w:val="1"/>
          <w:iCs w:val="1"/>
          <w:color w:val="auto"/>
        </w:rPr>
        <w:t xml:space="preserve"> </w:t>
      </w:r>
      <w:r>
        <w:rPr>
          <w:rFonts w:ascii="Arial" w:cs="Arial" w:eastAsia="Arial" w:hAnsi="Arial"/>
          <w:sz w:val="14"/>
          <w:szCs w:val="14"/>
          <w:color w:val="auto"/>
        </w:rPr>
        <w:t>Virginia health plan as an awardee for its Cardinal Care Managed Care (“CCMC”) 2.0 procurement. We exercised our right to protest that decision, but DMAS upheld its issued notice of intent to award. We filed a legal action in Virginia Circuit Court over DMAS’s decision not to award a CCMC 2.0 contract to our Virginia health plan, but we withdrew such action in May 2025. As result, our contracts with DMAS terminated effective June 30, 2025.</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REPORTABLE SEGMENTS</w:t>
      </w:r>
    </w:p>
    <w:p>
      <w:pPr>
        <w:spacing w:after="0" w:line="87"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As of September 30, 2025, we served approximately 5.6 million members eligible for Medicaid, Medicare, and other government-sponsored healthcare programs for low-income families and individuals, including Marketplace members, most of whom receive government premium subsidies.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currently have four reportable segments consisting of: 1) Medicaid; 2) Medicare; 3) Marketplace; and 4) Other.</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Medicaid, Medicare, and Marketplace segments represent the government-funded or sponsored programs under which we offer managed healthcare services. The Other segment, which is insignificant to our consolidated results of operations, includes long-term services and supports consultative services in Wisconsin and the commercial portion of the business acquired in connection with the ConnectiCare transaction that closed effective February 1, 2025.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HOW WE ASSESS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derive our revenues primarily from health insurance premiums. Our primary customers are state Medicaid agencies and the federal government.</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key metrics used to assess the performance of our segments are revenue, margin and medical care ratio (“MCR”). MCR represents the amount of medical care costs as a percentage of premium revenue. Therefore, the underlying margin, or the amount earned by the segments after medical or service costs are deducted from revenue, represents the most important measure of earnings reviewed by management, and is used by our chief executive officer, who is our chief operating decision maker, to review results, assess performance, and allocate resources. Such oversight and decision making includes, among others, pricing, approving capital expenditures, and identifying growth opportunities. We do not report total assets by segment since this is not a metric used to assess segment performance or allocate resources.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color w:val="auto"/>
        </w:rPr>
        <w:t>Management’s discussion and analysis of the change in medical margin is discussed below under “Segment Financial Performance.” For more information, see Notes to Consolidated Financial Statements, Note 10, “Segments.”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SEGMENT MEMBERSHIP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membership by segment as of the dates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1520" w:type="dxa"/>
            <w:vAlign w:val="bottom"/>
            <w:gridSpan w:val="2"/>
          </w:tcPr>
          <w:p>
            <w:pPr>
              <w:ind w:left="320"/>
              <w:spacing w:after="0"/>
              <w:rPr>
                <w:sz w:val="20"/>
                <w:szCs w:val="20"/>
                <w:color w:val="auto"/>
              </w:rPr>
            </w:pPr>
            <w:r>
              <w:rPr>
                <w:rFonts w:ascii="Arial" w:cs="Arial" w:eastAsia="Arial" w:hAnsi="Arial"/>
                <w:sz w:val="11"/>
                <w:szCs w:val="11"/>
                <w:b w:val="1"/>
                <w:bCs w:val="1"/>
                <w:color w:val="auto"/>
              </w:rPr>
              <w:t>September 30,</w:t>
            </w:r>
          </w:p>
        </w:tc>
        <w:tc>
          <w:tcPr>
            <w:tcW w:w="1520" w:type="dxa"/>
            <w:vAlign w:val="bottom"/>
            <w:gridSpan w:val="2"/>
          </w:tcPr>
          <w:p>
            <w:pPr>
              <w:ind w:left="360"/>
              <w:spacing w:after="0"/>
              <w:rPr>
                <w:sz w:val="20"/>
                <w:szCs w:val="20"/>
                <w:color w:val="auto"/>
              </w:rPr>
            </w:pPr>
            <w:r>
              <w:rPr>
                <w:rFonts w:ascii="Arial" w:cs="Arial" w:eastAsia="Arial" w:hAnsi="Arial"/>
                <w:sz w:val="11"/>
                <w:szCs w:val="11"/>
                <w:b w:val="1"/>
                <w:bCs w:val="1"/>
                <w:color w:val="auto"/>
              </w:rPr>
              <w:t>December 31,</w:t>
            </w:r>
          </w:p>
        </w:tc>
        <w:tc>
          <w:tcPr>
            <w:tcW w:w="1440" w:type="dxa"/>
            <w:vAlign w:val="bottom"/>
          </w:tcPr>
          <w:p>
            <w:pPr>
              <w:jc w:val="right"/>
              <w:ind w:right="258"/>
              <w:spacing w:after="0"/>
              <w:rPr>
                <w:sz w:val="20"/>
                <w:szCs w:val="20"/>
                <w:color w:val="auto"/>
              </w:rPr>
            </w:pPr>
            <w:r>
              <w:rPr>
                <w:rFonts w:ascii="Arial" w:cs="Arial" w:eastAsia="Arial" w:hAnsi="Arial"/>
                <w:sz w:val="11"/>
                <w:szCs w:val="11"/>
                <w:b w:val="1"/>
                <w:bCs w:val="1"/>
                <w:color w:val="auto"/>
              </w:rPr>
              <w:t>September 30,</w:t>
            </w:r>
          </w:p>
        </w:tc>
      </w:tr>
      <w:tr>
        <w:trPr>
          <w:trHeight w:val="159"/>
        </w:trPr>
        <w:tc>
          <w:tcPr>
            <w:tcW w:w="67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18"/>
              <w:spacing w:after="0"/>
              <w:rPr>
                <w:sz w:val="20"/>
                <w:szCs w:val="20"/>
                <w:color w:val="auto"/>
              </w:rPr>
            </w:pPr>
            <w:r>
              <w:rPr>
                <w:rFonts w:ascii="Arial" w:cs="Arial" w:eastAsia="Arial" w:hAnsi="Arial"/>
                <w:sz w:val="11"/>
                <w:szCs w:val="11"/>
                <w:b w:val="1"/>
                <w:bCs w:val="1"/>
                <w:color w:val="auto"/>
              </w:rPr>
              <w:t>2024</w:t>
            </w:r>
          </w:p>
        </w:tc>
      </w:tr>
      <w:tr>
        <w:trPr>
          <w:trHeight w:val="161"/>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4,639,000</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4,890,000</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4,941,000</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Medicare</w:t>
            </w:r>
          </w:p>
        </w:tc>
        <w:tc>
          <w:tcPr>
            <w:tcW w:w="1420" w:type="dxa"/>
            <w:vAlign w:val="bottom"/>
          </w:tcPr>
          <w:p>
            <w:pPr>
              <w:jc w:val="right"/>
              <w:spacing w:after="0"/>
              <w:rPr>
                <w:sz w:val="20"/>
                <w:szCs w:val="20"/>
                <w:color w:val="auto"/>
              </w:rPr>
            </w:pPr>
            <w:r>
              <w:rPr>
                <w:rFonts w:ascii="Arial" w:cs="Arial" w:eastAsia="Arial" w:hAnsi="Arial"/>
                <w:sz w:val="13"/>
                <w:szCs w:val="13"/>
                <w:color w:val="auto"/>
              </w:rPr>
              <w:t>266,000</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242,000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247,000</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713,000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403,000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410,000</w:t>
            </w:r>
          </w:p>
        </w:tc>
      </w:tr>
      <w:tr>
        <w:trPr>
          <w:trHeight w:val="169"/>
        </w:trPr>
        <w:tc>
          <w:tcPr>
            <w:tcW w:w="6780" w:type="dxa"/>
            <w:vAlign w:val="bottom"/>
          </w:tcPr>
          <w:p>
            <w:pPr>
              <w:ind w:left="20"/>
              <w:spacing w:after="0"/>
              <w:rPr>
                <w:sz w:val="20"/>
                <w:szCs w:val="20"/>
                <w:color w:val="auto"/>
              </w:rPr>
            </w:pPr>
            <w:r>
              <w:rPr>
                <w:rFonts w:ascii="Arial" w:cs="Arial" w:eastAsia="Arial" w:hAnsi="Arial"/>
                <w:sz w:val="13"/>
                <w:szCs w:val="13"/>
                <w:color w:val="auto"/>
              </w:rPr>
              <w:t>Other</w:t>
            </w:r>
          </w:p>
        </w:tc>
        <w:tc>
          <w:tcPr>
            <w:tcW w:w="142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5,628,000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5,535,000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5,598,000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SEGMENT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premium revenue, medical margin, and MCR by segment for the periods indicated (dollars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Three Months Ended September 30,</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Premium</w:t>
            </w:r>
          </w:p>
        </w:tc>
        <w:tc>
          <w:tcPr>
            <w:tcW w:w="180" w:type="dxa"/>
            <w:vAlign w:val="bottom"/>
          </w:tcPr>
          <w:p>
            <w:pPr>
              <w:spacing w:after="0"/>
              <w:rPr>
                <w:sz w:val="10"/>
                <w:szCs w:val="10"/>
                <w:color w:val="auto"/>
              </w:rPr>
            </w:pPr>
          </w:p>
        </w:tc>
        <w:tc>
          <w:tcPr>
            <w:tcW w:w="840" w:type="dxa"/>
            <w:vAlign w:val="bottom"/>
          </w:tcPr>
          <w:p>
            <w:pPr>
              <w:jc w:val="center"/>
              <w:ind w:right="119"/>
              <w:spacing w:after="0" w:line="119" w:lineRule="exact"/>
              <w:rPr>
                <w:sz w:val="20"/>
                <w:szCs w:val="20"/>
                <w:color w:val="auto"/>
              </w:rPr>
            </w:pPr>
            <w:r>
              <w:rPr>
                <w:rFonts w:ascii="Arial" w:cs="Arial" w:eastAsia="Arial" w:hAnsi="Arial"/>
                <w:sz w:val="11"/>
                <w:szCs w:val="11"/>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MCR</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Premium</w:t>
            </w:r>
          </w:p>
        </w:tc>
        <w:tc>
          <w:tcPr>
            <w:tcW w:w="200" w:type="dxa"/>
            <w:vAlign w:val="bottom"/>
          </w:tcPr>
          <w:p>
            <w:pPr>
              <w:spacing w:after="0"/>
              <w:rPr>
                <w:sz w:val="10"/>
                <w:szCs w:val="10"/>
                <w:color w:val="auto"/>
              </w:rPr>
            </w:pPr>
          </w:p>
        </w:tc>
        <w:tc>
          <w:tcPr>
            <w:tcW w:w="820" w:type="dxa"/>
            <w:vAlign w:val="bottom"/>
          </w:tcPr>
          <w:p>
            <w:pPr>
              <w:jc w:val="right"/>
              <w:ind w:right="239"/>
              <w:spacing w:after="0" w:line="119" w:lineRule="exact"/>
              <w:rPr>
                <w:sz w:val="20"/>
                <w:szCs w:val="20"/>
                <w:color w:val="auto"/>
              </w:rPr>
            </w:pPr>
            <w:r>
              <w:rPr>
                <w:rFonts w:ascii="Arial" w:cs="Arial" w:eastAsia="Arial" w:hAnsi="Arial"/>
                <w:sz w:val="11"/>
                <w:szCs w:val="11"/>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jc w:val="right"/>
              <w:ind w:right="380"/>
              <w:spacing w:after="0"/>
              <w:rPr>
                <w:sz w:val="20"/>
                <w:szCs w:val="20"/>
                <w:color w:val="auto"/>
              </w:rPr>
            </w:pPr>
            <w:r>
              <w:rPr>
                <w:rFonts w:ascii="Arial" w:cs="Arial" w:eastAsia="Arial" w:hAnsi="Arial"/>
                <w:sz w:val="11"/>
                <w:szCs w:val="11"/>
                <w:b w:val="1"/>
                <w:bCs w:val="1"/>
                <w:color w:val="auto"/>
              </w:rPr>
              <w:t>MCR</w:t>
            </w:r>
          </w:p>
        </w:tc>
        <w:tc>
          <w:tcPr>
            <w:tcW w:w="0" w:type="dxa"/>
            <w:vAlign w:val="bottom"/>
          </w:tcPr>
          <w:p>
            <w:pPr>
              <w:spacing w:after="0"/>
              <w:rPr>
                <w:sz w:val="1"/>
                <w:szCs w:val="1"/>
                <w:color w:val="auto"/>
              </w:rPr>
            </w:pPr>
          </w:p>
        </w:tc>
      </w:tr>
      <w:tr>
        <w:trPr>
          <w:trHeight w:val="149"/>
        </w:trPr>
        <w:tc>
          <w:tcPr>
            <w:tcW w:w="4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Revenue</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Revenue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3"/>
                <w:szCs w:val="13"/>
                <w:color w:val="auto"/>
              </w:rPr>
              <w:t>Medicare</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w:t>
            </w:r>
          </w:p>
        </w:tc>
        <w:tc>
          <w:tcPr>
            <w:tcW w:w="1220" w:type="dxa"/>
            <w:vAlign w:val="bottom"/>
            <w:gridSpan w:val="2"/>
          </w:tcPr>
          <w:p>
            <w:pPr>
              <w:ind w:left="800"/>
              <w:spacing w:after="0"/>
              <w:rPr>
                <w:sz w:val="20"/>
                <w:szCs w:val="20"/>
                <w:color w:val="auto"/>
              </w:rPr>
            </w:pPr>
            <w:r>
              <w:rPr>
                <w:rFonts w:ascii="Arial" w:cs="Arial" w:eastAsia="Arial" w:hAnsi="Arial"/>
                <w:sz w:val="13"/>
                <w:szCs w:val="13"/>
                <w:color w:val="auto"/>
              </w:rPr>
              <w:t>93.6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1,367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220" w:type="dxa"/>
            <w:vAlign w:val="bottom"/>
            <w:gridSpan w:val="2"/>
          </w:tcPr>
          <w:p>
            <w:pPr>
              <w:ind w:left="800"/>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w:t>
            </w:r>
          </w:p>
        </w:tc>
        <w:tc>
          <w:tcPr>
            <w:tcW w:w="1220" w:type="dxa"/>
            <w:vAlign w:val="bottom"/>
            <w:tcBorders>
              <w:top w:val="single" w:sz="8" w:color="CCEEFF"/>
              <w:bottom w:val="single" w:sz="8" w:color="CCEEFF"/>
            </w:tcBorders>
            <w:gridSpan w:val="2"/>
            <w:shd w:val="clear" w:color="auto" w:fill="CCEEFF"/>
          </w:tcPr>
          <w:p>
            <w:pPr>
              <w:ind w:left="800"/>
              <w:spacing w:after="0"/>
              <w:rPr>
                <w:sz w:val="20"/>
                <w:szCs w:val="20"/>
                <w:color w:val="auto"/>
              </w:rPr>
            </w:pPr>
            <w:r>
              <w:rPr>
                <w:rFonts w:ascii="Arial" w:cs="Arial" w:eastAsia="Arial" w:hAnsi="Arial"/>
                <w:sz w:val="13"/>
                <w:szCs w:val="13"/>
                <w:color w:val="auto"/>
                <w:w w:val="98"/>
              </w:rPr>
              <w:t>92.6 %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89.2 %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1"/>
                <w:szCs w:val="11"/>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Premium</w:t>
            </w:r>
          </w:p>
        </w:tc>
        <w:tc>
          <w:tcPr>
            <w:tcW w:w="180" w:type="dxa"/>
            <w:vAlign w:val="bottom"/>
          </w:tcPr>
          <w:p>
            <w:pPr>
              <w:spacing w:after="0"/>
              <w:rPr>
                <w:sz w:val="10"/>
                <w:szCs w:val="10"/>
                <w:color w:val="auto"/>
              </w:rPr>
            </w:pPr>
          </w:p>
        </w:tc>
        <w:tc>
          <w:tcPr>
            <w:tcW w:w="840" w:type="dxa"/>
            <w:vAlign w:val="bottom"/>
          </w:tcPr>
          <w:p>
            <w:pPr>
              <w:jc w:val="center"/>
              <w:ind w:right="119"/>
              <w:spacing w:after="0" w:line="123" w:lineRule="exact"/>
              <w:rPr>
                <w:sz w:val="20"/>
                <w:szCs w:val="20"/>
                <w:color w:val="auto"/>
              </w:rPr>
            </w:pPr>
            <w:r>
              <w:rPr>
                <w:rFonts w:ascii="Arial" w:cs="Arial" w:eastAsia="Arial" w:hAnsi="Arial"/>
                <w:sz w:val="11"/>
                <w:szCs w:val="11"/>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MCR</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Premium</w:t>
            </w:r>
          </w:p>
        </w:tc>
        <w:tc>
          <w:tcPr>
            <w:tcW w:w="200" w:type="dxa"/>
            <w:vAlign w:val="bottom"/>
          </w:tcPr>
          <w:p>
            <w:pPr>
              <w:spacing w:after="0"/>
              <w:rPr>
                <w:sz w:val="10"/>
                <w:szCs w:val="10"/>
                <w:color w:val="auto"/>
              </w:rPr>
            </w:pPr>
          </w:p>
        </w:tc>
        <w:tc>
          <w:tcPr>
            <w:tcW w:w="820" w:type="dxa"/>
            <w:vAlign w:val="bottom"/>
          </w:tcPr>
          <w:p>
            <w:pPr>
              <w:jc w:val="right"/>
              <w:ind w:right="239"/>
              <w:spacing w:after="0" w:line="123" w:lineRule="exact"/>
              <w:rPr>
                <w:sz w:val="20"/>
                <w:szCs w:val="20"/>
                <w:color w:val="auto"/>
              </w:rPr>
            </w:pPr>
            <w:r>
              <w:rPr>
                <w:rFonts w:ascii="Arial" w:cs="Arial" w:eastAsia="Arial" w:hAnsi="Arial"/>
                <w:sz w:val="11"/>
                <w:szCs w:val="11"/>
                <w:b w:val="1"/>
                <w:bCs w:val="1"/>
                <w:color w:val="auto"/>
              </w:rPr>
              <w:t>Medical</w:t>
            </w:r>
          </w:p>
        </w:tc>
        <w:tc>
          <w:tcPr>
            <w:tcW w:w="100" w:type="dxa"/>
            <w:vAlign w:val="bottom"/>
          </w:tcPr>
          <w:p>
            <w:pPr>
              <w:spacing w:after="0"/>
              <w:rPr>
                <w:sz w:val="10"/>
                <w:szCs w:val="10"/>
                <w:color w:val="auto"/>
              </w:rPr>
            </w:pPr>
          </w:p>
        </w:tc>
        <w:tc>
          <w:tcPr>
            <w:tcW w:w="1120" w:type="dxa"/>
            <w:vAlign w:val="bottom"/>
            <w:vMerge w:val="restart"/>
          </w:tcPr>
          <w:p>
            <w:pPr>
              <w:jc w:val="right"/>
              <w:ind w:right="380"/>
              <w:spacing w:after="0"/>
              <w:rPr>
                <w:sz w:val="20"/>
                <w:szCs w:val="20"/>
                <w:color w:val="auto"/>
              </w:rPr>
            </w:pPr>
            <w:r>
              <w:rPr>
                <w:rFonts w:ascii="Arial" w:cs="Arial" w:eastAsia="Arial" w:hAnsi="Arial"/>
                <w:sz w:val="11"/>
                <w:szCs w:val="11"/>
                <w:b w:val="1"/>
                <w:bCs w:val="1"/>
                <w:color w:val="auto"/>
              </w:rPr>
              <w:t>MCR</w:t>
            </w:r>
          </w:p>
        </w:tc>
        <w:tc>
          <w:tcPr>
            <w:tcW w:w="0" w:type="dxa"/>
            <w:vAlign w:val="bottom"/>
          </w:tcPr>
          <w:p>
            <w:pPr>
              <w:spacing w:after="0"/>
              <w:rPr>
                <w:sz w:val="1"/>
                <w:szCs w:val="1"/>
                <w:color w:val="auto"/>
              </w:rPr>
            </w:pPr>
          </w:p>
        </w:tc>
      </w:tr>
      <w:tr>
        <w:trPr>
          <w:trHeight w:val="144"/>
        </w:trPr>
        <w:tc>
          <w:tcPr>
            <w:tcW w:w="4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Revenue</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Revenue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Margin</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Medicaid</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3"/>
                <w:szCs w:val="13"/>
                <w:color w:val="auto"/>
              </w:rPr>
              <w:t>Medicare</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436</w:t>
            </w:r>
          </w:p>
        </w:tc>
        <w:tc>
          <w:tcPr>
            <w:tcW w:w="1220" w:type="dxa"/>
            <w:vAlign w:val="bottom"/>
            <w:gridSpan w:val="2"/>
          </w:tcPr>
          <w:p>
            <w:pPr>
              <w:ind w:left="800"/>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522</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87.7</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87.9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1220" w:type="dxa"/>
            <w:vAlign w:val="bottom"/>
            <w:gridSpan w:val="2"/>
          </w:tcPr>
          <w:p>
            <w:pPr>
              <w:ind w:left="800"/>
              <w:spacing w:after="0"/>
              <w:rPr>
                <w:sz w:val="20"/>
                <w:szCs w:val="20"/>
                <w:color w:val="auto"/>
              </w:rPr>
            </w:pPr>
            <w:r>
              <w:rPr>
                <w:rFonts w:ascii="Arial" w:cs="Arial" w:eastAsia="Arial" w:hAnsi="Arial"/>
                <w:sz w:val="13"/>
                <w:szCs w:val="13"/>
                <w:color w:val="auto"/>
              </w:rPr>
              <w:t>84.8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4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32,337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3,219</w:t>
            </w: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Medicaid</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Medicaid premium revenue increased $347 million, or 5%, in the third quarter of 2025, when compared with the third quarter of 2024. Medicaid premium revenue increased $ 1.6 billion, or 7%, in the nine months ended September 30, 2025, when compared with the nine months ended September 30, 2024. The increase in the third quarter was mainly due to premium rate increases, which were partially offset by the impact of lower membership due to redeterminations that continued into the second half of 2024, a general market contraction in 2025, and expiration of the Virginia contract. Also contributing to the premium revenue increase for the nine month period is revenue from contract wins in New Mexico (July 2024) and Texas ABD (September 2024), and a lower impact of minimum MLRs and medical cost corridors, when compared to the prior year.</w:t>
      </w:r>
    </w:p>
    <w:p>
      <w:pPr>
        <w:spacing w:after="0" w:line="55" w:lineRule="exact"/>
        <w:rPr>
          <w:sz w:val="20"/>
          <w:szCs w:val="20"/>
          <w:color w:val="auto"/>
        </w:rPr>
      </w:pPr>
    </w:p>
    <w:p>
      <w:pPr>
        <w:jc w:val="both"/>
        <w:ind w:right="140"/>
        <w:spacing w:after="0" w:line="271" w:lineRule="auto"/>
        <w:rPr>
          <w:sz w:val="20"/>
          <w:szCs w:val="20"/>
          <w:color w:val="auto"/>
        </w:rPr>
      </w:pPr>
      <w:r>
        <w:rPr>
          <w:rFonts w:ascii="Arial" w:cs="Arial" w:eastAsia="Arial" w:hAnsi="Arial"/>
          <w:sz w:val="14"/>
          <w:szCs w:val="14"/>
          <w:color w:val="auto"/>
        </w:rPr>
        <w:t>The medical margin in our Medicaid program decreased $91 million, or 12%, in the third quarter of 2025 when compared with the third quarter of 2024, and decreased $61 million, or 3%, in the nine months ended September 30, 2025 when compared with the nine months ended September 30, 2024. The changes for both periods were driven by an increase in the MCR, as described below, partially offset by the increased premium revenues discussed above.</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Medicaid MCR increased 150 basis points to 92.0% in the third quarter of 2025, from 90.5% in the third quarter of 2024, and increased 90 basis points to 91.2% in the nine months ended September 30, 2025, from 90.3% in the nine months ended September 30, 2024. The increase in both periods was driven by higher than expected medical costs from acuity shifts, changes in product mix and an increase in utilization among our continuing population from the second half of 2024 that has continued into 2025. The increased utilization includes behavioral health services, high-cost drugs, long-term services and supports (LTSS) and broader utilization pressure in inpatient and outpatient settings, partially offset by premium rate increases. The Medicaid MCR for the third quarter and nine months ended 2025 is higher than we expected and is above our long-term target range.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Medicare</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Medicare premium revenue increased $243 million, or 18%, in the third quarter of 2025 compared to the third quarter of 2024, and increased $436 million, or 10%, in the nine months ended September 30, 2025 compared to the nine months ended September 30, 2024. The increase primarily reflects membership growth associated with the ConnectiCare acquisition, partially offset by the impact of our exit from MAPD in thirteen states in 2025.</w:t>
      </w:r>
    </w:p>
    <w:p>
      <w:pPr>
        <w:spacing w:after="0" w:line="49"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The medical margin for Medicare decreased $39 million in the third quarter of 2025, and decreased $86 million in the nine months ended September 30, 2025, when compared to the same periods in 2024. The decrease in both periods was mainly due to the increase in MCR discussed below, partially offset by the year-over-year increase in premium revenues discussed above.</w:t>
      </w:r>
    </w:p>
    <w:p>
      <w:pPr>
        <w:spacing w:after="0" w:line="49"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Medicare MCR increased to 93.6% in the third quarter of 2025, or 400 basis points, compared to the third quarter of 2024, and increased to 90.7% in the nine months ended September 30, 2025, or 300 basis points, compared to the nine months ended September 30, 2024. The increase in both periods resulted mainly from higher-than-expected utilization among our high-acuity duals populations, particularly for LTSS benefits and high-cost pharmacy drugs, partially offset by pricing and benefit adjustments implemented for 2025 and the exit from MAPD in thirteen states. The Medicare MCR for the third quarter and nine months ended 2025 is above our long-term target range.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Marketplace</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Marketplace premium revenue increased $ 538 million in the third quarter of 2025 compared to the third quarter of 2024, and increased $1.5 billion in the nine months ended September 30, 2025 compared to the nine months ended September 30, 2024, due to an expected increase in membership in line with our product and pricing strategy to achieve growth, membership growth associated with the ConnectiCare acquisition, and the impact of membership gained from redeterminations in 2024. Our Marketplace membership as of September 30, 2025, amounted to 713,000 members, representing an increase of 303,000 members compared to September 30, 2024.</w:t>
      </w:r>
    </w:p>
    <w:p>
      <w:pPr>
        <w:spacing w:after="0" w:line="53"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The Marketplace medical margin decreased $126 million in the third quarter of 2025 when compared with the third quarter of 2024, and decreased $98 million in the nine months ended September 30, 2025 when compared with the nine months ended September 30, 2024. The changes in each period were impacted by the growth in premiums and margin associated with the higher membership, and the impact of MCR changes discussed below.</w:t>
      </w:r>
    </w:p>
    <w:p>
      <w:pPr>
        <w:spacing w:after="0" w:line="49"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The Marketplace MCR increased to 95.6% in the third quarter of 2025, or 2,260 basis points, compared to 73.0% in the third quarter of 2024, and increased to 87.9% in the nine months ended September 30, 2025, or 1,530 basis points, compared to 72.6% in the nine months ended September 30, 2024. The increase in MCR for both periods was higher than expected, reflecting higher utilization relative to the risk adjustment revenue that we priced for among our continuing population and Special Enrollment Period members. The higher trend across the total Marketplace population mitigates the risk adjustment hedge we would have expected to realize. The increase in MCR also reflects the impact from higher initial MCRs related to the ConnectiCare acquisition and the impact of membership losses due to prior year member reconciliations and various program integrity initiatives. The program integrity initiatives caused a disconnect between premium and medical costs because members were disenrolled, but we were still required to cover the medical cost.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92"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Other segment includes service revenues and costs associated with long-term services and supports consultative services we provide in Wisconsin, the commercial portion of the business acquired in connection with the ConnectiCare transaction that closed effective February 1, 2025, and certain corporate amounts not allocated to the Medicaid, Medicare, or Marketplace segments. Such amounts were immaterial to our consolidated results of operations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LIQUIDITY, FINANCIAL CONDITION AND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LIQUIDITY</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maintain liquidity at two levels: 1) the regulated health plan subsidiaries; and 2) the parent company.</w:t>
      </w:r>
    </w:p>
    <w:p>
      <w:pPr>
        <w:spacing w:after="0" w:line="94"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Our regulated health plan subsidiaries’ primary liquidity requirements include payment of medical claims and other health care services; payment of certain settlements with our state and federal customers, such as minimum medical loss ratio and risk corridors and Marketplace risk transfers on behalf of CMS; general and administrative costs directly incurred or paid through an administrative services agreement to the parent company; and federal tax payments to the parent company under an intercompany tax sharing agreement. Our regulated health plan subsidiaries meet their liquidity needs by generating cash flows from operating activities, primarily from premium revenue; cash flows from investing activities, including investment income and sales of investments; and capital contributions received from our parent company.</w:t>
      </w:r>
    </w:p>
    <w:p>
      <w:pPr>
        <w:spacing w:after="0" w:line="5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regulated health plan subsidiaries are each subject to applicable state regulations that, among other things, require the maintenance of minimum levels of capital and surplus. We continue to maintain levels of aggregate excess statutory capital and surplus in our regulated health plan subsidiaries that we believe are appropriate. See further discussion under “Regulatory Capital and Dividend Restrictions” below. When available and as permitted by applicable regulations, cash in excess of the capital needs of our regulated health plan subsidiaries is generally paid in the form of dividends to our parent company to be used for general corporate purposes. In the three and nine months ended September 30, 2025, the parent company received $278 million and $648 million, respectively, in dividends and return of capital from the regulated health plan subsidiaries. See further discussion of dividends below in “Future Sources and Uses of Liquidity—Future Sources.”</w:t>
      </w:r>
    </w:p>
    <w:p>
      <w:pPr>
        <w:spacing w:after="0" w:line="57"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Parent company liquidity requirements generally consist of payment of administrative costs not directly incurred by our regulated operations, including, but not limited to, staffing costs, lease payments, branding and certain information technology services; capital contributions paid to our regulated health plan subsidiaries, including funding for newer health plans; capital expenditures; debt service; funding for common stock purchases, acquisitions and other growth-related activities; and federal tax payments. In the three and nine months ended September 30, 2025, the parent company contributed capital in the aggregate amount of $55 million and $184 million, respectively, to our regulated health plan subsidiaries to satisfy statutory capital and surplus requirements mainly to fund our Connecticut health plans acquired in the ConnectiCare acquisition and, to a lesser extent, our New Mexico health plan. Our parent company normally meets its liquidity requirements from administrative services fees earned under administrative services agreements; dividends received from our regulated subsidiaries; federal tax payments collected from the regulated subsidiaries; proceeds received from the issuance of debt and equity securities; and cash flows from investing activities, including investment income and sales of investments.</w:t>
      </w:r>
    </w:p>
    <w:p>
      <w:pPr>
        <w:spacing w:after="0" w:line="5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Cash, cash equivalents and investments at the parent company amounted to approximately $ 108 million and $445 million as of September 30, 2025, and December 31, 2024, respectively. The decrease for the nine months ended September 30, 2025 was primarily due to the purchase of approximately 2.8 million shares of our stock for $500 million in the third quarter of 2025, approximately 1.7 million shares of our stock for $500 million in the first quarter of 2025, funding the ConnectiCare transaction for $350 million, and capital contributions to regulated health plan subsidiaries, partially offset by $740 million from net borrowing activity under the Credit Facility and Term Loans, dividends received from regulated health plan subsidiaries and the timing of corporate payments.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92"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49"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 documented guidelines manage our investments and a portion of our cash equivalents. Our portfolio managers</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must obtain our prior approval before selling investments where the loss position of those investments exceeds certain levels.</w:t>
      </w:r>
    </w:p>
    <w:p>
      <w:pPr>
        <w:spacing w:after="0" w:line="94"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overall rating of our portfolio is AA-. Our investment policy has directives in conjunction with state guidelines to minimize risks and exposures in volatile markets. Additionally, our portfolio managers assist us in navigating the current volatility in the capital markets.</w:t>
      </w:r>
    </w:p>
    <w:p>
      <w:pPr>
        <w:spacing w:after="0" w:line="35"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Our restricted investments are invested principally in cash, cash equivalents, U.S. Treasury securities, and corporate debt securities; we have the ability to hold such restricted investments until maturity. All of our unrestricted investments are classified as current assets.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Activities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cash flows are summarized as follows: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ind w:left="78"/>
              <w:spacing w:after="0"/>
              <w:rPr>
                <w:sz w:val="20"/>
                <w:szCs w:val="20"/>
                <w:color w:val="auto"/>
              </w:rPr>
            </w:pPr>
            <w:r>
              <w:rPr>
                <w:rFonts w:ascii="Arial" w:cs="Arial" w:eastAsia="Arial" w:hAnsi="Arial"/>
                <w:sz w:val="11"/>
                <w:szCs w:val="11"/>
                <w:b w:val="1"/>
                <w:bCs w:val="1"/>
                <w:color w:val="auto"/>
              </w:rPr>
              <w:t>Nine Months Ended September 30,</w:t>
            </w:r>
          </w:p>
        </w:tc>
        <w:tc>
          <w:tcPr>
            <w:tcW w:w="112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Change</w:t>
            </w:r>
          </w:p>
        </w:tc>
      </w:tr>
      <w:tr>
        <w:trPr>
          <w:trHeight w:val="182"/>
        </w:trPr>
        <w:tc>
          <w:tcPr>
            <w:tcW w:w="6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provided by operating activities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w:t>
            </w:r>
          </w:p>
        </w:tc>
      </w:tr>
      <w:tr>
        <w:trPr>
          <w:trHeight w:val="169"/>
        </w:trPr>
        <w:tc>
          <w:tcPr>
            <w:tcW w:w="6760" w:type="dxa"/>
            <w:vAlign w:val="bottom"/>
          </w:tcPr>
          <w:p>
            <w:pPr>
              <w:spacing w:after="0"/>
              <w:rPr>
                <w:sz w:val="20"/>
                <w:szCs w:val="20"/>
                <w:color w:val="auto"/>
              </w:rPr>
            </w:pPr>
            <w:r>
              <w:rPr>
                <w:rFonts w:ascii="Arial" w:cs="Arial" w:eastAsia="Arial" w:hAnsi="Arial"/>
                <w:sz w:val="13"/>
                <w:szCs w:val="13"/>
                <w:color w:val="auto"/>
              </w:rPr>
              <w:t>Net cash provided by (used in) investing activities</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565</w:t>
            </w:r>
          </w:p>
        </w:tc>
      </w:tr>
      <w:tr>
        <w:trPr>
          <w:trHeight w:val="170"/>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9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62"/>
        </w:trPr>
        <w:tc>
          <w:tcPr>
            <w:tcW w:w="6760" w:type="dxa"/>
            <w:vAlign w:val="bottom"/>
          </w:tcPr>
          <w:p>
            <w:pPr>
              <w:ind w:left="100"/>
              <w:spacing w:after="0"/>
              <w:rPr>
                <w:sz w:val="20"/>
                <w:szCs w:val="20"/>
                <w:color w:val="auto"/>
              </w:rPr>
            </w:pPr>
            <w:r>
              <w:rPr>
                <w:rFonts w:ascii="Arial" w:cs="Arial" w:eastAsia="Arial" w:hAnsi="Arial"/>
                <w:sz w:val="13"/>
                <w:szCs w:val="13"/>
                <w:color w:val="auto"/>
              </w:rPr>
              <w:t>Net decrease in cash, cash equivalents, and restricted cash and cash equivalents</w:t>
            </w:r>
          </w:p>
        </w:tc>
        <w:tc>
          <w:tcPr>
            <w:tcW w:w="98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Activities</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49"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Net cash used in operations for the nine months ended September 30, 2025 was $237 million, compared with $ 868 million provided in the nine months ended September 30, 2024. The change in cash flow mainly results from timing differences in settlement of government agency receivables and payables, including settlements for Medicaid minimum MLR and medical cost corridors and Marketplace risk adjustment payables, tax payments and a lower net income in the nine months ended September 30, 2025.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Investing Activities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Net cash provided by investing activities was $ 82 million in the nine months ended September 30, 2025, compared with $483 million used in the nine months ended September 30, 2024, an increase in cash flow of $565 million. This change in cash flow reflects the net impact of proceeds and purchases of investments, which amounted to net proceeds of $410 million in the nine months ended September 30, 2025 and net purchases of $118 million in the nine months ended September 30, 2024. Net cash used in business combinations amounted to $245 million in the nine months ended September 30, 2025, related to the ConnectiCare acquisition, compared to $295 million in net cash used related to the Bright acquisition and $49 million for final purchase consideration for MyChoice Wisconsin in the nine months ended September 30, 2024.</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Financing Activities</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Net cash used in financing activities was $262 million in the nine months ended September 30, 2025, compared with $414 million used in the nine months ended September 30, 2024, an increase in cash flow of $152 million. In the nine months ended September 30, 2025, financing activity included common stock purchases of $ 1.0 billion and $360 million in repayment under the Credit Facility and Term Loans, partially offset by $1.1 billion in combined borrowings under the Credit Facility and Term Loans. In the nine months ended September 30, 2024, financing activity included common stock purchases of $500 million and $ 150 million in repayment under the Credit Facility, partially offset by $300 million in borrowings under the Credit Facility. In addition, in the nine months ended September 30, 2025 and 2024, financing cash outflows included $37 million and $57 million, respectively, for common stock withheld to settle employee tax obligations.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FINANCIAL CONDITION</w:t>
      </w:r>
    </w:p>
    <w:p>
      <w:pPr>
        <w:spacing w:after="0" w:line="94"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We believe that our cash resources, borrowing capacity available under our Amended Credit Agreement as discussed further below in “Future Sources and Uses of Liquidity— Future Sources,” and internally generated funds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will be sufficient to support our operations, regulatory requirements, debt repayment obligations and capital expenditures for at least the next 12 months.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Our working capital on a consolidated basis was $5.1 billion at September 30, 2025, compared with $4.9 billion at December 31, 2024. At September 30, 2025, our cash 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investments amounted to $8.7 billion, compared with $9.3 billion at December 31, 2024. A significant portion of our portfolio is held in cash and cash equivalents, and we do not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anticipate the fluctuations in the aggregate fair value of our financial assets to have a material impact on our liquidity or capital position since we intend to hold our securities to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maturity. Net unrealized gains on our investments classified as current and available for sale increased to $12 million at September 30, 2025 compared to net unrealized losses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$75 million at December 31, 2024. We have determined that the unrealized losses primarily resulted from fluctuating interest rates, rather than a deterioration of the creditworthiness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of the issuers.</w:t>
      </w:r>
    </w:p>
    <w:p>
      <w:pPr>
        <w:spacing w:after="0" w:line="80"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Because of the statutory restrictions that inhibit the ability of our health plan subsidiaries to transfer net assets to us, the amount of retained earnings readily available to pay dividends to our stockholders is generally limited to cash, cash equivalents and investments held by our unregulated parent. For more information, see the “Liquidity” discussion presented above.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and Dividend Restrictions</w:t>
      </w:r>
    </w:p>
    <w:p>
      <w:pPr>
        <w:spacing w:after="0" w:line="92" w:lineRule="exact"/>
        <w:rPr>
          <w:sz w:val="20"/>
          <w:szCs w:val="20"/>
          <w:color w:val="auto"/>
        </w:rPr>
      </w:pPr>
    </w:p>
    <w:p>
      <w:pPr>
        <w:jc w:val="both"/>
        <w:ind w:right="80"/>
        <w:spacing w:after="0" w:line="262" w:lineRule="auto"/>
        <w:rPr>
          <w:sz w:val="20"/>
          <w:szCs w:val="20"/>
          <w:color w:val="auto"/>
        </w:rPr>
      </w:pPr>
      <w:r>
        <w:rPr>
          <w:rFonts w:ascii="Arial" w:cs="Arial" w:eastAsia="Arial" w:hAnsi="Arial"/>
          <w:sz w:val="14"/>
          <w:szCs w:val="14"/>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$3.0 billion at September 30, 2025 and $2.6 billion at December 31, 2024. The aggregate capital and surplus of our wholly owned subsidiaries was in excess of these minimum capital requirements as of both dates.</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Under applicable regulatory requirements, the amount of dividends that may be paid by our wholly owned subsidiaries without prior approval by regulatory authorities as of September 30, 2025, was approximately $510 million in the aggregate. The subsidiaries may pay dividends over this amount, but only after approval is granted by the regulatory authorities.</w:t>
      </w:r>
    </w:p>
    <w:p>
      <w:pPr>
        <w:spacing w:after="0" w:line="49" w:lineRule="exact"/>
        <w:rPr>
          <w:sz w:val="20"/>
          <w:szCs w:val="20"/>
          <w:color w:val="auto"/>
        </w:rPr>
      </w:pPr>
    </w:p>
    <w:p>
      <w:pPr>
        <w:jc w:val="both"/>
        <w:ind w:right="200"/>
        <w:spacing w:after="0" w:line="271" w:lineRule="auto"/>
        <w:rPr>
          <w:sz w:val="20"/>
          <w:szCs w:val="20"/>
          <w:color w:val="auto"/>
        </w:rPr>
      </w:pPr>
      <w:r>
        <w:rPr>
          <w:rFonts w:ascii="Arial" w:cs="Arial" w:eastAsia="Arial" w:hAnsi="Arial"/>
          <w:sz w:val="14"/>
          <w:szCs w:val="14"/>
          <w:color w:val="auto"/>
        </w:rPr>
        <w:t>Based on our cash and investments balances as of September 30, 2025, management believes that our regulated, wholly owned subsidiaries remain well capitalized and exceed their regulatory minimum requirements. We have the ability, and have committed, to provide additional capital to each of our health plans as necessary to ensure compliance with minimum statutory capital requirements.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Ratings</w:t>
      </w:r>
    </w:p>
    <w:p>
      <w:pPr>
        <w:spacing w:after="0" w:line="9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Each of our senior notes is rated “BB” by Standard &amp; Poor’s, and “Ba2” by Moody’s Investor Service, Inc. A downgrade in our ratings could adversely affect our borrowing capacity and increase our borrowing costs.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Covenants</w:t>
      </w:r>
    </w:p>
    <w:p>
      <w:pPr>
        <w:spacing w:after="0" w:line="9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Our Amended Credit Agreement contains customary non-financial and financial covenants, including a net leverage ratio and an interest coverage ratio. Such ratios are computed as defined by the terms of the Amended Credit Agreement.</w:t>
      </w:r>
    </w:p>
    <w:p>
      <w:pPr>
        <w:spacing w:after="0" w:line="3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September 30, 2025, we were in compliance with all financial and non-financial covenants under the Amended Credit Agreement and other long-term debt.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FUTURE SOURCES AND USES OF LIQUIDITY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Sources</w:t>
      </w:r>
    </w:p>
    <w:p>
      <w:pPr>
        <w:spacing w:after="0" w:line="92"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i w:val="1"/>
          <w:iCs w:val="1"/>
          <w:color w:val="auto"/>
        </w:rPr>
        <w:t xml:space="preserve">Dividends from Subsidiaries. </w:t>
      </w:r>
      <w:r>
        <w:rPr>
          <w:rFonts w:ascii="Arial" w:cs="Arial" w:eastAsia="Arial" w:hAnsi="Arial"/>
          <w:sz w:val="14"/>
          <w:szCs w:val="14"/>
          <w:color w:val="auto"/>
        </w:rPr>
        <w:t>When available and as permitted by applicable regulations, cash in excess of the capital needs of our regulated health plans is generally paid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form of dividends to our unregulated parent company to be used for general corporate purposes.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i w:val="1"/>
          <w:iCs w:val="1"/>
          <w:color w:val="auto"/>
        </w:rPr>
        <w:t xml:space="preserve">Credit Agreement Borrowing Capacity. </w:t>
      </w:r>
      <w:r>
        <w:rPr>
          <w:rFonts w:ascii="Arial" w:cs="Arial" w:eastAsia="Arial" w:hAnsi="Arial"/>
          <w:sz w:val="14"/>
          <w:szCs w:val="14"/>
          <w:color w:val="auto"/>
        </w:rPr>
        <w:t>We are party to a credit agreement (the “Amended Credit Agreement”), which provides for a revolving credit facility (“Credit Facility”) of $1.25</w:t>
      </w:r>
      <w:r>
        <w:rPr>
          <w:rFonts w:ascii="Arial" w:cs="Arial" w:eastAsia="Arial" w:hAnsi="Arial"/>
          <w:sz w:val="14"/>
          <w:szCs w:val="14"/>
          <w:i w:val="1"/>
          <w:iCs w:val="1"/>
          <w:color w:val="auto"/>
        </w:rPr>
        <w:t xml:space="preserve"> </w:t>
      </w:r>
      <w:r>
        <w:rPr>
          <w:rFonts w:ascii="Arial" w:cs="Arial" w:eastAsia="Arial" w:hAnsi="Arial"/>
          <w:sz w:val="14"/>
          <w:szCs w:val="14"/>
          <w:color w:val="auto"/>
        </w:rPr>
        <w:t>billion, with a lending commitment termination date of September 20, 2029, a delayed draw commitment in an aggregate principal amount of $500 million, with a maturity date of February 19, 2027 (“Term Loan A-1”), and a delayed draw commitment in an aggregate principal amount of $ 500 million, with a maturity date of August 12, 2027 (“Term Loan A-2” and together with the Term Loan A-1, the “Term Loans”). The Amended Credit Agreement also provides for a $15 million swingline sub-facility and a $100 million letter of credit sub-facility, as well as incremental term loans available to finance certain acquisitions up to $800 million, plus an unlimited amount of such term loans as long as we maintain a minimum consolidated net leverage ratio. As of September 30, 2025, we had available borrowing capacity of $1.25 billion under the Credit Facility, $50 million available capacity under the Term Loan A-2 and no available capacity under the Term Loan A-1. See further discussion in the Notes to Consolidated Financial Statements, Note 8, “Debt.”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Uses</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i w:val="1"/>
          <w:iCs w:val="1"/>
          <w:color w:val="auto"/>
        </w:rPr>
        <w:t xml:space="preserve">Common Stock Purchases. </w:t>
      </w:r>
      <w:r>
        <w:rPr>
          <w:rFonts w:ascii="Arial" w:cs="Arial" w:eastAsia="Arial" w:hAnsi="Arial"/>
          <w:sz w:val="14"/>
          <w:szCs w:val="14"/>
          <w:color w:val="auto"/>
        </w:rPr>
        <w:t>In April 2025, our board of directors newly authorized the purchase of up to an additional $ 1 billion of our common stock. This new program extends</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December 31, 2026. In consultation with the Finance Committee of the Board, the exact timing and amount of any share repurchases shall be determined by management based on market conditions and share price, in addition to other factors, and repurchases generally will be made in accordance with the volume, price, and timing parameters under Rule 10b-18 of the Securities Exchange Act of 1934, as amended. As of October 17, 2025, $500 million remained available to purchase our common stock under this program through December 31, 2026.</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i w:val="1"/>
          <w:iCs w:val="1"/>
          <w:color w:val="auto"/>
        </w:rPr>
        <w:t xml:space="preserve">Acquisitions. </w:t>
      </w:r>
      <w:r>
        <w:rPr>
          <w:rFonts w:ascii="Arial" w:cs="Arial" w:eastAsia="Arial" w:hAnsi="Arial"/>
          <w:sz w:val="14"/>
          <w:szCs w:val="14"/>
          <w:color w:val="auto"/>
        </w:rPr>
        <w:t>We have a disciplined and steady approach to growth. Organic growth, which includes leveraging our existing health plan portfolio and winning new territories, is our</w:t>
      </w:r>
      <w:r>
        <w:rPr>
          <w:rFonts w:ascii="Arial" w:cs="Arial" w:eastAsia="Arial" w:hAnsi="Arial"/>
          <w:sz w:val="14"/>
          <w:szCs w:val="14"/>
          <w:i w:val="1"/>
          <w:iCs w:val="1"/>
          <w:color w:val="auto"/>
        </w:rPr>
        <w:t xml:space="preserve"> </w:t>
      </w:r>
      <w:r>
        <w:rPr>
          <w:rFonts w:ascii="Arial" w:cs="Arial" w:eastAsia="Arial" w:hAnsi="Arial"/>
          <w:sz w:val="14"/>
          <w:szCs w:val="14"/>
          <w:color w:val="auto"/>
        </w:rPr>
        <w:t>highest priority. In addition to organic growth, we will consider targeted acquisitions that are a strategic fit that we believe will leverage operational synergies, and lead to incremental earnings accretion.</w:t>
      </w:r>
    </w:p>
    <w:p>
      <w:pPr>
        <w:spacing w:after="0" w:line="49"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i w:val="1"/>
          <w:iCs w:val="1"/>
          <w:color w:val="auto"/>
        </w:rPr>
        <w:t xml:space="preserve">Regulatory Capital Requirements and Dividend Restrictions. </w:t>
      </w:r>
      <w:r>
        <w:rPr>
          <w:rFonts w:ascii="Arial" w:cs="Arial" w:eastAsia="Arial" w:hAnsi="Arial"/>
          <w:sz w:val="14"/>
          <w:szCs w:val="14"/>
          <w:color w:val="auto"/>
        </w:rPr>
        <w:t>We have the ability, and have committed, to provide additional capital to each of our health plans as necessary to</w:t>
      </w:r>
      <w:r>
        <w:rPr>
          <w:rFonts w:ascii="Arial" w:cs="Arial" w:eastAsia="Arial" w:hAnsi="Arial"/>
          <w:sz w:val="14"/>
          <w:szCs w:val="14"/>
          <w:i w:val="1"/>
          <w:iCs w:val="1"/>
          <w:color w:val="auto"/>
        </w:rPr>
        <w:t xml:space="preserve"> </w:t>
      </w:r>
      <w:r>
        <w:rPr>
          <w:rFonts w:ascii="Arial" w:cs="Arial" w:eastAsia="Arial" w:hAnsi="Arial"/>
          <w:sz w:val="14"/>
          <w:szCs w:val="14"/>
          <w:color w:val="auto"/>
        </w:rPr>
        <w:t>ensure compliance with minimum statutory capital requirements.</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CONTRACTUAL OBLIGATIONS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 summary of future obligations under our various contractual obligations and commitments as of December 31, 2024 was disclosed in our 2024 Annual Report on Form 10-K.</w:t>
      </w:r>
    </w:p>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There were no significant changes to our contractual obligations and commitments not otherwise disclosed or outside the ordinary course of business during the nine months ended September 30, 2025.</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CRITICAL ACCOUNTING ESTIMATES</w:t>
      </w:r>
    </w:p>
    <w:p>
      <w:pPr>
        <w:spacing w:after="0" w:line="8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When we prepare our consolidated financial statements, we use estimates based on assumptions that may affect reported amounts and disclosures; actual results could differ from these estimates. Our critical accounting estimates relate to:</w:t>
      </w:r>
    </w:p>
    <w:p>
      <w:pPr>
        <w:spacing w:after="0" w:line="35" w:lineRule="exact"/>
        <w:rPr>
          <w:sz w:val="20"/>
          <w:szCs w:val="20"/>
          <w:color w:val="auto"/>
        </w:rPr>
      </w:pPr>
    </w:p>
    <w:p>
      <w:pPr>
        <w:ind w:left="520" w:hanging="260"/>
        <w:spacing w:after="0" w:line="265" w:lineRule="auto"/>
        <w:tabs>
          <w:tab w:leader="none" w:pos="51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Medical costs, claims and benefits payable</w:t>
      </w:r>
      <w:r>
        <w:rPr>
          <w:rFonts w:ascii="Arial" w:cs="Arial" w:eastAsia="Arial" w:hAnsi="Arial"/>
          <w:sz w:val="14"/>
          <w:szCs w:val="14"/>
          <w:color w:val="auto"/>
        </w:rPr>
        <w:t>. Refer to Notes to Consolidated Financial Statements, Note 7, “Medical Claims and Benefits Payable,” for a table that presents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nine months ended September 30, 2025 there were no significant changes to our disclosure reported in “Critical Accounting Estimates” in our 2024 Annual Report on Form 10-K.</w:t>
      </w:r>
    </w:p>
    <w:p>
      <w:pPr>
        <w:spacing w:after="0" w:line="52" w:lineRule="exact"/>
        <w:rPr>
          <w:rFonts w:ascii="Arial" w:cs="Arial" w:eastAsia="Arial" w:hAnsi="Arial"/>
          <w:sz w:val="14"/>
          <w:szCs w:val="14"/>
          <w:i w:val="1"/>
          <w:iCs w:val="1"/>
          <w:color w:val="auto"/>
        </w:rPr>
      </w:pPr>
    </w:p>
    <w:p>
      <w:pPr>
        <w:ind w:left="520" w:right="200" w:hanging="260"/>
        <w:spacing w:after="0" w:line="290"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Premium Revenue Recognition and Amounts Due Government Agencies: Risk Adjustment</w:t>
      </w:r>
      <w:r>
        <w:rPr>
          <w:rFonts w:ascii="Arial" w:cs="Arial" w:eastAsia="Arial" w:hAnsi="Arial"/>
          <w:sz w:val="14"/>
          <w:szCs w:val="14"/>
          <w:color w:val="auto"/>
        </w:rPr>
        <w:t>. For a discussion of this topic, including amounts recorded in our consolidated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refer to Notes to Consolidated Financial Statements, Note 2, “Significant Accounting Policies.”</w:t>
      </w:r>
    </w:p>
    <w:p>
      <w:pPr>
        <w:spacing w:after="0" w:line="35" w:lineRule="exact"/>
        <w:rPr>
          <w:rFonts w:ascii="Arial" w:cs="Arial" w:eastAsia="Arial" w:hAnsi="Arial"/>
          <w:sz w:val="14"/>
          <w:szCs w:val="14"/>
          <w:color w:val="auto"/>
        </w:rPr>
      </w:pPr>
    </w:p>
    <w:p>
      <w:pPr>
        <w:ind w:left="520" w:right="40" w:hanging="260"/>
        <w:spacing w:after="0" w:line="290" w:lineRule="auto"/>
        <w:tabs>
          <w:tab w:leader="none" w:pos="51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Business Combinations, and Goodwill and intangible assets, net. </w:t>
      </w:r>
      <w:r>
        <w:rPr>
          <w:rFonts w:ascii="Arial" w:cs="Arial" w:eastAsia="Arial" w:hAnsi="Arial"/>
          <w:sz w:val="14"/>
          <w:szCs w:val="14"/>
          <w:color w:val="auto"/>
        </w:rPr>
        <w:t>For a discussion of this topic, including amounts recorded in our consolidated financial statements, refer to</w:t>
      </w:r>
      <w:r>
        <w:rPr>
          <w:rFonts w:ascii="Arial" w:cs="Arial" w:eastAsia="Arial" w:hAnsi="Arial"/>
          <w:sz w:val="14"/>
          <w:szCs w:val="14"/>
          <w:i w:val="1"/>
          <w:iCs w:val="1"/>
          <w:color w:val="auto"/>
        </w:rPr>
        <w:t xml:space="preserve"> </w:t>
      </w:r>
      <w:r>
        <w:rPr>
          <w:rFonts w:ascii="Arial" w:cs="Arial" w:eastAsia="Arial" w:hAnsi="Arial"/>
          <w:sz w:val="14"/>
          <w:szCs w:val="14"/>
          <w:color w:val="auto"/>
        </w:rPr>
        <w:t>Notes to Consolidated Financial Statements, Note 4, “Business Combinations.” Other than the discussion as noted above, in the nine</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520" w:right="100"/>
        <w:spacing w:after="0" w:line="290" w:lineRule="auto"/>
        <w:rPr>
          <w:sz w:val="20"/>
          <w:szCs w:val="20"/>
          <w:color w:val="auto"/>
        </w:rPr>
      </w:pPr>
      <w:r>
        <w:rPr>
          <w:rFonts w:ascii="Arial" w:cs="Arial" w:eastAsia="Arial" w:hAnsi="Arial"/>
          <w:sz w:val="14"/>
          <w:szCs w:val="14"/>
          <w:color w:val="auto"/>
        </w:rPr>
        <w:t>months ended September 30, 2025, there were no significant changes to our disclosure reported in “Critical Accounting Estimates” in our 2024 Annual Report on Form 10-K.</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QUANTITATIVE AND QUALITATIVE DISCLOSURES ABOUT MARKET RISK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Our earnings and financial position are exposed to financial market risk relating to changes in interest rates, and the resulting impact on investment income and interest expense.</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Substantially all of our investments and restricted investments are subject to interest rate risk and will decrease in value if market interest rates increase. Assuming a hypothetical and immediate 1% increase in market interest rates at September 30, 2025, the fair value of our fixed income investments would decrease by approximately $118 million. Declines in interest rates over time will reduce our investment income.</w:t>
      </w:r>
    </w:p>
    <w:p>
      <w:pPr>
        <w:spacing w:after="0" w:line="4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For further information on fair value measurements and our investment portfolio, please refer to Notes to Consolidated Financial Statements, Note 5, “Fair Value Measurements,” and Note 6, “Investments.”</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Borrowings under the Amended Credit Agreement bear interest based, at our election, on a base rate or other defined rate, plus in each case, the applicable margin. Our notes bear interest at specified rates, each payable semiannually in arrears. For further information, see Notes to Consolidated Financial Statements, Note 8, “Debt.”</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CONTROLS AND PROCEDURES</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4"/>
          <w:szCs w:val="14"/>
          <w:i w:val="1"/>
          <w:iCs w:val="1"/>
          <w:color w:val="auto"/>
        </w:rPr>
        <w:t xml:space="preserve">Evaluation of Disclosure Controls and Procedures. </w:t>
      </w:r>
      <w:r>
        <w:rPr>
          <w:rFonts w:ascii="Arial" w:cs="Arial" w:eastAsia="Arial" w:hAnsi="Arial"/>
          <w:sz w:val="14"/>
          <w:szCs w:val="14"/>
          <w:color w:val="auto"/>
        </w:rPr>
        <w:t>Our management, with the participation of our chief executive officer and our chief financial officer, evaluated, as of the end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covered by this Quarterly Report on Form 10-Q, the effectiveness of our disclosure controls and procedures (as defined in Rules 13a-15(e) and 15d-15(e) under the Securities Exchange Act). Based on that evaluation, our chief executive officer and chief financial officer concluded that, as of September 30, 2025, our disclosure controls and procedures were effective at the reasonable assurance level.</w:t>
      </w:r>
    </w:p>
    <w:p>
      <w:pPr>
        <w:spacing w:after="0" w:line="53"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i w:val="1"/>
          <w:iCs w:val="1"/>
          <w:color w:val="auto"/>
        </w:rPr>
        <w:t xml:space="preserve">Changes in Internal Control Over Financial Reporting. </w:t>
      </w:r>
      <w:r>
        <w:rPr>
          <w:rFonts w:ascii="Arial" w:cs="Arial" w:eastAsia="Arial" w:hAnsi="Arial"/>
          <w:sz w:val="14"/>
          <w:szCs w:val="14"/>
          <w:color w:val="auto"/>
        </w:rPr>
        <w:t>There were no changes in our internal control over financial reporting during the quarter ended September 30, 2025, that</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materially affected, or are reasonably likely to materially affect, our internal controls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legal proceedings, see Notes to Consolidated Financial Statements, Note 11, “Commitments and Contingencies.”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RISK FACTORS</w:t>
      </w:r>
    </w:p>
    <w:p>
      <w:pPr>
        <w:spacing w:after="0" w:line="87"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UNREGISTERED SALES OF EQUITY SECURITIES AND USE OF PROCEEDS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828282"/>
        </w:rPr>
        <w:t>ISSUER PURCHASES OF EQUITY SECURITIES</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Purchases of common stock made by us, or on our behalf, during the third quarter of 2025, including shares withheld by us to satisfy our employees’ income tax obligations, are set forth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8"/>
              </w:rPr>
              <w:t>Total Number of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8"/>
              </w:rPr>
              <w:t>Purchased as Part of</w:t>
            </w:r>
          </w:p>
        </w:tc>
        <w:tc>
          <w:tcPr>
            <w:tcW w:w="80" w:type="dxa"/>
            <w:vAlign w:val="bottom"/>
          </w:tcPr>
          <w:p>
            <w:pPr>
              <w:spacing w:after="0"/>
              <w:rPr>
                <w:sz w:val="11"/>
                <w:szCs w:val="11"/>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Approximate Dollar Value</w:t>
            </w: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6"/>
              </w:rPr>
              <w:t>Publicly</w:t>
            </w:r>
          </w:p>
        </w:tc>
        <w:tc>
          <w:tcPr>
            <w:tcW w:w="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Average Price Paid per</w:t>
            </w: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Announced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ind w:right="16"/>
              <w:spacing w:after="0" w:line="128" w:lineRule="exact"/>
              <w:rPr>
                <w:sz w:val="20"/>
                <w:szCs w:val="20"/>
                <w:color w:val="auto"/>
              </w:rPr>
            </w:pPr>
            <w:r>
              <w:rPr>
                <w:rFonts w:ascii="Arial" w:cs="Arial" w:eastAsia="Arial" w:hAnsi="Arial"/>
                <w:sz w:val="13"/>
                <w:szCs w:val="13"/>
                <w:b w:val="1"/>
                <w:bCs w:val="1"/>
                <w:color w:val="auto"/>
                <w:w w:val="97"/>
              </w:rPr>
              <w:t>of Shares that May Yet</w:t>
            </w:r>
          </w:p>
        </w:tc>
        <w:tc>
          <w:tcPr>
            <w:tcW w:w="0" w:type="dxa"/>
            <w:vAlign w:val="bottom"/>
          </w:tcPr>
          <w:p>
            <w:pPr>
              <w:spacing w:after="0"/>
              <w:rPr>
                <w:sz w:val="1"/>
                <w:szCs w:val="1"/>
                <w:color w:val="auto"/>
              </w:rPr>
            </w:pPr>
          </w:p>
        </w:tc>
      </w:tr>
      <w:tr>
        <w:trPr>
          <w:trHeight w:val="127"/>
        </w:trPr>
        <w:tc>
          <w:tcPr>
            <w:tcW w:w="4960" w:type="dxa"/>
            <w:vAlign w:val="bottom"/>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of Shares</w:t>
            </w:r>
          </w:p>
        </w:tc>
        <w:tc>
          <w:tcPr>
            <w:tcW w:w="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7"/>
              </w:rPr>
              <w:t>Plans or</w:t>
            </w:r>
          </w:p>
        </w:tc>
        <w:tc>
          <w:tcPr>
            <w:tcW w:w="80" w:type="dxa"/>
            <w:vAlign w:val="bottom"/>
          </w:tcPr>
          <w:p>
            <w:pPr>
              <w:spacing w:after="0"/>
              <w:rPr>
                <w:sz w:val="11"/>
                <w:szCs w:val="11"/>
                <w:color w:val="auto"/>
              </w:rPr>
            </w:pPr>
          </w:p>
        </w:tc>
        <w:tc>
          <w:tcPr>
            <w:tcW w:w="1580" w:type="dxa"/>
            <w:vAlign w:val="bottom"/>
            <w:gridSpan w:val="2"/>
          </w:tcPr>
          <w:p>
            <w:pPr>
              <w:jc w:val="center"/>
              <w:spacing w:after="0" w:line="128" w:lineRule="exact"/>
              <w:rPr>
                <w:sz w:val="20"/>
                <w:szCs w:val="20"/>
                <w:color w:val="auto"/>
              </w:rPr>
            </w:pPr>
            <w:r>
              <w:rPr>
                <w:rFonts w:ascii="Arial" w:cs="Arial" w:eastAsia="Arial" w:hAnsi="Arial"/>
                <w:sz w:val="13"/>
                <w:szCs w:val="13"/>
                <w:b w:val="1"/>
                <w:bCs w:val="1"/>
                <w:color w:val="auto"/>
                <w:w w:val="97"/>
              </w:rPr>
              <w:t>Be Purchased Under the</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3"/>
                <w:szCs w:val="13"/>
                <w:b w:val="1"/>
                <w:bCs w:val="1"/>
                <w:color w:val="auto"/>
                <w:w w:val="93"/>
              </w:rPr>
              <w:t xml:space="preserve">Purchased </w:t>
            </w:r>
            <w:r>
              <w:rPr>
                <w:rFonts w:ascii="Arial" w:cs="Arial" w:eastAsia="Arial" w:hAnsi="Arial"/>
                <w:sz w:val="16"/>
                <w:szCs w:val="16"/>
                <w:b w:val="1"/>
                <w:bCs w:val="1"/>
                <w:color w:val="auto"/>
                <w:w w:val="93"/>
                <w:vertAlign w:val="superscript"/>
              </w:rPr>
              <w:t>(1)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Share</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Programs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6"/>
              <w:spacing w:after="0" w:line="170" w:lineRule="exact"/>
              <w:rPr>
                <w:sz w:val="20"/>
                <w:szCs w:val="20"/>
                <w:color w:val="auto"/>
              </w:rPr>
            </w:pPr>
            <w:r>
              <w:rPr>
                <w:rFonts w:ascii="Arial" w:cs="Arial" w:eastAsia="Arial" w:hAnsi="Arial"/>
                <w:sz w:val="13"/>
                <w:szCs w:val="13"/>
                <w:b w:val="1"/>
                <w:bCs w:val="1"/>
                <w:color w:val="auto"/>
                <w:w w:val="96"/>
              </w:rPr>
              <w:t xml:space="preserve">Plans or Programs </w:t>
            </w:r>
            <w:r>
              <w:rPr>
                <w:rFonts w:ascii="Arial" w:cs="Arial" w:eastAsia="Arial" w:hAnsi="Arial"/>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16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July 1 - July 31</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40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306.29</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1,000,000,000</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August 1 - August 31</w:t>
            </w:r>
          </w:p>
        </w:tc>
        <w:tc>
          <w:tcPr>
            <w:tcW w:w="1460" w:type="dxa"/>
            <w:vAlign w:val="bottom"/>
          </w:tcPr>
          <w:p>
            <w:pPr>
              <w:jc w:val="right"/>
              <w:spacing w:after="0"/>
              <w:rPr>
                <w:sz w:val="20"/>
                <w:szCs w:val="20"/>
                <w:color w:val="auto"/>
              </w:rPr>
            </w:pPr>
            <w:r>
              <w:rPr>
                <w:rFonts w:ascii="Arial" w:cs="Arial" w:eastAsia="Arial" w:hAnsi="Arial"/>
                <w:sz w:val="13"/>
                <w:szCs w:val="13"/>
                <w:color w:val="auto"/>
              </w:rPr>
              <w:t>2,570,000</w:t>
            </w: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174.71</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2,570,000</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551,000,000</w:t>
            </w:r>
          </w:p>
        </w:tc>
        <w:tc>
          <w:tcPr>
            <w:tcW w:w="0" w:type="dxa"/>
            <w:vAlign w:val="bottom"/>
          </w:tcPr>
          <w:p>
            <w:pPr>
              <w:spacing w:after="0"/>
              <w:rPr>
                <w:sz w:val="1"/>
                <w:szCs w:val="1"/>
                <w:color w:val="auto"/>
              </w:rPr>
            </w:pP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September 1 - September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279,000</w:t>
            </w:r>
          </w:p>
        </w:tc>
        <w:tc>
          <w:tcPr>
            <w:tcW w:w="400" w:type="dxa"/>
            <w:vAlign w:val="bottom"/>
            <w:gridSpan w:val="2"/>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182.75</w:t>
            </w:r>
          </w:p>
        </w:tc>
        <w:tc>
          <w:tcPr>
            <w:tcW w:w="8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279,000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62"/>
        </w:trPr>
        <w:tc>
          <w:tcPr>
            <w:tcW w:w="4960" w:type="dxa"/>
            <w:vAlign w:val="bottom"/>
          </w:tcPr>
          <w:p>
            <w:pPr>
              <w:ind w:left="120"/>
              <w:spacing w:after="0"/>
              <w:rPr>
                <w:sz w:val="20"/>
                <w:szCs w:val="20"/>
                <w:color w:val="auto"/>
              </w:rPr>
            </w:pPr>
            <w:r>
              <w:rPr>
                <w:rFonts w:ascii="Arial" w:cs="Arial" w:eastAsia="Arial" w:hAnsi="Arial"/>
                <w:sz w:val="13"/>
                <w:szCs w:val="13"/>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2,851,000</w:t>
            </w:r>
          </w:p>
        </w:tc>
        <w:tc>
          <w:tcPr>
            <w:tcW w:w="400" w:type="dxa"/>
            <w:vAlign w:val="bottom"/>
            <w:gridSpan w:val="2"/>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175.60</w:t>
            </w:r>
          </w:p>
        </w:tc>
        <w:tc>
          <w:tcPr>
            <w:tcW w:w="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2,849,000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5" w:lineRule="exact"/>
        <w:rPr>
          <w:sz w:val="20"/>
          <w:szCs w:val="20"/>
          <w:color w:val="auto"/>
        </w:rPr>
      </w:pPr>
    </w:p>
    <w:p>
      <w:pPr>
        <w:ind w:left="260" w:right="300" w:hanging="255"/>
        <w:spacing w:after="0" w:line="244" w:lineRule="auto"/>
        <w:tabs>
          <w:tab w:leader="none" w:pos="256" w:val="left"/>
        </w:tabs>
        <w:numPr>
          <w:ilvl w:val="0"/>
          <w:numId w:val="14"/>
        </w:numPr>
        <w:rPr>
          <w:rFonts w:ascii="Arial" w:cs="Arial" w:eastAsia="Arial" w:hAnsi="Arial"/>
          <w:sz w:val="13"/>
          <w:szCs w:val="13"/>
          <w:color w:val="auto"/>
        </w:rPr>
      </w:pPr>
      <w:r>
        <w:rPr>
          <w:rFonts w:ascii="Arial" w:cs="Arial" w:eastAsia="Arial" w:hAnsi="Arial"/>
          <w:sz w:val="13"/>
          <w:szCs w:val="13"/>
          <w:color w:val="auto"/>
        </w:rPr>
        <w:t>During the third quarter of 2025, there were approximately 2,849,000 shares repurchased as part of our publicly announced share repurchase program and we withheld approximately 2,000 shares of common stock to settle employee income tax obligations for releases of awards granted under the Molina Healthcare, Inc. 2019 Equity Incentive Plan. For further information refer to Notes to Consolidated Financial Statements, Note 9, “Stockholders' Equity.”</w:t>
      </w:r>
    </w:p>
    <w:p>
      <w:pPr>
        <w:ind w:left="260" w:hanging="255"/>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further information on our stock repurchase programs, refer to Notes to Consolidated Financial Statements, Note 9, “Stockholders' Equity.”</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OTHER INFORMATION</w:t>
      </w:r>
    </w:p>
    <w:p>
      <w:pPr>
        <w:spacing w:after="0" w:line="76" w:lineRule="exact"/>
        <w:rPr>
          <w:sz w:val="20"/>
          <w:szCs w:val="20"/>
          <w:color w:val="auto"/>
        </w:rPr>
      </w:pPr>
    </w:p>
    <w:p>
      <w:pPr>
        <w:ind w:left="340" w:hanging="33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None.</w:t>
      </w:r>
    </w:p>
    <w:p>
      <w:pPr>
        <w:spacing w:after="0" w:line="93" w:lineRule="exact"/>
        <w:rPr>
          <w:rFonts w:ascii="Arial" w:cs="Arial" w:eastAsia="Arial" w:hAnsi="Arial"/>
          <w:sz w:val="14"/>
          <w:szCs w:val="14"/>
          <w:color w:val="auto"/>
        </w:rPr>
      </w:pPr>
    </w:p>
    <w:p>
      <w:pPr>
        <w:ind w:left="340" w:hanging="33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None.</w:t>
      </w:r>
    </w:p>
    <w:p>
      <w:pPr>
        <w:spacing w:after="0" w:line="93" w:lineRule="exact"/>
        <w:rPr>
          <w:rFonts w:ascii="Arial" w:cs="Arial" w:eastAsia="Arial" w:hAnsi="Arial"/>
          <w:sz w:val="14"/>
          <w:szCs w:val="14"/>
          <w:color w:val="auto"/>
        </w:rPr>
      </w:pPr>
    </w:p>
    <w:p>
      <w:pPr>
        <w:ind w:left="260" w:right="240" w:hanging="255"/>
        <w:spacing w:after="0" w:line="271" w:lineRule="auto"/>
        <w:tabs>
          <w:tab w:leader="none" w:pos="3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director or officer (as defined in 17 CFR § 240.16a-1(f)) of the Company adopted or terminated (i) any contract, instruction or written plan for the purchase or sale of securities of the Company intended to satisfy the affirmative defense conditions of Rule 10b5-1(c), or (ii) any “non-Rule 10b5-1 trading arrangement” (as defined in 17 CFR § 229.408(c))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INDEX TO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Exhibit No.</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gridSpan w:val="11"/>
          </w:tcPr>
          <w:p>
            <w:pPr>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Method of Filing</w:t>
            </w: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color w:val="auto"/>
              </w:rPr>
              <w:t>10.1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60" w:type="dxa"/>
            <w:vAlign w:val="bottom"/>
            <w:tcBorders>
              <w:bottom w:val="single" w:sz="8" w:color="0F7C7F"/>
            </w:tcBorders>
            <w:gridSpan w:val="5"/>
          </w:tcPr>
          <w:p>
            <w:pPr>
              <w:spacing w:after="0" w:line="129" w:lineRule="exact"/>
              <w:rPr>
                <w:sz w:val="20"/>
                <w:szCs w:val="20"/>
                <w:color w:val="auto"/>
              </w:rPr>
            </w:pPr>
            <w:r>
              <w:rPr>
                <w:rFonts w:ascii="Arial" w:cs="Arial" w:eastAsia="Arial" w:hAnsi="Arial"/>
                <w:sz w:val="13"/>
                <w:szCs w:val="13"/>
                <w:color w:val="0F7C7F"/>
                <w:w w:val="97"/>
              </w:rPr>
              <w:t>2025 Equity Incentive Plan Restricted Stock Award Agreement Form</w:t>
            </w:r>
          </w:p>
        </w:tc>
        <w:tc>
          <w:tcPr>
            <w:tcW w:w="1820" w:type="dxa"/>
            <w:vAlign w:val="bottom"/>
            <w:gridSpan w:val="7"/>
          </w:tcPr>
          <w:p>
            <w:pPr>
              <w:spacing w:after="0"/>
              <w:rPr>
                <w:sz w:val="11"/>
                <w:szCs w:val="11"/>
                <w:color w:val="auto"/>
              </w:rPr>
            </w:pPr>
          </w:p>
        </w:tc>
        <w:tc>
          <w:tcPr>
            <w:tcW w:w="4460" w:type="dxa"/>
            <w:vAlign w:val="bottom"/>
          </w:tcPr>
          <w:p>
            <w:pPr>
              <w:ind w:left="20"/>
              <w:spacing w:after="0" w:line="129" w:lineRule="exact"/>
              <w:rPr>
                <w:sz w:val="20"/>
                <w:szCs w:val="20"/>
                <w:color w:val="auto"/>
              </w:rPr>
            </w:pPr>
            <w:r>
              <w:rPr>
                <w:rFonts w:ascii="Arial" w:cs="Arial" w:eastAsia="Arial" w:hAnsi="Arial"/>
                <w:sz w:val="13"/>
                <w:szCs w:val="13"/>
                <w:color w:val="auto"/>
              </w:rPr>
              <w:t>Filed herewith.</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bottom w:val="single" w:sz="8" w:color="0F7C7F"/>
            </w:tcBorders>
            <w:gridSpan w:val="6"/>
          </w:tcPr>
          <w:p>
            <w:pPr>
              <w:spacing w:after="0"/>
              <w:rPr>
                <w:sz w:val="20"/>
                <w:szCs w:val="20"/>
                <w:color w:val="auto"/>
              </w:rPr>
            </w:pPr>
            <w:r>
              <w:rPr>
                <w:rFonts w:ascii="Arial" w:cs="Arial" w:eastAsia="Arial" w:hAnsi="Arial"/>
                <w:sz w:val="13"/>
                <w:szCs w:val="13"/>
                <w:color w:val="0F7C7F"/>
                <w:w w:val="97"/>
              </w:rPr>
              <w:t>2025 Equity Incentive Plan Performance Stock Unit Award Agreement Form</w:t>
            </w:r>
          </w:p>
        </w:tc>
        <w:tc>
          <w:tcPr>
            <w:tcW w:w="1400" w:type="dxa"/>
            <w:vAlign w:val="bottom"/>
            <w:gridSpan w:val="6"/>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12"/>
          </w:tcPr>
          <w:p>
            <w:pPr>
              <w:spacing w:after="0"/>
              <w:rPr>
                <w:rFonts w:ascii="Arial" w:cs="Arial" w:eastAsia="Arial" w:hAnsi="Arial"/>
                <w:sz w:val="13"/>
                <w:szCs w:val="13"/>
                <w:color w:val="0F7C7F"/>
              </w:rPr>
            </w:pPr>
            <w:hyperlink r:id="rId57">
              <w:r>
                <w:rPr>
                  <w:rFonts w:ascii="Arial" w:cs="Arial" w:eastAsia="Arial" w:hAnsi="Arial"/>
                  <w:sz w:val="13"/>
                  <w:szCs w:val="13"/>
                  <w:color w:val="0F7C7F"/>
                </w:rPr>
                <w:t>Fourth Amendment to Credit Agreement, dated as of August 12, 2025, by and among the</w:t>
              </w:r>
            </w:hyperlink>
          </w:p>
        </w:tc>
        <w:tc>
          <w:tcPr>
            <w:tcW w:w="4460" w:type="dxa"/>
            <w:vAlign w:val="bottom"/>
          </w:tcPr>
          <w:p>
            <w:pPr>
              <w:ind w:left="20"/>
              <w:spacing w:after="0"/>
              <w:rPr>
                <w:sz w:val="20"/>
                <w:szCs w:val="20"/>
                <w:color w:val="auto"/>
              </w:rPr>
            </w:pPr>
            <w:r>
              <w:rPr>
                <w:rFonts w:ascii="Arial" w:cs="Arial" w:eastAsia="Arial" w:hAnsi="Arial"/>
                <w:sz w:val="13"/>
                <w:szCs w:val="13"/>
                <w:color w:val="auto"/>
              </w:rPr>
              <w:t>Filed as Exhibit 10.1 to registrant’s Form 8-K filed August 12, 2025</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F7C7F"/>
          </w:tcPr>
          <w:p>
            <w:pPr>
              <w:spacing w:after="0" w:line="20" w:lineRule="exact"/>
              <w:rPr>
                <w:sz w:val="1"/>
                <w:szCs w:val="1"/>
                <w:color w:val="auto"/>
              </w:rPr>
            </w:pPr>
          </w:p>
        </w:tc>
        <w:tc>
          <w:tcPr>
            <w:tcW w:w="170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40" w:type="dxa"/>
            <w:vAlign w:val="bottom"/>
            <w:shd w:val="clear" w:color="auto" w:fill="0F7C7F"/>
          </w:tcPr>
          <w:p>
            <w:pPr>
              <w:spacing w:after="0" w:line="20" w:lineRule="exact"/>
              <w:rPr>
                <w:sz w:val="1"/>
                <w:szCs w:val="1"/>
                <w:color w:val="auto"/>
              </w:rPr>
            </w:pPr>
          </w:p>
        </w:tc>
        <w:tc>
          <w:tcPr>
            <w:tcW w:w="2160" w:type="dxa"/>
            <w:vAlign w:val="bottom"/>
            <w:gridSpan w:val="3"/>
            <w:shd w:val="clear" w:color="auto" w:fill="0F7C7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80" w:type="dxa"/>
            <w:vAlign w:val="bottom"/>
            <w:gridSpan w:val="12"/>
          </w:tcPr>
          <w:p>
            <w:pPr>
              <w:spacing w:after="0" w:line="107" w:lineRule="exact"/>
              <w:rPr>
                <w:rFonts w:ascii="Arial" w:cs="Arial" w:eastAsia="Arial" w:hAnsi="Arial"/>
                <w:sz w:val="12"/>
                <w:szCs w:val="12"/>
                <w:color w:val="0F7C7F"/>
              </w:rPr>
            </w:pPr>
            <w:hyperlink r:id="rId57">
              <w:r>
                <w:rPr>
                  <w:rFonts w:ascii="Arial" w:cs="Arial" w:eastAsia="Arial" w:hAnsi="Arial"/>
                  <w:sz w:val="12"/>
                  <w:szCs w:val="12"/>
                  <w:color w:val="0F7C7F"/>
                </w:rPr>
                <w:t>Company, the Lenders party thereto and Truist Bank, as Administrative Agent, Issuing Bank and</w:t>
              </w:r>
            </w:hyperlink>
          </w:p>
        </w:tc>
        <w:tc>
          <w:tcPr>
            <w:tcW w:w="4460" w:type="dxa"/>
            <w:vAlign w:val="bottom"/>
          </w:tcPr>
          <w:p>
            <w:pPr>
              <w:spacing w:after="0"/>
              <w:rPr>
                <w:sz w:val="9"/>
                <w:szCs w:val="9"/>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20" w:type="dxa"/>
            <w:vAlign w:val="bottom"/>
            <w:tcBorders>
              <w:top w:val="single" w:sz="8" w:color="0F7C7F"/>
            </w:tcBorders>
            <w:gridSpan w:val="8"/>
          </w:tcPr>
          <w:p>
            <w:pPr>
              <w:spacing w:after="0" w:line="107" w:lineRule="exact"/>
              <w:rPr>
                <w:rFonts w:ascii="Arial" w:cs="Arial" w:eastAsia="Arial" w:hAnsi="Arial"/>
                <w:sz w:val="12"/>
                <w:szCs w:val="12"/>
                <w:color w:val="0F7C7F"/>
              </w:rPr>
            </w:pPr>
            <w:hyperlink r:id="rId57">
              <w:r>
                <w:rPr>
                  <w:rFonts w:ascii="Arial" w:cs="Arial" w:eastAsia="Arial" w:hAnsi="Arial"/>
                  <w:sz w:val="12"/>
                  <w:szCs w:val="12"/>
                  <w:color w:val="0F7C7F"/>
                </w:rPr>
                <w:t>Swingline Lender.</w:t>
              </w:r>
            </w:hyperlink>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F7C7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bottom w:val="single" w:sz="8" w:color="0F7C7F"/>
            </w:tcBorders>
            <w:gridSpan w:val="4"/>
          </w:tcPr>
          <w:p>
            <w:pPr>
              <w:spacing w:after="0"/>
              <w:rPr>
                <w:sz w:val="20"/>
                <w:szCs w:val="20"/>
                <w:color w:val="auto"/>
              </w:rPr>
            </w:pPr>
            <w:r>
              <w:rPr>
                <w:rFonts w:ascii="Arial" w:cs="Arial" w:eastAsia="Arial" w:hAnsi="Arial"/>
                <w:sz w:val="13"/>
                <w:szCs w:val="13"/>
                <w:color w:val="0F7C7F"/>
                <w:w w:val="97"/>
              </w:rPr>
              <w:t>Section 302 Certification of Chief Executive Officer</w:t>
            </w:r>
          </w:p>
        </w:tc>
        <w:tc>
          <w:tcPr>
            <w:tcW w:w="2820" w:type="dxa"/>
            <w:vAlign w:val="bottom"/>
            <w:gridSpan w:val="8"/>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bottom w:val="single" w:sz="8" w:color="0F7C7F"/>
            </w:tcBorders>
            <w:gridSpan w:val="3"/>
          </w:tcPr>
          <w:p>
            <w:pPr>
              <w:spacing w:after="0"/>
              <w:rPr>
                <w:sz w:val="20"/>
                <w:szCs w:val="20"/>
                <w:color w:val="auto"/>
              </w:rPr>
            </w:pPr>
            <w:r>
              <w:rPr>
                <w:rFonts w:ascii="Arial" w:cs="Arial" w:eastAsia="Arial" w:hAnsi="Arial"/>
                <w:sz w:val="13"/>
                <w:szCs w:val="13"/>
                <w:color w:val="0F7C7F"/>
                <w:w w:val="97"/>
              </w:rPr>
              <w:t>Section 302 Certification of Chief Financial Officer</w:t>
            </w:r>
          </w:p>
        </w:tc>
        <w:tc>
          <w:tcPr>
            <w:tcW w:w="2860" w:type="dxa"/>
            <w:vAlign w:val="bottom"/>
            <w:gridSpan w:val="9"/>
          </w:tcPr>
          <w:p>
            <w:pPr>
              <w:spacing w:after="0"/>
              <w:rPr>
                <w:sz w:val="13"/>
                <w:szCs w:val="13"/>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0F7C7F"/>
                <w:w w:val="99"/>
              </w:rPr>
              <w:t>Certification of Chief Executive Officer pursuant to 18 U.S.C. Section 1350, as adopted pursuant to</w:t>
            </w:r>
          </w:p>
        </w:tc>
        <w:tc>
          <w:tcPr>
            <w:tcW w:w="4460" w:type="dxa"/>
            <w:vAlign w:val="bottom"/>
          </w:tcPr>
          <w:p>
            <w:pPr>
              <w:ind w:left="20"/>
              <w:spacing w:after="0"/>
              <w:rPr>
                <w:sz w:val="20"/>
                <w:szCs w:val="20"/>
                <w:color w:val="auto"/>
              </w:rPr>
            </w:pPr>
            <w:r>
              <w:rPr>
                <w:rFonts w:ascii="Arial" w:cs="Arial" w:eastAsia="Arial" w:hAnsi="Arial"/>
                <w:sz w:val="13"/>
                <w:szCs w:val="13"/>
                <w:color w:val="auto"/>
              </w:rPr>
              <w:t>Furnished herewith.</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F7C7F"/>
              <w:bottom w:val="single" w:sz="8" w:color="0F7C7F"/>
            </w:tcBorders>
            <w:gridSpan w:val="2"/>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860" w:type="dxa"/>
            <w:vAlign w:val="bottom"/>
            <w:tcBorders>
              <w:top w:val="single" w:sz="8" w:color="0F7C7F"/>
            </w:tcBorders>
            <w:gridSpan w:val="8"/>
          </w:tcPr>
          <w:p>
            <w:pPr>
              <w:spacing w:after="0"/>
              <w:rPr>
                <w:sz w:val="9"/>
                <w:szCs w:val="9"/>
                <w:color w:val="auto"/>
              </w:rPr>
            </w:pPr>
          </w:p>
        </w:tc>
        <w:tc>
          <w:tcPr>
            <w:tcW w:w="120" w:type="dxa"/>
            <w:vAlign w:val="bottom"/>
            <w:gridSpan w:val="2"/>
          </w:tcPr>
          <w:p>
            <w:pPr>
              <w:spacing w:after="0"/>
              <w:rPr>
                <w:sz w:val="9"/>
                <w:szCs w:val="9"/>
                <w:color w:val="auto"/>
              </w:rPr>
            </w:pPr>
          </w:p>
        </w:tc>
        <w:tc>
          <w:tcPr>
            <w:tcW w:w="4460" w:type="dxa"/>
            <w:vAlign w:val="bottom"/>
          </w:tcPr>
          <w:p>
            <w:pPr>
              <w:spacing w:after="0"/>
              <w:rPr>
                <w:sz w:val="9"/>
                <w:szCs w:val="9"/>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0F7C7F"/>
              </w:rPr>
              <w:t>Certification of Chief Financial Officer pursuant to 18 U.S.C. Section 1350, as adopted pursuant to</w:t>
            </w:r>
          </w:p>
        </w:tc>
        <w:tc>
          <w:tcPr>
            <w:tcW w:w="4460" w:type="dxa"/>
            <w:vAlign w:val="bottom"/>
          </w:tcPr>
          <w:p>
            <w:pPr>
              <w:ind w:left="20"/>
              <w:spacing w:after="0"/>
              <w:rPr>
                <w:sz w:val="20"/>
                <w:szCs w:val="20"/>
                <w:color w:val="auto"/>
              </w:rPr>
            </w:pPr>
            <w:r>
              <w:rPr>
                <w:rFonts w:ascii="Arial" w:cs="Arial" w:eastAsia="Arial" w:hAnsi="Arial"/>
                <w:sz w:val="13"/>
                <w:szCs w:val="13"/>
                <w:color w:val="auto"/>
              </w:rPr>
              <w:t>Furnished herewith.</w:t>
            </w: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F7C7F"/>
              <w:bottom w:val="single" w:sz="8" w:color="0F7C7F"/>
            </w:tcBorders>
            <w:gridSpan w:val="2"/>
          </w:tcPr>
          <w:p>
            <w:pPr>
              <w:spacing w:after="0" w:line="107" w:lineRule="exact"/>
              <w:rPr>
                <w:sz w:val="20"/>
                <w:szCs w:val="20"/>
                <w:color w:val="auto"/>
              </w:rPr>
            </w:pPr>
            <w:r>
              <w:rPr>
                <w:rFonts w:ascii="Arial" w:cs="Arial" w:eastAsia="Arial" w:hAnsi="Arial"/>
                <w:sz w:val="12"/>
                <w:szCs w:val="12"/>
                <w:color w:val="0F7C7F"/>
              </w:rPr>
              <w:t>Section 906 of the Sarbanes-Oxley Act of 2002.</w:t>
            </w:r>
          </w:p>
        </w:tc>
        <w:tc>
          <w:tcPr>
            <w:tcW w:w="2820" w:type="dxa"/>
            <w:vAlign w:val="bottom"/>
            <w:tcBorders>
              <w:top w:val="single" w:sz="8" w:color="0F7C7F"/>
            </w:tcBorders>
            <w:gridSpan w:val="7"/>
          </w:tcPr>
          <w:p>
            <w:pPr>
              <w:spacing w:after="0"/>
              <w:rPr>
                <w:sz w:val="9"/>
                <w:szCs w:val="9"/>
                <w:color w:val="auto"/>
              </w:rPr>
            </w:pPr>
          </w:p>
        </w:tc>
        <w:tc>
          <w:tcPr>
            <w:tcW w:w="160" w:type="dxa"/>
            <w:vAlign w:val="bottom"/>
            <w:gridSpan w:val="3"/>
          </w:tcPr>
          <w:p>
            <w:pPr>
              <w:spacing w:after="0"/>
              <w:rPr>
                <w:sz w:val="9"/>
                <w:szCs w:val="9"/>
                <w:color w:val="auto"/>
              </w:rPr>
            </w:pPr>
          </w:p>
        </w:tc>
        <w:tc>
          <w:tcPr>
            <w:tcW w:w="4460" w:type="dxa"/>
            <w:vAlign w:val="bottom"/>
          </w:tcPr>
          <w:p>
            <w:pPr>
              <w:spacing w:after="0"/>
              <w:rPr>
                <w:sz w:val="9"/>
                <w:szCs w:val="9"/>
                <w:color w:val="auto"/>
              </w:rPr>
            </w:pPr>
          </w:p>
        </w:tc>
      </w:tr>
      <w:tr>
        <w:trPr>
          <w:trHeight w:val="139"/>
        </w:trPr>
        <w:tc>
          <w:tcPr>
            <w:tcW w:w="1120" w:type="dxa"/>
            <w:vAlign w:val="bottom"/>
            <w:gridSpan w:val="2"/>
          </w:tcPr>
          <w:p>
            <w:pPr>
              <w:ind w:left="20"/>
              <w:spacing w:after="0" w:line="139" w:lineRule="exact"/>
              <w:rPr>
                <w:sz w:val="20"/>
                <w:szCs w:val="20"/>
                <w:color w:val="auto"/>
              </w:rPr>
            </w:pPr>
            <w:r>
              <w:rPr>
                <w:rFonts w:ascii="Arial" w:cs="Arial" w:eastAsia="Arial" w:hAnsi="Arial"/>
                <w:sz w:val="13"/>
                <w:szCs w:val="13"/>
                <w:color w:val="auto"/>
              </w:rPr>
              <w:t>101.INS</w:t>
            </w:r>
          </w:p>
        </w:tc>
        <w:tc>
          <w:tcPr>
            <w:tcW w:w="20" w:type="dxa"/>
            <w:vAlign w:val="bottom"/>
          </w:tcPr>
          <w:p>
            <w:pPr>
              <w:spacing w:after="0"/>
              <w:rPr>
                <w:sz w:val="12"/>
                <w:szCs w:val="12"/>
                <w:color w:val="auto"/>
              </w:rPr>
            </w:pPr>
          </w:p>
        </w:tc>
        <w:tc>
          <w:tcPr>
            <w:tcW w:w="5680" w:type="dxa"/>
            <w:vAlign w:val="bottom"/>
            <w:gridSpan w:val="12"/>
          </w:tcPr>
          <w:p>
            <w:pPr>
              <w:spacing w:after="0" w:line="139" w:lineRule="exact"/>
              <w:rPr>
                <w:sz w:val="20"/>
                <w:szCs w:val="20"/>
                <w:color w:val="auto"/>
              </w:rPr>
            </w:pPr>
            <w:r>
              <w:rPr>
                <w:rFonts w:ascii="Arial" w:cs="Arial" w:eastAsia="Arial" w:hAnsi="Arial"/>
                <w:sz w:val="13"/>
                <w:szCs w:val="13"/>
                <w:color w:val="auto"/>
              </w:rPr>
              <w:t>Inline XBRL Taxonomy Instance Document - the instance document does not appear in the</w:t>
            </w:r>
          </w:p>
        </w:tc>
        <w:tc>
          <w:tcPr>
            <w:tcW w:w="4460" w:type="dxa"/>
            <w:vAlign w:val="bottom"/>
          </w:tcPr>
          <w:p>
            <w:pPr>
              <w:ind w:left="20"/>
              <w:spacing w:after="0" w:line="139" w:lineRule="exact"/>
              <w:rPr>
                <w:sz w:val="20"/>
                <w:szCs w:val="20"/>
                <w:color w:val="auto"/>
              </w:rPr>
            </w:pPr>
            <w:r>
              <w:rPr>
                <w:rFonts w:ascii="Arial" w:cs="Arial" w:eastAsia="Arial" w:hAnsi="Arial"/>
                <w:sz w:val="13"/>
                <w:szCs w:val="13"/>
                <w:color w:val="auto"/>
              </w:rPr>
              <w:t>Filed herewith.</w:t>
            </w:r>
          </w:p>
        </w:tc>
      </w:tr>
      <w:tr>
        <w:trPr>
          <w:trHeight w:val="167"/>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Interactive Data File because its XBRL tags are embedded within the inline XBRL document.</w:t>
            </w:r>
          </w:p>
        </w:tc>
        <w:tc>
          <w:tcPr>
            <w:tcW w:w="4460" w:type="dxa"/>
            <w:vAlign w:val="bottom"/>
          </w:tcPr>
          <w:p>
            <w:pPr>
              <w:spacing w:after="0"/>
              <w:rPr>
                <w:sz w:val="14"/>
                <w:szCs w:val="14"/>
                <w:color w:val="auto"/>
              </w:rPr>
            </w:pP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Schema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12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r>
        <w:trPr>
          <w:trHeight w:val="170"/>
        </w:trPr>
        <w:tc>
          <w:tcPr>
            <w:tcW w:w="1040" w:type="dxa"/>
            <w:vAlign w:val="bottom"/>
          </w:tcPr>
          <w:p>
            <w:pPr>
              <w:ind w:left="2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12"/>
          </w:tcPr>
          <w:p>
            <w:pPr>
              <w:spacing w:after="0"/>
              <w:rPr>
                <w:sz w:val="20"/>
                <w:szCs w:val="20"/>
                <w:color w:val="auto"/>
              </w:rPr>
            </w:pPr>
            <w:r>
              <w:rPr>
                <w:rFonts w:ascii="Arial" w:cs="Arial" w:eastAsia="Arial" w:hAnsi="Arial"/>
                <w:sz w:val="13"/>
                <w:szCs w:val="13"/>
                <w:color w:val="auto"/>
              </w:rPr>
              <w:t>Cover Page Interactive Data file (formatted as Inline XBRL and embedded within Exhibit 101)</w:t>
            </w:r>
          </w:p>
        </w:tc>
        <w:tc>
          <w:tcPr>
            <w:tcW w:w="4460" w:type="dxa"/>
            <w:vAlign w:val="bottom"/>
          </w:tcPr>
          <w:p>
            <w:pPr>
              <w:ind w:left="20"/>
              <w:spacing w:after="0"/>
              <w:rPr>
                <w:sz w:val="20"/>
                <w:szCs w:val="20"/>
                <w:color w:val="auto"/>
              </w:rPr>
            </w:pPr>
            <w:r>
              <w:rPr>
                <w:rFonts w:ascii="Arial" w:cs="Arial" w:eastAsia="Arial" w:hAnsi="Arial"/>
                <w:sz w:val="13"/>
                <w:szCs w:val="13"/>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F7C7F"/>
        </w:rPr>
        <w:t>SIGNATURES</w:t>
      </w:r>
    </w:p>
    <w:p>
      <w:pPr>
        <w:spacing w:after="0" w:line="87"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71"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MOLINA HEALTHCARE, INC.</w:t>
      </w:r>
    </w:p>
    <w:p>
      <w:pPr>
        <w:spacing w:after="0" w:line="20"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(Registrant)</w:t>
      </w:r>
    </w:p>
    <w:p>
      <w:pPr>
        <w:spacing w:after="0" w:line="222" w:lineRule="exact"/>
        <w:rPr>
          <w:sz w:val="20"/>
          <w:szCs w:val="20"/>
          <w:color w:val="auto"/>
        </w:rPr>
      </w:pPr>
    </w:p>
    <w:p>
      <w:pPr>
        <w:ind w:left="340"/>
        <w:spacing w:after="0"/>
        <w:tabs>
          <w:tab w:leader="none" w:pos="6500" w:val="left"/>
        </w:tabs>
        <w:rPr>
          <w:sz w:val="20"/>
          <w:szCs w:val="20"/>
          <w:color w:val="auto"/>
        </w:rPr>
      </w:pPr>
      <w:r>
        <w:rPr>
          <w:rFonts w:ascii="Arial" w:cs="Arial" w:eastAsia="Arial" w:hAnsi="Arial"/>
          <w:sz w:val="13"/>
          <w:szCs w:val="13"/>
          <w:color w:val="auto"/>
        </w:rPr>
        <w:t>Dated: October 23, 2025</w:t>
      </w:r>
      <w:r>
        <w:rPr>
          <w:sz w:val="20"/>
          <w:szCs w:val="20"/>
          <w:color w:val="auto"/>
        </w:rPr>
        <w:tab/>
      </w:r>
      <w:r>
        <w:rPr>
          <w:rFonts w:ascii="Arial" w:cs="Arial" w:eastAsia="Arial" w:hAnsi="Arial"/>
          <w:sz w:val="12"/>
          <w:szCs w:val="12"/>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12700</wp:posOffset>
            </wp:positionV>
            <wp:extent cx="301815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018155" cy="6985"/>
                    </a:xfrm>
                    <a:prstGeom prst="rect">
                      <a:avLst/>
                    </a:prstGeom>
                    <a:noFill/>
                  </pic:spPr>
                </pic:pic>
              </a:graphicData>
            </a:graphic>
          </wp:anchor>
        </w:drawing>
      </w:r>
    </w:p>
    <w:p>
      <w:pPr>
        <w:spacing w:after="0" w:line="11"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Joseph M. Zubretsky</w:t>
      </w:r>
    </w:p>
    <w:p>
      <w:pPr>
        <w:spacing w:after="0" w:line="24"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Chief Executive Officer</w:t>
      </w:r>
    </w:p>
    <w:p>
      <w:pPr>
        <w:spacing w:after="0" w:line="20"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(Principal Executive Officer)</w:t>
      </w:r>
    </w:p>
    <w:p>
      <w:pPr>
        <w:spacing w:after="0" w:line="218" w:lineRule="exact"/>
        <w:rPr>
          <w:sz w:val="20"/>
          <w:szCs w:val="20"/>
          <w:color w:val="auto"/>
        </w:rPr>
      </w:pPr>
    </w:p>
    <w:p>
      <w:pPr>
        <w:ind w:left="340"/>
        <w:spacing w:after="0"/>
        <w:tabs>
          <w:tab w:leader="none" w:pos="6500" w:val="left"/>
        </w:tabs>
        <w:rPr>
          <w:sz w:val="20"/>
          <w:szCs w:val="20"/>
          <w:color w:val="auto"/>
        </w:rPr>
      </w:pPr>
      <w:r>
        <w:rPr>
          <w:rFonts w:ascii="Arial" w:cs="Arial" w:eastAsia="Arial" w:hAnsi="Arial"/>
          <w:sz w:val="13"/>
          <w:szCs w:val="13"/>
          <w:color w:val="auto"/>
        </w:rPr>
        <w:t>Dated: October 23, 2025</w:t>
      </w:r>
      <w:r>
        <w:rPr>
          <w:sz w:val="20"/>
          <w:szCs w:val="20"/>
          <w:color w:val="auto"/>
        </w:rPr>
        <w:tab/>
      </w:r>
      <w:r>
        <w:rPr>
          <w:rFonts w:ascii="Arial" w:cs="Arial" w:eastAsia="Arial" w:hAnsi="Arial"/>
          <w:sz w:val="12"/>
          <w:szCs w:val="12"/>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12700</wp:posOffset>
            </wp:positionV>
            <wp:extent cx="301815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018155" cy="6985"/>
                    </a:xfrm>
                    <a:prstGeom prst="rect">
                      <a:avLst/>
                    </a:prstGeom>
                    <a:noFill/>
                  </pic:spPr>
                </pic:pic>
              </a:graphicData>
            </a:graphic>
          </wp:anchor>
        </w:drawing>
      </w:r>
    </w:p>
    <w:p>
      <w:pPr>
        <w:spacing w:after="0" w:line="11"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Mark L. Keim</w:t>
      </w:r>
    </w:p>
    <w:p>
      <w:pPr>
        <w:spacing w:after="0" w:line="24"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Chief Financial Officer and Treasurer</w:t>
      </w:r>
    </w:p>
    <w:p>
      <w:pPr>
        <w:spacing w:after="0" w:line="20" w:lineRule="exact"/>
        <w:rPr>
          <w:sz w:val="20"/>
          <w:szCs w:val="20"/>
          <w:color w:val="auto"/>
        </w:rPr>
      </w:pPr>
    </w:p>
    <w:p>
      <w:pPr>
        <w:jc w:val="center"/>
        <w:ind w:left="6460"/>
        <w:spacing w:after="0"/>
        <w:rPr>
          <w:sz w:val="20"/>
          <w:szCs w:val="20"/>
          <w:color w:val="auto"/>
        </w:rPr>
      </w:pPr>
      <w:r>
        <w:rPr>
          <w:rFonts w:ascii="Arial" w:cs="Arial" w:eastAsia="Arial" w:hAnsi="Arial"/>
          <w:sz w:val="13"/>
          <w:szCs w:val="13"/>
          <w:b w:val="1"/>
          <w:bCs w:val="1"/>
          <w:color w:val="auto"/>
        </w:rPr>
        <w:t>(Principal Financial Officer)</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Molina Healthcare, Inc. September 30, 2025 Form 10-Q | 37</w:t>
      </w:r>
    </w:p>
    <w:p>
      <w:pPr>
        <w:sectPr>
          <w:pgSz w:w="11900" w:h="16838" w:orient="portrait"/>
          <w:cols w:equalWidth="0" w:num="1">
            <w:col w:w="11280"/>
          </w:cols>
          <w:pgMar w:left="300" w:top="125" w:right="319" w:bottom="1440"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I, Joseph M. Zubretsky, certify that:</w:t>
      </w:r>
    </w:p>
    <w:p>
      <w:pPr>
        <w:spacing w:after="0" w:line="94" w:lineRule="exact"/>
        <w:rPr>
          <w:sz w:val="20"/>
          <w:szCs w:val="20"/>
          <w:color w:val="auto"/>
        </w:rPr>
      </w:pPr>
    </w:p>
    <w:p>
      <w:pPr>
        <w:ind w:left="520" w:hanging="16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for the period ended September 30, 2025 of Molina Healthcare, Inc.;</w:t>
      </w:r>
    </w:p>
    <w:p>
      <w:pPr>
        <w:spacing w:after="0" w:line="93" w:lineRule="exact"/>
        <w:rPr>
          <w:rFonts w:ascii="Arial" w:cs="Arial" w:eastAsia="Arial" w:hAnsi="Arial"/>
          <w:sz w:val="14"/>
          <w:szCs w:val="14"/>
          <w:color w:val="auto"/>
        </w:rPr>
      </w:pPr>
    </w:p>
    <w:p>
      <w:pPr>
        <w:ind w:right="20" w:firstLine="355"/>
        <w:spacing w:after="0" w:line="290" w:lineRule="auto"/>
        <w:tabs>
          <w:tab w:leader="none" w:pos="5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right="80" w:firstLine="355"/>
        <w:spacing w:after="0" w:line="290" w:lineRule="auto"/>
        <w:tabs>
          <w:tab w:leader="none" w:pos="5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right="260" w:firstLine="355"/>
        <w:spacing w:after="0" w:line="290" w:lineRule="auto"/>
        <w:tabs>
          <w:tab w:leader="none" w:pos="5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auto"/>
        </w:rPr>
      </w:pPr>
    </w:p>
    <w:p>
      <w:pPr>
        <w:ind w:right="80" w:firstLine="705"/>
        <w:spacing w:after="0" w:line="271" w:lineRule="auto"/>
        <w:tabs>
          <w:tab w:leader="none" w:pos="912" w:val="left"/>
        </w:tabs>
        <w:numPr>
          <w:ilvl w:val="1"/>
          <w:numId w:val="1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right="460" w:firstLine="705"/>
        <w:spacing w:after="0" w:line="271" w:lineRule="auto"/>
        <w:tabs>
          <w:tab w:leader="none" w:pos="912" w:val="left"/>
        </w:tabs>
        <w:numPr>
          <w:ilvl w:val="1"/>
          <w:numId w:val="1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20" w:firstLine="705"/>
        <w:spacing w:after="0" w:line="290" w:lineRule="auto"/>
        <w:tabs>
          <w:tab w:leader="none" w:pos="905" w:val="left"/>
        </w:tabs>
        <w:numPr>
          <w:ilvl w:val="1"/>
          <w:numId w:val="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ind w:right="160" w:firstLine="705"/>
        <w:spacing w:after="0" w:line="271" w:lineRule="auto"/>
        <w:tabs>
          <w:tab w:leader="none" w:pos="912" w:val="left"/>
        </w:tabs>
        <w:numPr>
          <w:ilvl w:val="1"/>
          <w:numId w:val="1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140" w:firstLine="355"/>
        <w:spacing w:after="0" w:line="290" w:lineRule="auto"/>
        <w:tabs>
          <w:tab w:leader="none" w:pos="5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right="360" w:firstLine="705"/>
        <w:spacing w:after="0" w:line="290" w:lineRule="auto"/>
        <w:tabs>
          <w:tab w:leader="none" w:pos="912" w:val="left"/>
        </w:tabs>
        <w:numPr>
          <w:ilvl w:val="1"/>
          <w:numId w:val="1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920" w:hanging="215"/>
        <w:spacing w:after="0"/>
        <w:tabs>
          <w:tab w:leader="none" w:pos="9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October 23, 2025</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71348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Joseph M. Zubretsky</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Executive Officer, President and Director</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I, Mark L. Keim, certify that:</w:t>
      </w:r>
    </w:p>
    <w:p>
      <w:pPr>
        <w:spacing w:after="0" w:line="94" w:lineRule="exact"/>
        <w:rPr>
          <w:sz w:val="20"/>
          <w:szCs w:val="20"/>
          <w:color w:val="auto"/>
        </w:rPr>
      </w:pPr>
    </w:p>
    <w:p>
      <w:pPr>
        <w:ind w:left="520" w:hanging="16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for the period ended September 30, 2025 of Molina Healthcare, Inc.;</w:t>
      </w:r>
    </w:p>
    <w:p>
      <w:pPr>
        <w:spacing w:after="0" w:line="93" w:lineRule="exact"/>
        <w:rPr>
          <w:rFonts w:ascii="Arial" w:cs="Arial" w:eastAsia="Arial" w:hAnsi="Arial"/>
          <w:sz w:val="14"/>
          <w:szCs w:val="14"/>
          <w:color w:val="auto"/>
        </w:rPr>
      </w:pPr>
    </w:p>
    <w:p>
      <w:pPr>
        <w:ind w:right="20" w:firstLine="355"/>
        <w:spacing w:after="0" w:line="290" w:lineRule="auto"/>
        <w:tabs>
          <w:tab w:leader="none" w:pos="5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auto"/>
        </w:rPr>
      </w:pPr>
    </w:p>
    <w:p>
      <w:pPr>
        <w:ind w:right="80" w:firstLine="355"/>
        <w:spacing w:after="0" w:line="290" w:lineRule="auto"/>
        <w:tabs>
          <w:tab w:leader="none" w:pos="5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auto"/>
        </w:rPr>
      </w:pPr>
    </w:p>
    <w:p>
      <w:pPr>
        <w:ind w:right="260" w:firstLine="355"/>
        <w:spacing w:after="0" w:line="290" w:lineRule="auto"/>
        <w:tabs>
          <w:tab w:leader="none" w:pos="5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auto"/>
        </w:rPr>
      </w:pPr>
    </w:p>
    <w:p>
      <w:pPr>
        <w:ind w:right="80" w:firstLine="705"/>
        <w:spacing w:after="0" w:line="271" w:lineRule="auto"/>
        <w:tabs>
          <w:tab w:leader="none" w:pos="912"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auto"/>
        </w:rPr>
      </w:pPr>
    </w:p>
    <w:p>
      <w:pPr>
        <w:ind w:right="460" w:firstLine="705"/>
        <w:spacing w:after="0" w:line="271" w:lineRule="auto"/>
        <w:tabs>
          <w:tab w:leader="none" w:pos="912" w:val="left"/>
        </w:tabs>
        <w:numPr>
          <w:ilvl w:val="1"/>
          <w:numId w:val="1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auto"/>
        </w:rPr>
      </w:pPr>
    </w:p>
    <w:p>
      <w:pPr>
        <w:ind w:right="620" w:firstLine="705"/>
        <w:spacing w:after="0" w:line="290" w:lineRule="auto"/>
        <w:tabs>
          <w:tab w:leader="none" w:pos="905"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auto"/>
        </w:rPr>
      </w:pPr>
    </w:p>
    <w:p>
      <w:pPr>
        <w:ind w:right="160" w:firstLine="705"/>
        <w:spacing w:after="0" w:line="271" w:lineRule="auto"/>
        <w:tabs>
          <w:tab w:leader="none" w:pos="912" w:val="left"/>
        </w:tabs>
        <w:numPr>
          <w:ilvl w:val="1"/>
          <w:numId w:val="1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auto"/>
        </w:rPr>
      </w:pPr>
    </w:p>
    <w:p>
      <w:pPr>
        <w:ind w:right="140" w:firstLine="355"/>
        <w:spacing w:after="0" w:line="290" w:lineRule="auto"/>
        <w:tabs>
          <w:tab w:leader="none" w:pos="50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auto"/>
        </w:rPr>
      </w:pPr>
    </w:p>
    <w:p>
      <w:pPr>
        <w:ind w:right="360" w:firstLine="705"/>
        <w:spacing w:after="0" w:line="290" w:lineRule="auto"/>
        <w:tabs>
          <w:tab w:leader="none" w:pos="912" w:val="left"/>
        </w:tabs>
        <w:numPr>
          <w:ilvl w:val="1"/>
          <w:numId w:val="1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auto"/>
        </w:rPr>
      </w:pPr>
    </w:p>
    <w:p>
      <w:pPr>
        <w:ind w:left="920" w:hanging="215"/>
        <w:spacing w:after="0"/>
        <w:tabs>
          <w:tab w:leader="none" w:pos="9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reporting.</w:t>
      </w: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6200" w:val="left"/>
        </w:tabs>
        <w:rPr>
          <w:sz w:val="20"/>
          <w:szCs w:val="20"/>
          <w:color w:val="auto"/>
        </w:rPr>
      </w:pPr>
      <w:r>
        <w:rPr>
          <w:rFonts w:ascii="Arial" w:cs="Arial" w:eastAsia="Arial" w:hAnsi="Arial"/>
          <w:sz w:val="14"/>
          <w:szCs w:val="14"/>
          <w:color w:val="auto"/>
        </w:rPr>
        <w:t>Dated: October 23, 2025</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1481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10"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Mark L. Keim</w:t>
      </w:r>
    </w:p>
    <w:p>
      <w:pPr>
        <w:spacing w:after="0" w:line="33"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9"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30"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connection with the Quarterly Report of Molina Healthcare, Inc. (the “Company”) on Form 10-Q for the period ended September 30, 2025 (the “Report”), I, Joseph M.</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Zubretsky,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920" w:hanging="215"/>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3" w:lineRule="exact"/>
        <w:rPr>
          <w:rFonts w:ascii="Arial" w:cs="Arial" w:eastAsia="Arial" w:hAnsi="Arial"/>
          <w:sz w:val="14"/>
          <w:szCs w:val="14"/>
          <w:color w:val="auto"/>
        </w:rPr>
      </w:pPr>
    </w:p>
    <w:p>
      <w:pPr>
        <w:ind w:left="920" w:hanging="215"/>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6240" w:val="left"/>
        </w:tabs>
        <w:rPr>
          <w:sz w:val="20"/>
          <w:szCs w:val="20"/>
          <w:color w:val="auto"/>
        </w:rPr>
      </w:pPr>
      <w:r>
        <w:rPr>
          <w:rFonts w:ascii="Arial" w:cs="Arial" w:eastAsia="Arial" w:hAnsi="Arial"/>
          <w:sz w:val="14"/>
          <w:szCs w:val="14"/>
          <w:color w:val="auto"/>
        </w:rPr>
        <w:t>Dated: October 23, 2025</w:t>
      </w:r>
      <w:r>
        <w:rPr>
          <w:sz w:val="20"/>
          <w:szCs w:val="20"/>
          <w:color w:val="auto"/>
        </w:rPr>
        <w:tab/>
      </w:r>
      <w:r>
        <w:rPr>
          <w:rFonts w:ascii="Arial" w:cs="Arial" w:eastAsia="Arial" w:hAnsi="Arial"/>
          <w:sz w:val="14"/>
          <w:szCs w:val="14"/>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14605</wp:posOffset>
            </wp:positionV>
            <wp:extent cx="713486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Joseph M. Zubretsky</w:t>
      </w:r>
    </w:p>
    <w:p>
      <w:pPr>
        <w:spacing w:after="0" w:line="33"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Chief Executive Officer, President and Director</w:t>
      </w:r>
    </w:p>
    <w:p>
      <w:pPr>
        <w:spacing w:after="0" w:line="19"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2" w:lineRule="exact"/>
        <w:rPr>
          <w:sz w:val="20"/>
          <w:szCs w:val="20"/>
          <w:color w:val="auto"/>
        </w:rPr>
      </w:pPr>
    </w:p>
    <w:p>
      <w:pPr>
        <w:ind w:right="260" w:firstLine="350"/>
        <w:spacing w:after="0" w:line="290" w:lineRule="auto"/>
        <w:rPr>
          <w:sz w:val="20"/>
          <w:szCs w:val="20"/>
          <w:color w:val="auto"/>
        </w:rPr>
      </w:pPr>
      <w:r>
        <w:rPr>
          <w:rFonts w:ascii="Arial" w:cs="Arial" w:eastAsia="Arial" w:hAnsi="Arial"/>
          <w:sz w:val="14"/>
          <w:szCs w:val="14"/>
          <w:color w:val="auto"/>
        </w:rPr>
        <w:t>In connection with the Quarterly Report of Molina Healthcare, Inc. (the “Company”) on Form 10-Q for the period ended September 30, 2025 (the “Report”), I, Mark L. Keim, Chief Financial Officer of the Company, certify, pursuant to 18 U.S.C. Section 1350, as adopted pursuant to Section 906 of the Sarbanes-Oxley Act of 2002, that:</w:t>
      </w:r>
    </w:p>
    <w:p>
      <w:pPr>
        <w:spacing w:after="0" w:line="35" w:lineRule="exact"/>
        <w:rPr>
          <w:sz w:val="20"/>
          <w:szCs w:val="20"/>
          <w:color w:val="auto"/>
        </w:rPr>
      </w:pPr>
    </w:p>
    <w:p>
      <w:pPr>
        <w:ind w:left="920" w:hanging="215"/>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3" w:lineRule="exact"/>
        <w:rPr>
          <w:rFonts w:ascii="Arial" w:cs="Arial" w:eastAsia="Arial" w:hAnsi="Arial"/>
          <w:sz w:val="14"/>
          <w:szCs w:val="14"/>
          <w:color w:val="auto"/>
        </w:rPr>
      </w:pPr>
    </w:p>
    <w:p>
      <w:pPr>
        <w:ind w:left="920" w:hanging="215"/>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6220" w:val="left"/>
        </w:tabs>
        <w:rPr>
          <w:sz w:val="20"/>
          <w:szCs w:val="20"/>
          <w:color w:val="auto"/>
        </w:rPr>
      </w:pPr>
      <w:r>
        <w:rPr>
          <w:rFonts w:ascii="Arial" w:cs="Arial" w:eastAsia="Arial" w:hAnsi="Arial"/>
          <w:sz w:val="14"/>
          <w:szCs w:val="14"/>
          <w:color w:val="auto"/>
        </w:rPr>
        <w:t>Dated: October 23, 2025</w:t>
      </w:r>
      <w:r>
        <w:rPr>
          <w:sz w:val="20"/>
          <w:szCs w:val="20"/>
          <w:color w:val="auto"/>
        </w:rPr>
        <w:tab/>
      </w:r>
      <w:r>
        <w:rPr>
          <w:rFonts w:ascii="Arial" w:cs="Arial" w:eastAsia="Arial" w:hAnsi="Arial"/>
          <w:sz w:val="14"/>
          <w:szCs w:val="14"/>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713486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Mark L. Keim</w:t>
      </w:r>
    </w:p>
    <w:p>
      <w:pPr>
        <w:spacing w:after="0" w:line="33"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9"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57" Type="http://schemas.openxmlformats.org/officeDocument/2006/relationships/hyperlink" Target="https://www.sec.gov/Archives/edgar/data/1179929/000143774925026208/ex_8514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2025-10-23T09:17:05Z</dcterms:created>
  <dcterms:modified xsi:type="dcterms:W3CDTF">2025-10-23T09:17:05Z</dcterms:modified>
</cp:coreProperties>
</file>