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73025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1" w:lineRule="auto"/>
        <w:tabs>
          <w:tab w:leader="none" w:pos="66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2026</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9" w:lineRule="exact"/>
        <w:rPr>
          <w:sz w:val="24"/>
          <w:szCs w:val="24"/>
          <w:color w:val="auto"/>
        </w:rPr>
      </w:pPr>
    </w:p>
    <w:tbl>
      <w:tblPr>
        <w:tblLayout w:type="fixed"/>
        <w:tblInd w:w="1900" w:type="dxa"/>
        <w:tblCellMar>
          <w:top w:w="0" w:type="dxa"/>
          <w:left w:w="0" w:type="dxa"/>
          <w:bottom w:w="0" w:type="dxa"/>
          <w:right w:w="0" w:type="dxa"/>
        </w:tblCellMar>
      </w:tblPr>
      <w:tr>
        <w:trPr>
          <w:trHeight w:val="223"/>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69"/>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62"/>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69"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auto"/>
        </w:rPr>
        <w:t>(562) 435-3666</w:t>
      </w:r>
    </w:p>
    <w:p>
      <w:pPr>
        <w:spacing w:after="0" w:line="35"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121920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9" w:lineRule="exact"/>
        <w:rPr>
          <w:sz w:val="24"/>
          <w:szCs w:val="24"/>
          <w:color w:val="auto"/>
        </w:rPr>
      </w:pPr>
    </w:p>
    <w:tbl>
      <w:tblPr>
        <w:tblLayout w:type="fixed"/>
        <w:tblInd w:w="95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3"/>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48"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left="180"/>
        <w:spacing w:after="0" w:line="184" w:lineRule="exact"/>
        <w:tabs>
          <w:tab w:leader="none" w:pos="2000" w:val="left"/>
          <w:tab w:leader="none" w:pos="3400" w:val="left"/>
          <w:tab w:leader="none" w:pos="5120" w:val="left"/>
          <w:tab w:leader="none" w:pos="7160" w:val="left"/>
        </w:tabs>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ab/>
        <w:t xml:space="preserve">Emerging growth company </w:t>
      </w:r>
      <w:r>
        <w:rPr>
          <w:rFonts w:ascii="MS PGothic" w:cs="MS PGothic" w:eastAsia="MS PGothic" w:hAnsi="MS PGothic"/>
          <w:sz w:val="14"/>
          <w:szCs w:val="14"/>
          <w:color w:val="auto"/>
        </w:rPr>
        <w:t>☐</w:t>
      </w:r>
    </w:p>
    <w:p>
      <w:pPr>
        <w:spacing w:after="0" w:line="72" w:lineRule="exact"/>
        <w:rPr>
          <w:sz w:val="24"/>
          <w:szCs w:val="24"/>
          <w:color w:val="auto"/>
        </w:rPr>
      </w:pPr>
    </w:p>
    <w:p>
      <w:pPr>
        <w:ind w:right="12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88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April 17, 2026, was approximately 52.1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 THE QUARTERLY PERIOD ENDED MARCH 31,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1"/>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97"/>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10"/>
          </w:tcPr>
          <w:p>
            <w:pPr>
              <w:spacing w:after="0"/>
              <w:rPr>
                <w:sz w:val="20"/>
                <w:szCs w:val="20"/>
                <w:color w:val="auto"/>
              </w:rPr>
            </w:pPr>
            <w:r>
              <w:rPr>
                <w:rFonts w:ascii="Arial" w:cs="Arial" w:eastAsia="Arial" w:hAnsi="Arial"/>
                <w:sz w:val="16"/>
                <w:szCs w:val="16"/>
                <w:color w:val="0F7C7F"/>
              </w:rPr>
              <w:t>Financial Statements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10"/>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19</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8"/>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32</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8"/>
          </w:tcPr>
          <w:p>
            <w:pPr>
              <w:spacing w:after="0"/>
              <w:rPr>
                <w:sz w:val="20"/>
                <w:szCs w:val="20"/>
                <w:color w:val="auto"/>
              </w:rPr>
            </w:pPr>
            <w:r>
              <w:rPr>
                <w:rFonts w:ascii="Arial" w:cs="Arial" w:eastAsia="Arial" w:hAnsi="Arial"/>
                <w:sz w:val="16"/>
                <w:szCs w:val="16"/>
                <w:color w:val="0F7C7F"/>
              </w:rPr>
              <w:t>Controls and Procedures</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32</w:t>
            </w:r>
          </w:p>
        </w:tc>
        <w:tc>
          <w:tcPr>
            <w:tcW w:w="40" w:type="dxa"/>
            <w:vAlign w:val="bottom"/>
          </w:tcPr>
          <w:p>
            <w:pPr>
              <w:spacing w:after="0"/>
              <w:rPr>
                <w:sz w:val="21"/>
                <w:szCs w:val="21"/>
                <w:color w:val="auto"/>
              </w:rPr>
            </w:pPr>
          </w:p>
        </w:tc>
      </w:tr>
      <w:tr>
        <w:trPr>
          <w:trHeight w:val="297"/>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5"/>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32</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440" w:type="dxa"/>
            <w:vAlign w:val="bottom"/>
            <w:gridSpan w:val="2"/>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32</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9"/>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2000" w:type="dxa"/>
            <w:vAlign w:val="bottom"/>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9"/>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2"/>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1260" w:type="dxa"/>
            <w:vAlign w:val="bottom"/>
            <w:gridSpan w:val="4"/>
          </w:tcPr>
          <w:p>
            <w:pPr>
              <w:spacing w:after="0"/>
              <w:rPr>
                <w:sz w:val="20"/>
                <w:szCs w:val="20"/>
                <w:color w:val="auto"/>
              </w:rPr>
            </w:pPr>
            <w:r>
              <w:rPr>
                <w:rFonts w:ascii="Arial" w:cs="Arial" w:eastAsia="Arial" w:hAnsi="Arial"/>
                <w:sz w:val="16"/>
                <w:szCs w:val="16"/>
                <w:color w:val="0F7C7F"/>
                <w:w w:val="99"/>
              </w:rPr>
              <w:t>Other Information</w:t>
            </w:r>
          </w:p>
        </w:tc>
        <w:tc>
          <w:tcPr>
            <w:tcW w:w="5100" w:type="dxa"/>
            <w:vAlign w:val="bottom"/>
            <w:gridSpan w:val="6"/>
          </w:tcPr>
          <w:p>
            <w:pPr>
              <w:spacing w:after="0"/>
              <w:rPr>
                <w:sz w:val="20"/>
                <w:szCs w:val="20"/>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500" w:type="dxa"/>
            <w:vAlign w:val="bottom"/>
            <w:gridSpan w:val="2"/>
            <w:shd w:val="clear" w:color="auto" w:fill="0F7C7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0"/>
                <w:szCs w:val="20"/>
                <w:color w:val="auto"/>
              </w:rPr>
            </w:pPr>
            <w:r>
              <w:rPr>
                <w:rFonts w:ascii="Arial" w:cs="Arial" w:eastAsia="Arial" w:hAnsi="Arial"/>
                <w:sz w:val="16"/>
                <w:szCs w:val="16"/>
                <w:color w:val="0F7C7F"/>
                <w:w w:val="96"/>
              </w:rPr>
              <w:t>Exhibits</w:t>
            </w:r>
          </w:p>
        </w:tc>
        <w:tc>
          <w:tcPr>
            <w:tcW w:w="700" w:type="dxa"/>
            <w:vAlign w:val="bottom"/>
            <w:gridSpan w:val="3"/>
          </w:tcPr>
          <w:p>
            <w:pPr>
              <w:spacing w:after="0"/>
              <w:rPr>
                <w:sz w:val="21"/>
                <w:szCs w:val="21"/>
                <w:color w:val="auto"/>
              </w:rPr>
            </w:pPr>
          </w:p>
        </w:tc>
        <w:tc>
          <w:tcPr>
            <w:tcW w:w="5100" w:type="dxa"/>
            <w:vAlign w:val="bottom"/>
            <w:gridSpan w:val="6"/>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10"/>
          </w:tcPr>
          <w:p>
            <w:pPr>
              <w:spacing w:after="0"/>
              <w:rPr>
                <w:sz w:val="20"/>
                <w:szCs w:val="20"/>
                <w:color w:val="auto"/>
              </w:rPr>
            </w:pPr>
            <w:r>
              <w:rPr>
                <w:rFonts w:ascii="Arial" w:cs="Arial" w:eastAsia="Arial" w:hAnsi="Arial"/>
                <w:sz w:val="16"/>
                <w:szCs w:val="16"/>
                <w:color w:val="0F7C7F"/>
              </w:rPr>
              <w:t>Signatures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8"/>
        </w:trPr>
        <w:tc>
          <w:tcPr>
            <w:tcW w:w="8060" w:type="dxa"/>
            <w:vAlign w:val="bottom"/>
          </w:tcPr>
          <w:p>
            <w:pPr>
              <w:spacing w:after="0"/>
              <w:rPr>
                <w:sz w:val="16"/>
                <w:szCs w:val="16"/>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 except per-share amounts)</w:t>
            </w:r>
          </w:p>
        </w:tc>
        <w:tc>
          <w:tcPr>
            <w:tcW w:w="0" w:type="dxa"/>
            <w:vAlign w:val="bottom"/>
          </w:tcPr>
          <w:p>
            <w:pPr>
              <w:spacing w:after="0"/>
              <w:rPr>
                <w:sz w:val="1"/>
                <w:szCs w:val="1"/>
                <w:color w:val="auto"/>
              </w:rPr>
            </w:pPr>
          </w:p>
        </w:tc>
      </w:tr>
      <w:tr>
        <w:trPr>
          <w:trHeight w:val="185"/>
        </w:trPr>
        <w:tc>
          <w:tcPr>
            <w:tcW w:w="8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10,172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10,628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11,147</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9,479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Impairment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10,714</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share - Diluted</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vMerge w:val="continue"/>
          </w:tcPr>
          <w:p>
            <w:pPr>
              <w:spacing w:after="0"/>
              <w:rPr>
                <w:sz w:val="16"/>
                <w:szCs w:val="16"/>
                <w:color w:val="auto"/>
              </w:rPr>
            </w:pP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(LOSS)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2740" w:type="dxa"/>
            <w:vAlign w:val="bottom"/>
            <w:tcBorders>
              <w:bottom w:val="single" w:sz="8" w:color="auto"/>
            </w:tcBorders>
            <w:gridSpan w:val="4"/>
          </w:tcPr>
          <w:p>
            <w:pPr>
              <w:jc w:val="center"/>
              <w:ind w:left="344"/>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6"/>
        </w:trPr>
        <w:tc>
          <w:tcPr>
            <w:tcW w:w="8000" w:type="dxa"/>
            <w:vAlign w:val="bottom"/>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r>
      <w:tr>
        <w:trPr>
          <w:trHeight w:val="188"/>
        </w:trPr>
        <w:tc>
          <w:tcPr>
            <w:tcW w:w="8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3"/>
          </w:tcPr>
          <w:p>
            <w:pPr>
              <w:jc w:val="center"/>
              <w:ind w:right="54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r>
      <w:tr>
        <w:trPr>
          <w:trHeight w:val="185"/>
        </w:trPr>
        <w:tc>
          <w:tcPr>
            <w:tcW w:w="8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3"/>
          </w:tcPr>
          <w:p>
            <w:pPr>
              <w:jc w:val="center"/>
              <w:ind w:right="562"/>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6"/>
                <w:szCs w:val="16"/>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Other comprehensive (loss) gain:</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gain</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gain, net of tax</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r>
    </w:tbl>
    <w:p>
      <w:pPr>
        <w:spacing w:after="0" w:line="32"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r>
      <w:tr>
        <w:trPr>
          <w:trHeight w:val="189"/>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4"/>
        </w:trPr>
        <w:tc>
          <w:tcPr>
            <w:tcW w:w="3160" w:type="dxa"/>
            <w:vAlign w:val="bottom"/>
            <w:gridSpan w:val="2"/>
          </w:tcPr>
          <w:p>
            <w:pPr>
              <w:jc w:val="right"/>
              <w:ind w:right="2419"/>
              <w:spacing w:after="0"/>
              <w:rPr>
                <w:sz w:val="20"/>
                <w:szCs w:val="20"/>
                <w:color w:val="auto"/>
              </w:rPr>
            </w:pPr>
            <w:r>
              <w:rPr>
                <w:rFonts w:ascii="Arial" w:cs="Arial" w:eastAsia="Arial" w:hAnsi="Arial"/>
                <w:sz w:val="16"/>
                <w:szCs w:val="16"/>
                <w:b w:val="1"/>
                <w:bCs w:val="1"/>
                <w:color w:val="auto"/>
                <w:w w:val="99"/>
              </w:rPr>
              <w:t>ASSETS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4"/>
        </w:trPr>
        <w:tc>
          <w:tcPr>
            <w:tcW w:w="3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5,314</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4,248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3,937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4,008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3,533</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13,326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12,444</w:t>
            </w:r>
          </w:p>
        </w:tc>
      </w:tr>
      <w:tr>
        <w:trPr>
          <w:trHeight w:val="215"/>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2,195</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29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16,391</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15,564</w:t>
            </w: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620" w:space="280"/>
            <w:col w:w="73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11,495</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$0.001 par value, 150 million shares authorized; outstanding: 52 million shares at March 31,</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2026 and 51 million at December 31, 2025</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 income</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80" w:type="dxa"/>
            <w:vAlign w:val="bottom"/>
            <w:gridSpan w:val="7"/>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23"/>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gridSpan w:val="3"/>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4"/>
                <w:szCs w:val="4"/>
                <w:color w:val="auto"/>
              </w:rPr>
            </w:pPr>
          </w:p>
        </w:tc>
        <w:tc>
          <w:tcPr>
            <w:tcW w:w="1040" w:type="dxa"/>
            <w:vAlign w:val="bottom"/>
            <w:gridSpan w:val="4"/>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gridSpan w:val="8"/>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gridSpan w:val="8"/>
          </w:tcPr>
          <w:p>
            <w:pPr>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2025</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2026</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80" w:type="dxa"/>
            <w:vAlign w:val="bottom"/>
            <w:gridSpan w:val="7"/>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63"/>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gridSpan w:val="3"/>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4"/>
                <w:szCs w:val="4"/>
                <w:color w:val="auto"/>
              </w:rPr>
            </w:pPr>
          </w:p>
        </w:tc>
        <w:tc>
          <w:tcPr>
            <w:tcW w:w="1040" w:type="dxa"/>
            <w:vAlign w:val="bottom"/>
            <w:gridSpan w:val="4"/>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(Loss) Income</w:t>
            </w:r>
          </w:p>
        </w:tc>
        <w:tc>
          <w:tcPr>
            <w:tcW w:w="12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9"/>
          </w:tcPr>
          <w:p>
            <w:pPr>
              <w:ind w:left="8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9"/>
          </w:tcPr>
          <w:p>
            <w:pPr>
              <w:ind w:left="8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Stock purchase excise tax</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2025</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3,904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68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188"/>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gridSpan w:val="3"/>
          </w:tcPr>
          <w:p>
            <w:pPr>
              <w:jc w:val="center"/>
              <w:ind w:right="4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r>
      <w:tr>
        <w:trPr>
          <w:trHeight w:val="185"/>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gridSpan w:val="3"/>
          </w:tcPr>
          <w:p>
            <w:pPr>
              <w:jc w:val="center"/>
              <w:ind w:right="422"/>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15"/>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Proceeds from borrowings under credit facility and term loans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provided by financing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4,741</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4,955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MARCH 31, 2026</w:t>
      </w:r>
    </w:p>
    <w:p>
      <w:pPr>
        <w:spacing w:after="0" w:line="360" w:lineRule="exact"/>
        <w:rPr>
          <w:sz w:val="20"/>
          <w:szCs w:val="20"/>
          <w:color w:val="auto"/>
        </w:rPr>
      </w:pPr>
    </w:p>
    <w:p>
      <w:pPr>
        <w:ind w:right="7680" w:firstLine="8"/>
        <w:spacing w:after="0" w:line="397" w:lineRule="auto"/>
        <w:tabs>
          <w:tab w:leader="none" w:pos="200" w:val="left"/>
        </w:tabs>
        <w:numPr>
          <w:ilvl w:val="0"/>
          <w:numId w:val="3"/>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March 31, 2026, we served approximately 5.0 million members eligible for government-sponsored healthcare programs, located across 21 states.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state Medicaid contracts typically have terms of three years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Medicare, we enter into Medicare Advantage-Part D (“MAPD”) contracts with the Centers for Medicare and Medicaid Services (“CMS”) annually, and for dual-eligible programs, we enter into contracts with CMS, in partnership with each state’s department of health and human services. Such contracts typically have terms of one year to three years.</w:t>
      </w:r>
    </w:p>
    <w:p>
      <w:pPr>
        <w:spacing w:after="0" w:line="63" w:lineRule="exact"/>
        <w:rPr>
          <w:sz w:val="20"/>
          <w:szCs w:val="20"/>
          <w:color w:val="auto"/>
        </w:rPr>
      </w:pPr>
    </w:p>
    <w:p>
      <w:pPr>
        <w:ind w:right="1620"/>
        <w:spacing w:after="0" w:line="375" w:lineRule="auto"/>
        <w:rPr>
          <w:sz w:val="20"/>
          <w:szCs w:val="20"/>
          <w:color w:val="auto"/>
        </w:rPr>
      </w:pPr>
      <w:r>
        <w:rPr>
          <w:rFonts w:ascii="Arial" w:cs="Arial" w:eastAsia="Arial" w:hAnsi="Arial"/>
          <w:sz w:val="18"/>
          <w:szCs w:val="18"/>
          <w:color w:val="auto"/>
        </w:rPr>
        <w:t xml:space="preserve">In Marketplace, we enter into contracts with CMS, which end on December 31 each year, and must be renewed annually. </w:t>
      </w:r>
      <w:r>
        <w:rPr>
          <w:rFonts w:ascii="Arial" w:cs="Arial" w:eastAsia="Arial" w:hAnsi="Arial"/>
          <w:sz w:val="18"/>
          <w:szCs w:val="18"/>
          <w:b w:val="1"/>
          <w:bCs w:val="1"/>
          <w:i w:val="1"/>
          <w:iCs w:val="1"/>
          <w:color w:val="auto"/>
        </w:rPr>
        <w:t>Consolidation and Interim Financial Information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three months ended March 31, 2026 are not necessarily indicative of the results for the entire year ending December 31, 2026.</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2025. Accordingly, certain disclosures that would substantially duplicate the disclosures contained in our December 31, 2025, audited consolidated financial statements have been omitted.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06" w:lineRule="exact"/>
        <w:rPr>
          <w:sz w:val="20"/>
          <w:szCs w:val="20"/>
          <w:color w:val="auto"/>
        </w:rPr>
      </w:pPr>
    </w:p>
    <w:p>
      <w:pPr>
        <w:ind w:right="8340" w:firstLine="8"/>
        <w:spacing w:after="0" w:line="375" w:lineRule="auto"/>
        <w:tabs>
          <w:tab w:leader="none" w:pos="200" w:val="left"/>
        </w:tabs>
        <w:numPr>
          <w:ilvl w:val="0"/>
          <w:numId w:val="4"/>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43"/>
        </w:trPr>
        <w:tc>
          <w:tcPr>
            <w:tcW w:w="82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4,955</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as well as pharmacy rebates and other receivables. Government receivables amounted to $2,380 million and $2,365 million at March 31, 2026 and December 31, 2025, respectively. We apply the current expected credit loss model to measure expected credit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2025 Annual Report on Form 10-K, Note 2, “Significant Accounting Policies,” under “Premium Revenue Recognition and Amounts Due Government Agencies,” and “Quality Incentives.”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Minimum MLR, Medical Cost Corridors and Profit Sharing. </w:t>
      </w:r>
      <w:r>
        <w:rPr>
          <w:rFonts w:ascii="Arial" w:cs="Arial" w:eastAsia="Arial" w:hAnsi="Arial"/>
          <w:sz w:val="18"/>
          <w:szCs w:val="18"/>
          <w:color w:val="auto"/>
        </w:rPr>
        <w:t>A portion of our Medicaid premium revenue may be returned if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amounts are not spent on defined medical care costs as a percentage of premium revenue, or minimum medical loss ratio (“Minimum MLR”). Under certain medical cost corridor provisions, the health plans may receive additional premiums if amounts spent on medical care costs exceed a defined maximum threshold.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$531 million and $457 million at March 31, 2026 and December 31, 2025, respectively, to “Amounts due government agencies” in the accompanying consolidated balance sheets.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$45 million and $28 million at March 31, 2026 and December 31, 2025, respectively, to “Amounts due government agencies” in the accompanying consolidated balance sheets.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We recorded a liability under the terms of such contract provisions of $8 million and $12 million at March 31, 2026 and December 31, 2025, respectively, to “Amounts due government agencies” in the accompanying consolidated balance sheets.</w:t>
      </w:r>
    </w:p>
    <w:p>
      <w:pPr>
        <w:spacing w:after="0" w:line="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members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measured by member risk score). We estimate our members’ risk scores and the related</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$ 65 million and $66 million at March 31, 2026 and December 31, 2025, respectively, to “Amounts due government agencies” in the accompanying consolidated balance sheets.</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Marketplace premiums are also subject to increases based on the health status of members.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March 31, 2026, Marketplace risk adjustment payables amounted to $630 million and related receivables amounted to $112 million, for a net payable of $518 million. As of December 31, 2025, Marketplace risk adjustment payables amounted to $517 million and related receivables amounted to $106 million, for a net payable of $411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on Loss Contracts</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2026, we determined that the MAPD product does not align with our strategic shift to focus exclusively on dual-eligible members in Medicare and we intend to exit this product for 2027. The projected undiscounted cash flows of the MAPD product will not exceed the carrying amount of the related intangible assets. As such, we impaired the remaining intangible assets during the three months ending March 31, 2026, which amounted to $93 million. The following major classes of intangibles were impaired in the amounts listed: contract rights and licenses with a remaining balance of $62 million, provider networks with a remaining balance of $4 million, and trade name with a remaining balance of $27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tax credits, state taxes, and nondeductible expenses such as certain compensation and other general and administrative expenses.</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Recent accounting pronouncements issued by the Financial Accounting Standards Board (including its Emerging Issues Task Force), the American Institute of Certified Public Accountants, and the Securities and Exchange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Commission (“SEC”) did not have, nor does management expect such pronouncements to have, a significant impact on our present or future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920" w:type="dxa"/>
            <w:vAlign w:val="bottom"/>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237"/>
        </w:trPr>
        <w:tc>
          <w:tcPr>
            <w:tcW w:w="7920" w:type="dxa"/>
            <w:vAlign w:val="bottom"/>
          </w:tcPr>
          <w:p>
            <w:pPr>
              <w:spacing w:after="0"/>
              <w:rPr>
                <w:sz w:val="20"/>
                <w:szCs w:val="20"/>
                <w:color w:val="auto"/>
              </w:rPr>
            </w:pPr>
          </w:p>
        </w:tc>
        <w:tc>
          <w:tcPr>
            <w:tcW w:w="332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rPr>
              <w:t>(In millions, except net income per share)</w:t>
            </w:r>
          </w:p>
        </w:tc>
      </w:tr>
      <w:tr>
        <w:trPr>
          <w:trHeight w:val="21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15"/>
        </w:trPr>
        <w:tc>
          <w:tcPr>
            <w:tcW w:w="792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purchases</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792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w:t>
            </w:r>
          </w:p>
        </w:tc>
      </w:tr>
      <w:tr>
        <w:trPr>
          <w:trHeight w:val="217"/>
        </w:trPr>
        <w:tc>
          <w:tcPr>
            <w:tcW w:w="79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7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41"/>
        </w:trPr>
        <w:tc>
          <w:tcPr>
            <w:tcW w:w="792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92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r>
      <w:tr>
        <w:trPr>
          <w:trHeight w:val="20"/>
        </w:trPr>
        <w:tc>
          <w:tcPr>
            <w:tcW w:w="7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8" w:lineRule="exact"/>
        <w:rPr>
          <w:sz w:val="20"/>
          <w:szCs w:val="20"/>
          <w:color w:val="auto"/>
        </w:rPr>
      </w:pPr>
    </w:p>
    <w:p>
      <w:pPr>
        <w:ind w:left="340" w:right="220" w:hanging="332"/>
        <w:spacing w:after="0" w:line="259" w:lineRule="auto"/>
        <w:tabs>
          <w:tab w:leader="none" w:pos="3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Certain potentially dilutive common shares issuable are not included in the computation of diluted net income per share because to do so would be anti-dilutive. For the quarter ended March 31, 2026, 427,000 shares were excluded from diluted shares outstanding. For the quarter ended March 31, 2025, there were no shares excluded from diluted shares outstanding.</w:t>
      </w: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4. Fair Value Measurements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2025 Annual Report on Form 10-K, Note 5, “Fair Value Measurements.”</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March 31, 2026,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640" w:type="dxa"/>
            <w:vAlign w:val="bottom"/>
            <w:gridSpan w:val="3"/>
          </w:tcPr>
          <w:p>
            <w:pPr>
              <w:ind w:left="46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6.500% Notes due 2031</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2032</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6.250% Notes due 2033</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3,767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3,575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9720" w:firstLine="8"/>
        <w:spacing w:after="0" w:line="397" w:lineRule="auto"/>
        <w:tabs>
          <w:tab w:leader="none" w:pos="200" w:val="left"/>
        </w:tabs>
        <w:numPr>
          <w:ilvl w:val="0"/>
          <w:numId w:val="6"/>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Investments </w:t>
      </w:r>
      <w:r>
        <w:rPr>
          <w:rFonts w:ascii="Arial" w:cs="Arial" w:eastAsia="Arial" w:hAnsi="Arial"/>
          <w:sz w:val="17"/>
          <w:szCs w:val="17"/>
          <w:b w:val="1"/>
          <w:bCs w:val="1"/>
          <w:i w:val="1"/>
          <w:iCs w:val="1"/>
          <w:color w:val="000000"/>
        </w:rPr>
        <w:t>Available-for-Sale</w:t>
      </w:r>
    </w:p>
    <w:p>
      <w:pPr>
        <w:spacing w:after="0" w:line="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March 31, 2026</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964</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32"/>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December 31, 2025</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953</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35"/>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Expected maturities may differ from contractual maturities because borrowers may have the right to call or prepay obligations with or without call or prepayment penalties. The contractual maturities of our current investments as of March 31, 2026 are summarized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8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8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three months ended March 31, 2026, and 2025, maturities and redemptions of available-for-sale securities amounted to $ 281 million and $314 million, respectively, and sales amounted to $14 million and $17 million, respectively. Gross realized gains and losses from sales of available-for-sale securities are calculated under the specific identification method and are included in investment income. Gross realized investment gains and losses were insignificant for the three months ended March 31, 2026 and 2025.</w:t>
      </w:r>
    </w:p>
    <w:p>
      <w:pPr>
        <w:spacing w:after="0" w:line="6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have determined that unrealized losses at March 31, 2026, and December 31, 2025, primarily resulted from fluctuating interest rates, rather than a deterioration of the creditworthiness of the issuers. Further, as of March 31, 2026, we do not intend to sell, and it is not likely that we will be required to sell these investments prior to the recovery of their amortized cost basis. Therefore, we determined that an allowance for credit losses was not necessary.</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March 31, 2026: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240" w:type="dxa"/>
            <w:vAlign w:val="bottom"/>
            <w:gridSpan w:val="2"/>
          </w:tcPr>
          <w:p>
            <w:pPr>
              <w:jc w:val="center"/>
              <w:ind w:left="4"/>
              <w:spacing w:after="0" w:line="147"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90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316</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76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4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the intent and ability to hold these restricted investments until maturity and, as a result, we expect to collect the contractual cash flows associated with these investments and do not recognize interim fluctuations in fair value. Accordingly, our held-to-maturity restricted investments are carried at amortized cost, which approximates fair value. Such investments amounted to $312 million at March 31, 2026, of which $157 million will mature in one year or less, $151 million will mature in one through five years, and $4 million will mature after five years.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6. Medical Claims and Benefits Payable</w:t>
      </w:r>
    </w:p>
    <w:p>
      <w:pPr>
        <w:spacing w:after="0" w:line="1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10"/>
          </w:tcPr>
          <w:p>
            <w:pPr>
              <w:jc w:val="center"/>
              <w:ind w:left="41"/>
              <w:spacing w:after="0"/>
              <w:rPr>
                <w:sz w:val="20"/>
                <w:szCs w:val="20"/>
                <w:color w:val="auto"/>
              </w:rPr>
            </w:pPr>
            <w:r>
              <w:rPr>
                <w:rFonts w:ascii="Arial" w:cs="Arial" w:eastAsia="Arial" w:hAnsi="Arial"/>
                <w:sz w:val="14"/>
                <w:szCs w:val="14"/>
                <w:b w:val="1"/>
                <w:bCs w:val="1"/>
                <w:color w:val="auto"/>
              </w:rPr>
              <w:t>Three Months Ended March 31, 2026</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Medicaid</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Medicare</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9,523</w:t>
            </w:r>
          </w:p>
        </w:tc>
      </w:tr>
      <w:tr>
        <w:trPr>
          <w:trHeight w:val="215"/>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10"/>
        </w:trPr>
        <w:tc>
          <w:tcPr>
            <w:tcW w:w="4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9,270</w:t>
            </w:r>
          </w:p>
        </w:tc>
      </w:tr>
      <w:tr>
        <w:trPr>
          <w:trHeight w:val="195"/>
        </w:trPr>
        <w:tc>
          <w:tcPr>
            <w:tcW w:w="420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w:t>
            </w:r>
          </w:p>
        </w:tc>
      </w:tr>
      <w:tr>
        <w:trPr>
          <w:trHeight w:val="215"/>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3,628</w:t>
            </w:r>
          </w:p>
        </w:tc>
      </w:tr>
      <w:tr>
        <w:trPr>
          <w:trHeight w:val="210"/>
        </w:trPr>
        <w:tc>
          <w:tcPr>
            <w:tcW w:w="4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9,511</w:t>
            </w:r>
          </w:p>
        </w:tc>
      </w:tr>
      <w:tr>
        <w:trPr>
          <w:trHeight w:val="20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non-risk and other payables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3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406</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32"/>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center"/>
              <w:ind w:left="61"/>
              <w:spacing w:after="0"/>
              <w:rPr>
                <w:sz w:val="20"/>
                <w:szCs w:val="20"/>
                <w:color w:val="auto"/>
              </w:rPr>
            </w:pPr>
            <w:r>
              <w:rPr>
                <w:rFonts w:ascii="Arial" w:cs="Arial" w:eastAsia="Arial" w:hAnsi="Arial"/>
                <w:sz w:val="14"/>
                <w:szCs w:val="14"/>
                <w:b w:val="1"/>
                <w:bCs w:val="1"/>
                <w:color w:val="auto"/>
              </w:rPr>
              <w:t>Three Months Ended March 31, 2025</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6"/>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Medicare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Marketplace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9,665</w:t>
            </w: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0"/>
        </w:trPr>
        <w:tc>
          <w:tcPr>
            <w:tcW w:w="42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9,479</w:t>
            </w:r>
          </w:p>
        </w:tc>
      </w:tr>
      <w:tr>
        <w:trPr>
          <w:trHeight w:val="195"/>
        </w:trPr>
        <w:tc>
          <w:tcPr>
            <w:tcW w:w="420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w:t>
            </w:r>
          </w:p>
        </w:tc>
      </w:tr>
      <w:tr>
        <w:trPr>
          <w:trHeight w:val="215"/>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w:t>
            </w:r>
          </w:p>
        </w:tc>
      </w:tr>
      <w:tr>
        <w:trPr>
          <w:trHeight w:val="210"/>
        </w:trPr>
        <w:tc>
          <w:tcPr>
            <w:tcW w:w="4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9,473</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payables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4,804</w:t>
            </w: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IBNP totaled $ 2,942 million as of March 31, 2026, and includes the costs of claims incurred as of the balance sheet date which have been reported to us, and our best estimate of the cost of claims incurred but not yet reported to us. Our estimates of medical claims and benefits payable recorded at December 31, 2025, and 2024 developed favorably by approximately $253 million and $186 million as of March 31, 2026, and 2025, respectively.</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favorable prior year development recognized in the three months ended March 31, 2026 was primarily attributable to reserving under moderately adverse conditions, lower than expected utilization of medical services by our members and improved operating performance, mainly in the Medicaid and Medicare segments. Consequently, the ultimate costs recognized in 2026, as claims payments were processed, were lower than our estimates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obligations: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r>
      <w:tr>
        <w:trPr>
          <w:trHeight w:val="235"/>
        </w:trPr>
        <w:tc>
          <w:tcPr>
            <w:tcW w:w="7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20" w:type="dxa"/>
            <w:vAlign w:val="bottom"/>
          </w:tcPr>
          <w:p>
            <w:pPr>
              <w:ind w:left="140"/>
              <w:spacing w:after="0"/>
              <w:rPr>
                <w:sz w:val="20"/>
                <w:szCs w:val="20"/>
                <w:color w:val="auto"/>
              </w:rPr>
            </w:pPr>
            <w:r>
              <w:rPr>
                <w:rFonts w:ascii="Arial" w:cs="Arial" w:eastAsia="Arial" w:hAnsi="Arial"/>
                <w:sz w:val="16"/>
                <w:szCs w:val="16"/>
                <w:color w:val="auto"/>
              </w:rPr>
              <w:t>4.375%</w:t>
            </w:r>
          </w:p>
        </w:tc>
        <w:tc>
          <w:tcPr>
            <w:tcW w:w="7300" w:type="dxa"/>
            <w:vAlign w:val="bottom"/>
          </w:tcPr>
          <w:p>
            <w:pPr>
              <w:ind w:left="20"/>
              <w:spacing w:after="0"/>
              <w:rPr>
                <w:sz w:val="20"/>
                <w:szCs w:val="20"/>
                <w:color w:val="auto"/>
              </w:rPr>
            </w:pPr>
            <w:r>
              <w:rPr>
                <w:rFonts w:ascii="Arial" w:cs="Arial" w:eastAsia="Arial" w:hAnsi="Arial"/>
                <w:sz w:val="16"/>
                <w:szCs w:val="16"/>
                <w:color w:val="auto"/>
              </w:rPr>
              <w:t>Notes due June 15, 2028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800</w:t>
            </w:r>
          </w:p>
        </w:tc>
      </w:tr>
      <w:tr>
        <w:trPr>
          <w:trHeight w:val="217"/>
        </w:trPr>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w:t>
            </w: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November 15, 2030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r>
      <w:tr>
        <w:trPr>
          <w:trHeight w:val="215"/>
        </w:trPr>
        <w:tc>
          <w:tcPr>
            <w:tcW w:w="720" w:type="dxa"/>
            <w:vAlign w:val="bottom"/>
          </w:tcPr>
          <w:p>
            <w:pPr>
              <w:ind w:left="140"/>
              <w:spacing w:after="0"/>
              <w:rPr>
                <w:sz w:val="20"/>
                <w:szCs w:val="20"/>
                <w:color w:val="auto"/>
              </w:rPr>
            </w:pPr>
            <w:r>
              <w:rPr>
                <w:rFonts w:ascii="Arial" w:cs="Arial" w:eastAsia="Arial" w:hAnsi="Arial"/>
                <w:sz w:val="16"/>
                <w:szCs w:val="16"/>
                <w:color w:val="auto"/>
              </w:rPr>
              <w:t>6.500%</w:t>
            </w:r>
          </w:p>
        </w:tc>
        <w:tc>
          <w:tcPr>
            <w:tcW w:w="7300" w:type="dxa"/>
            <w:vAlign w:val="bottom"/>
          </w:tcPr>
          <w:p>
            <w:pPr>
              <w:ind w:left="20"/>
              <w:spacing w:after="0"/>
              <w:rPr>
                <w:sz w:val="20"/>
                <w:szCs w:val="20"/>
                <w:color w:val="auto"/>
              </w:rPr>
            </w:pPr>
            <w:r>
              <w:rPr>
                <w:rFonts w:ascii="Arial" w:cs="Arial" w:eastAsia="Arial" w:hAnsi="Arial"/>
                <w:sz w:val="16"/>
                <w:szCs w:val="16"/>
                <w:color w:val="auto"/>
              </w:rPr>
              <w:t>Notes due February 15, 2031</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850</w:t>
            </w:r>
          </w:p>
        </w:tc>
      </w:tr>
      <w:tr>
        <w:trPr>
          <w:trHeight w:val="217"/>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3.875% Notes due May 15, 2032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r>
      <w:tr>
        <w:trPr>
          <w:trHeight w:val="215"/>
        </w:trPr>
        <w:tc>
          <w:tcPr>
            <w:tcW w:w="8020" w:type="dxa"/>
            <w:vAlign w:val="bottom"/>
            <w:gridSpan w:val="2"/>
          </w:tcPr>
          <w:p>
            <w:pPr>
              <w:ind w:left="140"/>
              <w:spacing w:after="0"/>
              <w:rPr>
                <w:sz w:val="20"/>
                <w:szCs w:val="20"/>
                <w:color w:val="auto"/>
              </w:rPr>
            </w:pPr>
            <w:r>
              <w:rPr>
                <w:rFonts w:ascii="Arial" w:cs="Arial" w:eastAsia="Arial" w:hAnsi="Arial"/>
                <w:sz w:val="16"/>
                <w:szCs w:val="16"/>
                <w:color w:val="auto"/>
              </w:rPr>
              <w:t>6.250% Notes due January 15, 2033</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750</w:t>
            </w:r>
          </w:p>
        </w:tc>
      </w:tr>
      <w:tr>
        <w:trPr>
          <w:trHeight w:val="216"/>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720" w:type="dxa"/>
            <w:vAlign w:val="bottom"/>
          </w:tcPr>
          <w:p>
            <w:pPr>
              <w:ind w:left="360"/>
              <w:spacing w:after="0"/>
              <w:rPr>
                <w:sz w:val="20"/>
                <w:szCs w:val="20"/>
                <w:color w:val="auto"/>
              </w:rPr>
            </w:pPr>
            <w:r>
              <w:rPr>
                <w:rFonts w:ascii="Arial" w:cs="Arial" w:eastAsia="Arial" w:hAnsi="Arial"/>
                <w:sz w:val="16"/>
                <w:szCs w:val="16"/>
                <w:color w:val="auto"/>
                <w:w w:val="95"/>
              </w:rPr>
              <w:t>Total</w:t>
            </w:r>
          </w:p>
        </w:tc>
        <w:tc>
          <w:tcPr>
            <w:tcW w:w="73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3,766</w:t>
            </w:r>
          </w:p>
        </w:tc>
      </w:tr>
      <w:tr>
        <w:trPr>
          <w:trHeight w:val="21"/>
        </w:trPr>
        <w:tc>
          <w:tcPr>
            <w:tcW w:w="7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Each of these notes are senior unsecured obligations of the Parent corporation, Molina Healthcare, Inc., and rank equally in right of payment with all existing and future senior debt, and senior to all existing and future subordinated debt of Molina Healthcare, Inc. The senior note indentures contain customary non-financial covenants and change of control provisions. As of March 31, 2026, we were in compliance with all non-financial covenants in the indentures governing the senior notes.</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 As discussed below, no amounts were outstanding under the Credit Agreement as of March 31, 2026, so there is no risk of a cross-default under the 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$1.25 billion, a</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$15 million swingline sub-facility, a $100 million letter of credit sub-facility, as well as uncommitted capacity to incur incremental term loans to finance certain acquisitions up to $800 million.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 The Credit Agreement has a term of five years, and all amounts outstanding will be due and payable on November 20, 2030.</w:t>
      </w:r>
    </w:p>
    <w:p>
      <w:pPr>
        <w:spacing w:after="0" w:line="7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Credit Agreement contains customary non-financial and financial covenants, including maintenance of a minimum Interest Coverage Ratio threshold of 3.0 to 1.0, and a maximum Consolidated Total Debt to Capital Ratio of 60%, with a step-up to 65% for four fiscal quarters following a material acquisition or series of related acquisitions (i.e., $500 million or greater cash consideration). We executed an amendment to the Credit Agreement on February 4, 2026 that temporarily reduces the Interest Coverage Ratio threshold to (a) with respect to each fiscal quarter ending March 31, 2026 through and including December 31, 2026, 1.75:1.00, (b) with respect to fiscal quarter ending March 31, 2027, 2.00:1.00, (c) with respect to fiscal quarter ending June 30, 2027, 2.50:1.00 and (d) with respect to fiscal quarter ending September 30, 2027, 2.75:1.00. As of March 31, 2026, we were in compliance with all non-financial and financial covenants under the Credit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no amount was outstanding under the Credit Agreement.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Segments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45"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commercial portion of the business acquired in connection with the ConnectiCare transaction that closed effective February 1, 2025.</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rPr>
              <w:t>Three Months Ended March 31, 2026</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7"/>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7,927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10,172</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Revenue from external customers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10,194</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revenues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w:t>
            </w: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9,270</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Segment expenses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9,291</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margin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margin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2026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rPr>
              <w:t>Three Months Ended March 31, 2025</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7"/>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8,130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10,628</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Revenue from external customers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10,650</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revenues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11,147</w:t>
            </w: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9,479</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Segment expenses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9,498</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margin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1,149</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margin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certain other revenue.</w:t>
      </w:r>
    </w:p>
    <w:p>
      <w:pPr>
        <w:spacing w:after="0" w:line="21" w:lineRule="exact"/>
        <w:rPr>
          <w:rFonts w:ascii="Arial" w:cs="Arial" w:eastAsia="Arial" w:hAnsi="Arial"/>
          <w:sz w:val="16"/>
          <w:szCs w:val="16"/>
          <w:color w:val="auto"/>
        </w:rPr>
      </w:pPr>
    </w:p>
    <w:p>
      <w:pPr>
        <w:ind w:left="340" w:right="80" w:hanging="332"/>
        <w:spacing w:after="0" w:line="265"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impairment, and certain other operating expenses.</w:t>
      </w:r>
    </w:p>
    <w:p>
      <w:pPr>
        <w:spacing w:after="0" w:line="72" w:lineRule="exact"/>
        <w:rPr>
          <w:sz w:val="20"/>
          <w:szCs w:val="20"/>
          <w:color w:val="auto"/>
        </w:rPr>
      </w:pPr>
    </w:p>
    <w:p>
      <w:pPr>
        <w:ind w:right="8180" w:firstLine="8"/>
        <w:spacing w:after="0" w:line="375" w:lineRule="auto"/>
        <w:tabs>
          <w:tab w:leader="none" w:pos="200" w:val="left"/>
        </w:tabs>
        <w:numPr>
          <w:ilvl w:val="0"/>
          <w:numId w:val="8"/>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Commitments and Contingencies </w:t>
      </w:r>
      <w:r>
        <w:rPr>
          <w:rFonts w:ascii="Arial" w:cs="Arial" w:eastAsia="Arial" w:hAnsi="Arial"/>
          <w:sz w:val="18"/>
          <w:szCs w:val="18"/>
          <w:b w:val="1"/>
          <w:bCs w:val="1"/>
          <w:i w:val="1"/>
          <w:iCs w:val="1"/>
          <w:color w:val="000000"/>
        </w:rPr>
        <w:t>Legal Proceedings</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and estimable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 2025, a putative securities class action captioned Hindlemann v. Molina Healthcare, Inc., et al. was filed in the United States District Court for the Central District of California against the Company, its Chief Executive Officer, and Chief Financial Officer (the “Securities Action”). The Securities Action was brought on behalf of a putative class who allegedly acquired Company securities between February 5, 2025 and July 23, 2025 and asserts violations of federal securities laws relating to the Company’s disclosures including those involving earnings guidance. On January 30, 2026, the court issued an order appointing a lead plaintiff and lead plaintiff’s counsel. On March 31, 2026, the lead plaintiff filed a consolidated complaint, and expanded the purported class period from October 23, 2024 to February 6, 2026. On December 12, 2025, a shareholder derivative suit captioned Taylor v. Wolf, et al. was filed in the United States District Court for the Central District of California against the Company’s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directors and certain officers (“Derivative Action”). The Derivative Action asserts among other things claims for breach of fiduciary duty and violation of securities laws in connection with the same statements and events at issue in the Securities Action. The Company intends to vigorously contest each lawsuit, which will require legal expenses. At this time, the Company cannot predict the outcome or provide a reasonable estimate or range of estimates of the possible outcome or loss, if any, in the Securities Action or the Derivative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legislative and regulatory developments and their potential impact, business strategy, strategic transactions and commercial arrangements, market and offering changes, membership, medical cost and market trends and our objectives for future operations. Readers are cautioned not to place undue reliance on any forward-looking statements, as the future is inherently unpredictable. Thus, forward-looking statements are not guarantees of future performance and the Company’s actual results may differ significantly due to numerous known and unknown risks and uncertainties.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Those known risks and uncertainties include, but are not limited to, the risk factors identified in the section titled “Risk Factors” in our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including without limitation risks related to the following matters:</w:t>
      </w:r>
    </w:p>
    <w:p>
      <w:pPr>
        <w:spacing w:after="0" w:line="101" w:lineRule="exact"/>
        <w:rPr>
          <w:sz w:val="20"/>
          <w:szCs w:val="20"/>
          <w:color w:val="auto"/>
        </w:rPr>
      </w:pPr>
    </w:p>
    <w:p>
      <w:pPr>
        <w:ind w:left="340" w:right="20" w:hanging="332"/>
        <w:spacing w:after="0" w:line="256" w:lineRule="auto"/>
        <w:tabs>
          <w:tab w:leader="none" w:pos="335" w:val="left"/>
        </w:tabs>
        <w:numPr>
          <w:ilvl w:val="0"/>
          <w:numId w:val="9"/>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Medicaid, Medicare, or Marketplace capitation rates that are insufficient to fully cover our medical care costs and/or the rates of utilization and the health acuity status of our members, including without limitation inpatient and outpatient costs, pharmacy costs, and behavioral health care costs, and insufficient rate increases that do not keep pace with an accelerating medical care cost trend;</w:t>
      </w:r>
    </w:p>
    <w:p>
      <w:pPr>
        <w:ind w:left="340" w:right="10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federal or state legislative or regulatory changes, including changes effected by, or negative public perceptions of the Medicaid program created by, the One Big Beautiful Bill Act, or changes effected through Executive Orders, to the Medicaid, Medicare, or Marketplace programs, including potential reductions in Medicaid funding, political pressures directed at the health insurance industry regarding managed care and prior authorization practices, advocacy for and potential implementation of aspects of the so-called Great Healthcare Plan, changes to the federal matching percentage paid to states, the implementation of Medicaid work requirements, block grants or per capita caps, the reduction or elimination of provider taxes, uncertainty regarding the status or effect of Marketplace subsidies, the implementation of new program integrity rules, insufficient Medicare Advantage rate adjustments, new rules pertaining to Medicare Risk Adjustment Data Validation, or amendments of the Affordable Care Act (“ACA”);</w:t>
      </w:r>
    </w:p>
    <w:p>
      <w:pPr>
        <w:spacing w:after="0" w:line="3"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budget pressures on state governments and states’ efforts to reduce rates and limit rate increases to avoid budget deficits;</w:t>
      </w:r>
    </w:p>
    <w:p>
      <w:pPr>
        <w:spacing w:after="0" w:line="9" w:lineRule="exact"/>
        <w:rPr>
          <w:rFonts w:ascii="Arial" w:cs="Arial" w:eastAsia="Arial" w:hAnsi="Arial"/>
          <w:sz w:val="18"/>
          <w:szCs w:val="18"/>
          <w:i w:val="1"/>
          <w:iCs w:val="1"/>
          <w:color w:val="auto"/>
        </w:rPr>
      </w:pPr>
    </w:p>
    <w:p>
      <w:pPr>
        <w:ind w:left="340" w:right="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evolving Marketplace dynamics including issues impacting enrollment, special enrollment periods, member choice, premium subsidies, broker rates, risk adjustment estimates and results, Marketplace plan insolvencies or receiverships, and the potential for disproportionate enrollment of higher acuity members;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our ability to identify merger and acquisition targets to support our continued growth over time at projected levels, and our ability to realize the full amount of our embedded earnings;</w:t>
      </w:r>
    </w:p>
    <w:p>
      <w:pPr>
        <w:spacing w:after="0" w:line="1" w:lineRule="exact"/>
        <w:rPr>
          <w:rFonts w:ascii="Arial" w:cs="Arial" w:eastAsia="Arial" w:hAnsi="Arial"/>
          <w:sz w:val="18"/>
          <w:szCs w:val="18"/>
          <w:color w:val="auto"/>
        </w:rPr>
      </w:pPr>
    </w:p>
    <w:p>
      <w:pPr>
        <w:ind w:left="340" w:right="4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new states in connection with request for proposal wins, and the satisfaction of all readiness review requirements under the new Medicaid contracts;</w:t>
      </w: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integrate our acquisitions and realize expected benefits and limit our liabilities as projected;</w:t>
      </w:r>
    </w:p>
    <w:p>
      <w:pPr>
        <w:spacing w:after="0" w:line="9" w:lineRule="exact"/>
        <w:rPr>
          <w:rFonts w:ascii="Arial" w:cs="Arial" w:eastAsia="Arial" w:hAnsi="Arial"/>
          <w:sz w:val="18"/>
          <w:szCs w:val="18"/>
          <w:i w:val="1"/>
          <w:iCs w:val="1"/>
          <w:color w:val="auto"/>
        </w:rPr>
      </w:pPr>
    </w:p>
    <w:p>
      <w:pPr>
        <w:ind w:left="340" w:right="220" w:hanging="332"/>
        <w:spacing w:after="0" w:line="265"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subsequent adjustments to reported premium revenue based upon subsequent developments or new information, including retroactive Medicaid rate adjustments in a state or changes to estimated amounts payable or receivable related to Marketplace risk adjustment;</w:t>
      </w:r>
    </w:p>
    <w:p>
      <w:pPr>
        <w:ind w:left="340" w:righ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 and the accurate estimation of incurred but not reported or paid medical costs across our health plans;</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40" w:right="180" w:hanging="332"/>
        <w:spacing w:after="0" w:line="259"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that result in an inadvertent unauthorized disclosure of protected information or operational delays;</w:t>
      </w:r>
    </w:p>
    <w:p>
      <w:pPr>
        <w:spacing w:after="0" w:line="1" w:lineRule="exact"/>
        <w:rPr>
          <w:rFonts w:ascii="Arial" w:cs="Arial" w:eastAsia="Arial" w:hAnsi="Arial"/>
          <w:sz w:val="18"/>
          <w:szCs w:val="18"/>
          <w:color w:val="auto"/>
        </w:rPr>
      </w:pPr>
    </w:p>
    <w:p>
      <w:pPr>
        <w:ind w:left="340" w:right="12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16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working in a remote work environment;</w:t>
      </w:r>
    </w:p>
    <w:p>
      <w:pPr>
        <w:spacing w:after="0" w:line="9"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receipt of rates adequate to support increasing pharmacy costs, including costs associated with specialty drugs and costs resulting from formulary changes that allow the option of higher-priced non-generic drugs;</w:t>
      </w:r>
    </w:p>
    <w:p>
      <w:pPr>
        <w:ind w:left="340" w:right="200" w:hanging="332"/>
        <w:spacing w:after="0" w:line="265"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the interpretation, implementation, and estimates of amounts owed for federal or state medical cost expenditure floors, administrative cost and profit ceilings, premium stabilization programs, profit-sharing arrangements, and risk adjustment provisions and requirements;</w:t>
      </w:r>
    </w:p>
    <w:p>
      <w:pPr>
        <w:ind w:left="340" w:right="20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8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the Centers for Medicare and Medicaid Services (“CMS”) into state-administered Medicaid programs;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or enrollment backlogs related to the renewal of Medicaid coverage;</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340" w:right="2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the accuracy of our provider directories incidental to provider turnover and network changes, and potential medical or pharmaceutical supply shortfalls suffered by our providers incidental to the implementation of tariffs;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favorable resolution of litigation, arbitration, or administrative proceedings consistent with our expectations;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Texas, and Washington, and risks related to the concentration of our business in those states;</w:t>
      </w:r>
    </w:p>
    <w:p>
      <w:pPr>
        <w:ind w:left="340" w:right="36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the Credit Agreement (as defined below) or the indentures governing our outstanding senior notes;</w:t>
      </w:r>
    </w:p>
    <w:p>
      <w:pPr>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and to meet our general liquidity needs;</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4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vaccine hesitancy and the potential for a new epidemic or pandemic, including risks presented by the flu, measles, or other contagious diseases;</w:t>
      </w:r>
    </w:p>
    <w:p>
      <w:pPr>
        <w:ind w:left="340" w:right="1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 or negative perceptions that may arise about managed care practices or government healthcare programs;</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or general healthcare sector.</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w:t>
      </w:r>
    </w:p>
    <w:p>
      <w:pPr>
        <w:spacing w:after="0" w:line="6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5.0 million members as of March 31, 2026, located across 21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FIRST QUARTER 2026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$14 million, or $0.27 per diluted share, for the first quarter of 2026, which reflected the following:</w:t>
      </w:r>
    </w:p>
    <w:p>
      <w:pPr>
        <w:spacing w:after="0" w:line="117" w:lineRule="exact"/>
        <w:rPr>
          <w:sz w:val="20"/>
          <w:szCs w:val="20"/>
          <w:color w:val="auto"/>
        </w:rPr>
      </w:pPr>
    </w:p>
    <w:p>
      <w:pPr>
        <w:ind w:left="660" w:right="10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Membership of 5.0 million at March 31, 2026, which decreased 718,000, or 12%, compared with March 31, 2025, primarily due to general market contraction in Medicaid, the expiration of our Medicaid Virginia contract, and a decrease in Marketplace membership resulting from our product and pricing strategy;</w:t>
      </w:r>
    </w:p>
    <w:p>
      <w:pPr>
        <w:spacing w:after="0" w:line="62" w:lineRule="exact"/>
        <w:rPr>
          <w:rFonts w:ascii="Arial" w:cs="Arial" w:eastAsia="Arial" w:hAnsi="Arial"/>
          <w:sz w:val="18"/>
          <w:szCs w:val="18"/>
          <w:color w:val="auto"/>
        </w:rPr>
      </w:pPr>
    </w:p>
    <w:p>
      <w:pPr>
        <w:ind w:left="660" w:right="8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 revenue of $10.2 billion, which decreased 4% compared with the first quarter of 2025, reflects the impact of lower membership, partially offset by rate updates that went into effect during the quarter;</w:t>
      </w:r>
    </w:p>
    <w:p>
      <w:pPr>
        <w:spacing w:after="0" w:line="44"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medical care ratio (“MCR”) of 91.1% compared with 89.2% for the first quarter of 2025, reflecting strong operating performance even as we continue to navigate a challenging medical cost environment;</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7.2%, compared with 6.9% for the first quarter of 2025, due to timing of certain operating expenses; and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Pre-tax margin of 0.3%, which was impacted by the $93 million impairment charge related to our planned exit of the MAPD product in 2027.</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and other financial information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2025</w:t>
            </w:r>
          </w:p>
        </w:tc>
      </w:tr>
      <w:tr>
        <w:trPr>
          <w:trHeight w:val="250"/>
        </w:trPr>
        <w:tc>
          <w:tcPr>
            <w:tcW w:w="7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(In millions, except per-share amounts)</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10,172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10,628</w:t>
            </w: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9,270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9,479</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902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1,149</w:t>
            </w:r>
          </w:p>
        </w:tc>
      </w:tr>
      <w:tr>
        <w:trPr>
          <w:trHeight w:val="216"/>
        </w:trPr>
        <w:tc>
          <w:tcPr>
            <w:tcW w:w="782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MCR </w:t>
            </w:r>
            <w:r>
              <w:rPr>
                <w:rFonts w:ascii="Arial" w:cs="Arial" w:eastAsia="Arial" w:hAnsi="Arial"/>
                <w:sz w:val="21"/>
                <w:szCs w:val="21"/>
                <w:i w:val="1"/>
                <w:iCs w:val="1"/>
                <w:color w:val="auto"/>
                <w:vertAlign w:val="superscript"/>
              </w:rPr>
              <w:t>(1)</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91.1%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89.2%</w:t>
            </w:r>
          </w:p>
        </w:tc>
      </w:tr>
      <w:tr>
        <w:trPr>
          <w:trHeight w:val="256"/>
        </w:trPr>
        <w:tc>
          <w:tcPr>
            <w:tcW w:w="7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388</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24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108</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r>
      <w:tr>
        <w:trPr>
          <w:trHeight w:val="257"/>
        </w:trPr>
        <w:tc>
          <w:tcPr>
            <w:tcW w:w="7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774</w:t>
            </w:r>
          </w:p>
        </w:tc>
      </w:tr>
      <w:tr>
        <w:trPr>
          <w:trHeight w:val="216"/>
        </w:trPr>
        <w:tc>
          <w:tcPr>
            <w:tcW w:w="782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7.2%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6.9%</w:t>
            </w:r>
          </w:p>
        </w:tc>
      </w:tr>
      <w:tr>
        <w:trPr>
          <w:trHeight w:val="257"/>
        </w:trPr>
        <w:tc>
          <w:tcPr>
            <w:tcW w:w="7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24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504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388</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24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r>
      <w:tr>
        <w:trPr>
          <w:trHeight w:val="20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433</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4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390</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6"/>
                <w:szCs w:val="16"/>
                <w:color w:val="auto"/>
              </w:rPr>
              <w:t>Net income per share – Diluted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0.27</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7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Membership</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7"/>
        </w:trPr>
        <w:tc>
          <w:tcPr>
            <w:tcW w:w="78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Pre-tax margin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4"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Pre-tax margin represents income before income tax expense as a percentage of total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1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Net income in the first quarter of 2026 amounted to $14 million, or $0.27 per diluted share, compared with $298 million, or $5.45 per diluted share, in the first quarter of 2025. Operating income decreased to $83 million in the first quarter of 2026, compared with $433 million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change in operating income was mainly due to the impact of lower premium revenue, the increase in MCR, and the $93 million impairment charge related to our planned exit of the MAPD product in 2027.</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Premium revenue decreased $456 million, or 4%, in the first quarter of 2026, when compared with the first quarter of 2025. The lower premium revenue reflects the impact of lower Medicaid membership due to general market contraction, the expiration of our Medicaid Virginia contract, and a decrease in Marketplace membership resulting from our product and pricing strategy, partially offset by rate updates that went into effect during the quarter. See further discussion in “Reportable Segments—Segment Financial Performance,”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consolidated MCR was 91.1% in the first quarter of 2026, and 89.2% in the first quarter of 2025. The increase reflects a higher MCR in all of our segments, reflecting strong operating performance even as we continue to navigate a challenging medical cost environment. See further discussion in “Reportable Segments—Segment Financial Performance,”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impact of prior year reserve development in the first quarter of 2026 was mostly absorbed by minimum MLRs and medical cost corridors.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17" w:lineRule="exact"/>
        <w:rPr>
          <w:sz w:val="20"/>
          <w:szCs w:val="20"/>
          <w:color w:val="auto"/>
        </w:rPr>
      </w:pPr>
    </w:p>
    <w:p>
      <w:pPr>
        <w:jc w:val="both"/>
        <w:ind w:right="240"/>
        <w:spacing w:after="0" w:line="318" w:lineRule="auto"/>
        <w:rPr>
          <w:sz w:val="20"/>
          <w:szCs w:val="20"/>
          <w:color w:val="auto"/>
        </w:rPr>
      </w:pPr>
      <w:r>
        <w:rPr>
          <w:rFonts w:ascii="Arial" w:cs="Arial" w:eastAsia="Arial" w:hAnsi="Arial"/>
          <w:sz w:val="17"/>
          <w:szCs w:val="17"/>
          <w:color w:val="auto"/>
        </w:rPr>
        <w:t>The premium tax ratio (premium tax expense as a percentage of premium revenue plus premium tax revenue) was 4.7% and 3.5% for the first quarter of 2026 and 2025, respectively. The current year ratio increase was mainly due to state mix changes in our Medicaid segment.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1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Investment income was $98 million in the first quarter of 2026, compared with $108 million in the first quarter of 2025, respectively. The decrease was mainly attributable to a decline in prevailing interest rates and investment yields.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17" w:lineRule="exact"/>
        <w:rPr>
          <w:sz w:val="20"/>
          <w:szCs w:val="20"/>
          <w:color w:val="auto"/>
        </w:rPr>
      </w:pPr>
    </w:p>
    <w:p>
      <w:pPr>
        <w:ind w:right="500"/>
        <w:spacing w:after="0" w:line="318" w:lineRule="auto"/>
        <w:rPr>
          <w:sz w:val="20"/>
          <w:szCs w:val="20"/>
          <w:color w:val="auto"/>
        </w:rPr>
      </w:pPr>
      <w:r>
        <w:rPr>
          <w:rFonts w:ascii="Arial" w:cs="Arial" w:eastAsia="Arial" w:hAnsi="Arial"/>
          <w:sz w:val="17"/>
          <w:szCs w:val="17"/>
          <w:color w:val="auto"/>
        </w:rPr>
        <w:t>Other revenue amounted to $22 million in the first quarter of 2026, compared with $23 million in the first quarter of 2025. Other revenue mainly includes service revenue associated with long-term services and supports consultative services we provide in Wisconsin.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G&amp;A EXPENSES</w:t>
      </w:r>
    </w:p>
    <w:p>
      <w:pPr>
        <w:spacing w:after="0" w:line="11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G&amp;A expense ratio was 7.2% in the first quarter of 2026, compared with 6.9% in the first quarter of 2025, due to timing of certain operating expenses, including costs to support our business growth.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17"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Depreciation and amortization was $39 million in the first quarter of 2026, compared with $48 million in the first quarter of 2025. The decrease is due to certain intangibles becoming fully amortized.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IMPAIRMENT</w:t>
      </w:r>
    </w:p>
    <w:p>
      <w:pPr>
        <w:spacing w:after="0" w:line="117"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In the first quarter of 2026, we recognized an impairment of $ 93 million on intangible assets due to our strategic shift to focus exclusively on dual-eligible members in Medicare and plan to exit MAPD for 2027.</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OPERATING EXPENSES</w:t>
      </w:r>
    </w:p>
    <w:p>
      <w:pPr>
        <w:spacing w:after="0" w:line="11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Other operating expenses totaled $28 million in the first quarter of 2026 compared to $25 million in the first quarter of 2025. Other operating expenses primarily include service costs associated with long-term services and supports consultative services we provide in Wisconsin, as noted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1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Interest expense totaled $54 million in the first quarter of 2026 and was $43 million in the first quarter of 2025. The increase is mainly attributable to the issuance of $850 million of notes in November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Income tax expense amounted to $15 million in the first quarter of 2026, or 52.8% of pretax income, compared with income tax expense of $92 million, or 23.7% of pretax income in the first quarter of 2025. The difference in the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effective tax rate is due to the impact of nondeductible expenses and unfavorable discrete tax items as a percentage of lower pretax income in 2026, net of a decrease in state and local income taxes.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LEGISLATIVE AND REGULATORY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Big Beautiful Bill Act (“OBBBA”)</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President signed the OBBBA into law in July 2025, which contains changes to the Medicaid and Marketplace programs. For Medicaid, the law requires states to establish work requirements, more frequent redeterminations, and cost sharing for the Expansion program over the period from 2027 to 2029, among other modifications. These changes are expected to reduce enrollment in state Medicaid programs, but the timing and magnitude of the reductions may vary by state depending on how quickly states implement the changes, as well as macroeconomic factors since some changes are subject to suspension in case of increases in local unemployment rates. We currently estimate the reduction in enrollment will be in the range of 15% to 20% by 2029 on 1.2 million members in our Medicaid Expansion population, and any acuity shifts should be modest and gradual. An estimated two-thirds of our Expansion members already work in some capacity. The law also reduces revenues that states can raise through provider taxes to finance their share of Medicaid spending and limits payments to Medicaid providers to 100 percent of the mandated Medicare rate for Expansion states and 110 percent of the Medicare rate for non-Expansion states. These changes are scheduled to begin in 2028, and we expect they may take 5 to 15 years to be fully implemented. Their impact is uncertain at this time and will depend on how states may adapt their future tax and Medicaid funding policies in response.</w:t>
      </w:r>
    </w:p>
    <w:p>
      <w:pPr>
        <w:spacing w:after="0" w:line="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law limits which legal aliens may be eligible for Marketplace PTCs and will require pre-enrollment eligibility verification for enrollees to receive PTCs. These changes are planned to be phased in over the period from 2026 to 2028 and are expected to reduce national Marketplace enrollment as well.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Program Integrity and Affordability Rule</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June 2025, the Department of Health and Human Services (“HHS”) finalized the Marketplace Program Integrity and Affordability Rule. The rule, among other changes, shortens the OEP starting in 2027, eliminated the special enrollment period (“SEP”) for people with incomes at or below 150% federal poverty level, and tightened eligibility verification requirements for all enrollees. Certain provisions of the Marketplace Program Integrity and Affordability Rule have been subject to legal challenges and stayed pending a final ruling. The Notice of Benefit and Payment Parameters (“NBPP”) Proposed Rule for the 2027 plan year reintroduces updated versions of certain of the stayed provisions, which could significantly impact the Marketplace if these provisions are adopted. The outcome of the legal challenges and the long term impacts of the Marketplace Program Integrity and Affordability Rule and the NBPP Proposed Rule are uncertain.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RFPs and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Idaho Procurement—Medicaid and Medicare. </w:t>
      </w:r>
      <w:r>
        <w:rPr>
          <w:rFonts w:ascii="Arial" w:cs="Arial" w:eastAsia="Arial" w:hAnsi="Arial"/>
          <w:sz w:val="18"/>
          <w:szCs w:val="18"/>
          <w:color w:val="auto"/>
        </w:rPr>
        <w:t>Our new contract commenced on January 1,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Michigan Procurement—Medicare. </w:t>
      </w:r>
      <w:r>
        <w:rPr>
          <w:rFonts w:ascii="Arial" w:cs="Arial" w:eastAsia="Arial" w:hAnsi="Arial"/>
          <w:sz w:val="18"/>
          <w:szCs w:val="18"/>
          <w:color w:val="auto"/>
        </w:rPr>
        <w:t>Our new contract commenced on January 1, 2026 in select regions.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Massachusetts Procurement—Medicare. </w:t>
      </w:r>
      <w:r>
        <w:rPr>
          <w:rFonts w:ascii="Arial" w:cs="Arial" w:eastAsia="Arial" w:hAnsi="Arial"/>
          <w:sz w:val="18"/>
          <w:szCs w:val="18"/>
          <w:color w:val="auto"/>
        </w:rPr>
        <w:t>Our new contract commenced on January 1,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Ohio Procurement—Medicare. </w:t>
      </w:r>
      <w:r>
        <w:rPr>
          <w:rFonts w:ascii="Arial" w:cs="Arial" w:eastAsia="Arial" w:hAnsi="Arial"/>
          <w:sz w:val="18"/>
          <w:szCs w:val="18"/>
          <w:color w:val="auto"/>
        </w:rPr>
        <w:t>Our new contract commenced on January 1, 2026.</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i w:val="1"/>
          <w:iCs w:val="1"/>
          <w:color w:val="auto"/>
        </w:rPr>
        <w:t xml:space="preserve">Wisconsin Procurement—Medicaid. </w:t>
      </w:r>
      <w:r>
        <w:rPr>
          <w:rFonts w:ascii="Arial" w:cs="Arial" w:eastAsia="Arial" w:hAnsi="Arial"/>
          <w:sz w:val="18"/>
          <w:szCs w:val="18"/>
          <w:color w:val="auto"/>
        </w:rPr>
        <w:t>In August 2025, the Wisconsin Department of Health Services awarded a contract to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Family Care and Family Care Partnership program in its Geographic Service Regions 2 and 7 to our Wisconsin health plan. The contract commenced on January 1, 2026 and is expected to have a duration of two years, with an option for three two-year extensions.</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In March 2025, the Nevada Department of Health and Human Services Division of Health Care Policy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issued a notice of intent to award Medicaid and Children’s Health Insurance Program managed care contracts to our Nevada health plan. The new contract will cover Urban Clark and Urban Washoe. The new contract commenced on January 1, 2026 and will run through December 31, 2030, with one two-year extension.</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i w:val="1"/>
          <w:iCs w:val="1"/>
          <w:color w:val="auto"/>
        </w:rPr>
        <w:t xml:space="preserve">Illinois Procurement—Medicare. </w:t>
      </w:r>
      <w:r>
        <w:rPr>
          <w:rFonts w:ascii="Arial" w:cs="Arial" w:eastAsia="Arial" w:hAnsi="Arial"/>
          <w:sz w:val="18"/>
          <w:szCs w:val="18"/>
          <w:color w:val="auto"/>
        </w:rPr>
        <w:t>In March 2025, the Illinois Department of Healthcare and Family Services awarded a contract to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Fully Integrated Dual Eligible Special Needs Plan to our Illinois health plan. This contract will</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replace the state’s Medicare-Medicaid Alignment Initiative demonstration program. The new contract commenced on January 1, 2026. The contract is expected to have an initial term of four years, with the option to extend the contract from the initial term so long as the total contract term does not exceed ten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Trends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i w:val="1"/>
          <w:iCs w:val="1"/>
          <w:color w:val="auto"/>
        </w:rPr>
        <w:t xml:space="preserve">MMP Transition—Medicare. </w:t>
      </w:r>
      <w:r>
        <w:rPr>
          <w:rFonts w:ascii="Arial" w:cs="Arial" w:eastAsia="Arial" w:hAnsi="Arial"/>
          <w:sz w:val="18"/>
          <w:szCs w:val="18"/>
          <w:color w:val="auto"/>
        </w:rPr>
        <w:t>On January 1, 2026, we successfully completed the transition of Medicare-Medicaid Plan (“MMP”) members in</w:t>
      </w:r>
      <w:r>
        <w:rPr>
          <w:rFonts w:ascii="Arial" w:cs="Arial" w:eastAsia="Arial" w:hAnsi="Arial"/>
          <w:sz w:val="18"/>
          <w:szCs w:val="18"/>
          <w:i w:val="1"/>
          <w:iCs w:val="1"/>
          <w:color w:val="auto"/>
        </w:rPr>
        <w:t xml:space="preserve"> </w:t>
      </w:r>
      <w:r>
        <w:rPr>
          <w:rFonts w:ascii="Arial" w:cs="Arial" w:eastAsia="Arial" w:hAnsi="Arial"/>
          <w:sz w:val="18"/>
          <w:szCs w:val="18"/>
          <w:color w:val="auto"/>
        </w:rPr>
        <w:t>five states (Illinois, Michigan, Ohio, South Carolina, and Texas) to new integrated dual eligible special needs plans, which totaled $1.9 billion in total premium revenue in 2025. Our duals business will be the long-term strategic focus for our Medicare segment. As previously mentioned, we will exit the MAPD product in 2027.</w:t>
      </w:r>
    </w:p>
    <w:p>
      <w:pPr>
        <w:spacing w:after="0" w:line="68"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i w:val="1"/>
          <w:iCs w:val="1"/>
          <w:color w:val="auto"/>
        </w:rPr>
        <w:t xml:space="preserve">Medicaid. </w:t>
      </w:r>
      <w:r>
        <w:rPr>
          <w:rFonts w:ascii="Arial" w:cs="Arial" w:eastAsia="Arial" w:hAnsi="Arial"/>
          <w:sz w:val="18"/>
          <w:szCs w:val="18"/>
          <w:color w:val="auto"/>
        </w:rPr>
        <w:t>We now expect our Medicaid enrollment to decrease in 2026, to a total of 4.5 million members by the end of the year,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market contraction. We previously estimated our enrollment to be flat compare to 2025. The associated revenue loss from the additional member attrition is expected to be offset by higher revenue in Marketplace, as discussed below.</w:t>
      </w:r>
    </w:p>
    <w:p>
      <w:pPr>
        <w:spacing w:after="0" w:line="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Marketplace. </w:t>
      </w:r>
      <w:r>
        <w:rPr>
          <w:rFonts w:ascii="Arial" w:cs="Arial" w:eastAsia="Arial" w:hAnsi="Arial"/>
          <w:sz w:val="18"/>
          <w:szCs w:val="18"/>
          <w:color w:val="auto"/>
        </w:rPr>
        <w:t>In 2026, we are participating in the Marketplace in all our markets except Arizona, Iowa, Massachusetts, Nebraska,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We now expect our Marketplace enrollment to decrease to approximately 250,000 members by the end of the year, in line with our product and pricing strategy towards restoring our target margins. The year-end membership projection is higher than the 220,000 we previously estimated, and would represent a slightly lower Marketplace premium revenue decrease in 2026 than the 50% we previously estimated.</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Medicare. </w:t>
      </w:r>
      <w:r>
        <w:rPr>
          <w:rFonts w:ascii="Arial" w:cs="Arial" w:eastAsia="Arial" w:hAnsi="Arial"/>
          <w:sz w:val="18"/>
          <w:szCs w:val="18"/>
          <w:color w:val="auto"/>
        </w:rPr>
        <w:t>We continue to expect our Medicare enrollment to decrease by approximately 12% in 2026, to a total of 230,000 members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year, including 80,000 MAPD members, due to strategic positioning. In 2026, we are participating in Medicare in all our markets except Florida.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March 31, 2026, we served approximately 5.0 million members eligible for Medicaid, Medicare, and other government-sponsored healthcare programs for low-income families and individuals, including Marketplace members, most of whom receive government premium subsidies.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reportable segments consisting of: 1) Medicaid; 2) Medicare; 3) Marketplace; and 4) Other.</w:t>
      </w:r>
    </w:p>
    <w:p>
      <w:pPr>
        <w:spacing w:after="0" w:line="117" w:lineRule="exact"/>
        <w:rPr>
          <w:sz w:val="20"/>
          <w:szCs w:val="20"/>
          <w:color w:val="auto"/>
        </w:rPr>
      </w:pPr>
    </w:p>
    <w:p>
      <w:pPr>
        <w:jc w:val="both"/>
        <w:ind w:right="700"/>
        <w:spacing w:after="0" w:line="262"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8, “Segments.”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r>
      <w:tr>
        <w:trPr>
          <w:trHeight w:val="204"/>
        </w:trPr>
        <w:tc>
          <w:tcPr>
            <w:tcW w:w="67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4,498,000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4,568,000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4,812,000</w:t>
            </w:r>
          </w:p>
        </w:tc>
      </w:tr>
      <w:tr>
        <w:trPr>
          <w:trHeight w:val="215"/>
        </w:trPr>
        <w:tc>
          <w:tcPr>
            <w:tcW w:w="674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20" w:type="dxa"/>
            <w:vAlign w:val="bottom"/>
          </w:tcPr>
          <w:p>
            <w:pPr>
              <w:jc w:val="right"/>
              <w:spacing w:after="0"/>
              <w:rPr>
                <w:sz w:val="20"/>
                <w:szCs w:val="20"/>
                <w:color w:val="auto"/>
              </w:rPr>
            </w:pPr>
            <w:r>
              <w:rPr>
                <w:rFonts w:ascii="Arial" w:cs="Arial" w:eastAsia="Arial" w:hAnsi="Arial"/>
                <w:sz w:val="16"/>
                <w:szCs w:val="16"/>
                <w:color w:val="auto"/>
              </w:rPr>
              <w:t>229,000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262,000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260,000</w:t>
            </w: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655,000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662,000</w:t>
            </w: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18,000</w:t>
            </w:r>
          </w:p>
        </w:tc>
      </w:tr>
      <w:tr>
        <w:trPr>
          <w:trHeight w:val="235"/>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5,034,000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5,491,000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5,752,000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premium revenue, medical margin, and MCR by segment for the periods indicated (dollars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jc w:val="right"/>
              <w:ind w:right="324"/>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w:t>
            </w:r>
          </w:p>
        </w:tc>
        <w:tc>
          <w:tcPr>
            <w:tcW w:w="1240" w:type="dxa"/>
            <w:vAlign w:val="bottom"/>
            <w:gridSpan w:val="2"/>
          </w:tcPr>
          <w:p>
            <w:pPr>
              <w:jc w:val="right"/>
              <w:ind w:right="125"/>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172</w:t>
            </w:r>
          </w:p>
        </w:tc>
        <w:tc>
          <w:tcPr>
            <w:tcW w:w="1240" w:type="dxa"/>
            <w:vAlign w:val="bottom"/>
            <w:gridSpan w:val="2"/>
          </w:tcPr>
          <w:p>
            <w:pPr>
              <w:jc w:val="right"/>
              <w:ind w:right="124"/>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183</w:t>
            </w:r>
          </w:p>
        </w:tc>
        <w:tc>
          <w:tcPr>
            <w:tcW w:w="124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CCEEFF"/>
            </w:tcBorders>
            <w:gridSpan w:val="2"/>
          </w:tcPr>
          <w:p>
            <w:pPr>
              <w:jc w:val="right"/>
              <w:ind w:right="125"/>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1,149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Medicaid premium revenue decreased $203 million, or 2%, in the first quarter of 2026, when compared with the first quarter of 2025. The decrease mainly reflects the impact of lower Medicaid membership due to general market contraction and the expiration of our Medicaid Virginia contract effective June 30, 2025, partially offset by rate updates that went into effect during the first quarter.</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medical margin in our Medicaid program decreased $160 million, or 20%, in the first quarter of 2026 when compared with the first quarter of 2025. The change was driven by the decreased premium revenues discussed above and the increase in the MCR, as described below.</w:t>
      </w:r>
    </w:p>
    <w:p>
      <w:pPr>
        <w:spacing w:after="0" w:line="6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Medicaid MCR increased to 92.0% in the first quarter of 2026, from 90.3% in the first quarter of 2025, or 170 basis points, which reflects continued high levels of utilization, partially offset by rate updates that went into effect during the first quarter of 2026. The medical cost trend was modestly favorable to our expectations.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Medicare premium revenue increased $49 million, or 3%, in the first quarter of 2026 when compared to the first quarter of 2025. The increase primarily reflects changes in product mix, as we transitioned MMP members into integrated duals products, and membership growth associated with the ConnectiCare acquisition that closed on February 1, 2025, partially offset by the impact of further reductions in our MAPD footprint due to our pricing strategy aimed at improving margins.</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Medicare medical margin decreased $18 million in the first quarter of 2026, when compared with the first quarter of 2025, mainly due to the increase in MCR discussed below, partially offset by the year-over-year increase in premium revenues discussed above.</w:t>
      </w:r>
    </w:p>
    <w:p>
      <w:pPr>
        <w:spacing w:after="0" w:line="4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Medicare MCR of 89.8% in the first quarter of 2026 was 150 basis points higher than the first quarter of 2025. The increase was mainly attributable to the transition of MMP members into integrated duals products discussed above, partially offset by product pricing and benefit adjustments implemented for 2026. The MCR is in line with our expectations.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Marketplace premium revenue in the first quarter of 2026 decreased $ 280 million, compared with the first quarter of 2025, due to an expected decrease in membership in line with our product and pricing strategy towards restoring our target margins. Our Marketplace membership as of March 31, 2026 amounted to 305,000 members, representing a decrease of 357,000 members compared to March 31, 2025.</w:t>
      </w:r>
    </w:p>
    <w:p>
      <w:pPr>
        <w:spacing w:after="0" w:line="6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Marketplace medical margin decreased $67 million in the first quarter of 2026, when compared with the first quarter of 2025, primarily due to the decline in premium revenue discussed above and the MCR changes discussed below.</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Marketplace MCR increased to 84.0% in the first quarter of 2026, from 81.7% in the first quarter of 2025. The MCR increase mainly reflects the impact of changes in estimate for prior year risk adjustment and continued CMS program integrity initiatives.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the commercial portion of the business acquired in connection with the ConnectiCare transaction that closed effective February 1, 2025, and certain corporate amounts not allocated to the Medicaid, Medicare, or Marketplace segments. Such amounts were immaterial to our consolidated results of operations in the first quarters of 2026 and 2025,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FINANCIAL CONDITION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maintain liquidity at two levels: 1) the regulated health plan subsidiaries; and 2) the parent company.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three months ended March 31, 2026, the parent company received $35 million in dividends and return of capital from the regulated health plan subsidiaries. See further discussion of dividends below in “Future Sources and Uses of Liquidity—Future Sources.”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three months ended March 31, 2026, the parent company contributed capital in the aggregate amount of $15 million to our regulated health plan subsidiary in New Mexico to satisfy statutory capital and surplus requirements.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Cash, cash equivalents and investments at the parent company amounted to approximately $213 million and $223 million as of March 31, 2026, and December 31, 2025, respectively. The change for the three months ended March 31, 2026 was primarily due to timing of certain corporate payments, partially offset by the impact of dividends received from, and contributions made to, our regulated health plan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7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restricted investments are invested principally in cash, cash equivalents, U.S. Treasury securities, and corporate debt securities, and we have the ability to hold such restricted investments until maturity. All of our unrestricted investments are classified as current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7"/>
                <w:szCs w:val="17"/>
                <w:color w:val="auto"/>
              </w:rPr>
            </w:pPr>
          </w:p>
        </w:tc>
      </w:tr>
      <w:tr>
        <w:trPr>
          <w:trHeight w:val="196"/>
        </w:trPr>
        <w:tc>
          <w:tcPr>
            <w:tcW w:w="66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r>
      <w:tr>
        <w:trPr>
          <w:trHeight w:val="236"/>
        </w:trPr>
        <w:tc>
          <w:tcPr>
            <w:tcW w:w="6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722"/>
              <w:spacing w:after="0"/>
              <w:rPr>
                <w:sz w:val="20"/>
                <w:szCs w:val="20"/>
                <w:color w:val="auto"/>
              </w:rPr>
            </w:pPr>
            <w:r>
              <w:rPr>
                <w:rFonts w:ascii="Arial" w:cs="Arial" w:eastAsia="Arial" w:hAnsi="Arial"/>
                <w:sz w:val="16"/>
                <w:szCs w:val="16"/>
                <w:color w:val="auto"/>
                <w:w w:val="97"/>
              </w:rPr>
              <w:t>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601"/>
              <w:spacing w:after="0"/>
              <w:rPr>
                <w:sz w:val="20"/>
                <w:szCs w:val="20"/>
                <w:color w:val="auto"/>
              </w:rPr>
            </w:pPr>
            <w:r>
              <w:rPr>
                <w:rFonts w:ascii="Arial" w:cs="Arial" w:eastAsia="Arial" w:hAnsi="Arial"/>
                <w:sz w:val="16"/>
                <w:szCs w:val="16"/>
                <w:color w:val="auto"/>
              </w:rPr>
              <w:t>892</w:t>
            </w: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left="682"/>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center"/>
              <w:ind w:left="601"/>
              <w:spacing w:after="0"/>
              <w:rPr>
                <w:sz w:val="20"/>
                <w:szCs w:val="20"/>
                <w:color w:val="auto"/>
              </w:rPr>
            </w:pPr>
            <w:r>
              <w:rPr>
                <w:rFonts w:ascii="Arial" w:cs="Arial" w:eastAsia="Arial" w:hAnsi="Arial"/>
                <w:sz w:val="16"/>
                <w:szCs w:val="16"/>
                <w:color w:val="auto"/>
              </w:rPr>
              <w:t>134</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22"/>
              <w:spacing w:after="0"/>
              <w:rPr>
                <w:sz w:val="20"/>
                <w:szCs w:val="20"/>
                <w:color w:val="auto"/>
              </w:rPr>
            </w:pPr>
            <w:r>
              <w:rPr>
                <w:rFonts w:ascii="Arial" w:cs="Arial" w:eastAsia="Arial" w:hAnsi="Arial"/>
                <w:sz w:val="16"/>
                <w:szCs w:val="16"/>
                <w:color w:val="auto"/>
                <w:w w:val="97"/>
              </w:rPr>
              <w:t>147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581"/>
              <w:spacing w:after="0"/>
              <w:rPr>
                <w:sz w:val="20"/>
                <w:szCs w:val="20"/>
                <w:color w:val="auto"/>
              </w:rPr>
            </w:pPr>
            <w:r>
              <w:rPr>
                <w:rFonts w:ascii="Arial" w:cs="Arial" w:eastAsia="Arial" w:hAnsi="Arial"/>
                <w:sz w:val="16"/>
                <w:szCs w:val="16"/>
                <w:color w:val="auto"/>
              </w:rPr>
              <w:t>(167)</w:t>
            </w:r>
          </w:p>
        </w:tc>
      </w:tr>
      <w:tr>
        <w:trPr>
          <w:trHeight w:val="210"/>
        </w:trPr>
        <w:tc>
          <w:tcPr>
            <w:tcW w:w="6680" w:type="dxa"/>
            <w:vAlign w:val="bottom"/>
          </w:tcPr>
          <w:p>
            <w:pPr>
              <w:ind w:left="14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center"/>
              <w:ind w:left="722"/>
              <w:spacing w:after="0"/>
              <w:rPr>
                <w:sz w:val="20"/>
                <w:szCs w:val="20"/>
                <w:color w:val="auto"/>
              </w:rPr>
            </w:pPr>
            <w:r>
              <w:rPr>
                <w:rFonts w:ascii="Arial" w:cs="Arial" w:eastAsia="Arial" w:hAnsi="Arial"/>
                <w:sz w:val="16"/>
                <w:szCs w:val="16"/>
                <w:color w:val="auto"/>
                <w:w w:val="97"/>
              </w:rPr>
              <w:t>214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color w:val="auto"/>
              </w:rPr>
              <w:t>859</w:t>
            </w: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Net cash provided by operations for the three months ended March 31, 2026 was $ 1,082 million, compared with $190 million in the three months ended March 31, 2025. The change in cash flow mainly results from timing differences in settlement of government agency receivables and payables, including Medicaid minimum MLR and medical cost corridors, Marketplace risk adjustment and other Amounts Due to Government Agencies, partially offset by the impact of lower net income in the three months ended March 31,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investing activities was $11 million in the three months ended March 31, 2026, compared with $123 million used in the three months ended March 31, 2025, an increase in cash flow of $134 million. This change in cash flow reflects the net impact of proceeds and purchases of investments, which amounted to net proceeds of $46 million in the three months ended March 31, 2026 and $ 142 million in the three months ended March 31, 2025. Net cash paid in business combinations amounted to $245 million in the three months ended March 31, 2025, related to the ConnectiCare acquisition.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financing activities was $20 million in the three months ended March 31, 2026, compared with $147 million provided in the three months ended March 31, 2025, a decrease in cash flow of $167 million. In the three months ended March 31, 2025, financing activity included common stock purchases of $500 million and $650 million in combined borrowings under our prior credit facility. In addition, in the three months ended March 31, 2026 and 2025, financing cash outflows included $14 million and $36 million, respectively, for common stock withheld to settle employee tax obligations.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working capital on a consolidated basis was $5.1 billion at both March 31, 2026 and December 31, 2025. At March 31, 2026, our cash and investments amounted to $9.6 billion, compared with $8.6 billion at December 31, 2025.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amounted to $9 million at March 31, 2026 compared to net unrealized gains of $20 million at December 31, 2025. We have determined that the unrealized losses primarily resulted from fluctuating interest rates, rather than a deterioration of the creditworthiness of the issuers.</w:t>
      </w:r>
    </w:p>
    <w:p>
      <w:pPr>
        <w:spacing w:after="0" w:line="7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$3.1 billion at both March 31, 2026 and December 31, 2025. The aggregate capital and surplus of our wholly owned subsidiaries was in excess of these minimum capital requirements as of both dates.</w:t>
      </w:r>
    </w:p>
    <w:p>
      <w:pPr>
        <w:spacing w:after="0" w:line="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March 31, 2026, was approximately $210 million in the aggregate. The subsidiaries may pay dividends over this amount, but only after approval is granted by the regulatory authorities.</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Based on our cash and investments balances as of March 31, 2026,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 including new state contract wins and growth in existing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April 2026, Standard &amp; Poor’s (“S&amp;P”) lowered the rating of our senior notes to “BB-” from “BB”. Our senior notes are currently rated “Ba2” by Moody’s Investor Service, Inc. The S&amp;P downgrade could adversely affect our borrowing capacity and increase our borrowing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5"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Our Credit Agreement contains customary non-financial and financial covenants, including a minimum Interest Coverage Ratio and a maximum Consolidated Total Debt to Capital Ratio. Such ratios are computed as defined by the terms of the Credit Agreement.</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applicable indenture. As of March 31, 2026, we were in compliance with all financial and non-financial covenants under the Credit Agreement and other long-term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We are party to a credit agreement (the “Credit Agreement”), which provides for a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(“Credit Facility”) of $1.25 billion, with a lending commitment termination date of November 20, 2030. The Credit Agreement also provides for a $15 million swingline sub-facility and a $100 million letter of credit sub-facility, as well as incremental term loans available to finance certain acquisitions up to $800 million. As of March 31, 2026, we had available borrowing capacity of $1.25 billion under the Credit Facility. See further discussion in the Notes to Consolidated Financial Statements, Note 7,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April 2025, our board of directors authorized the purchase of up to an additional $1 billion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This new program extends through December 31, 2026.The exact timing and amount of any share repurchases shall be determined by management, in consultation with the Finance Committee of the Board, based on market conditions and share price, in addition to other factors, and repurchases generally will be made in accordance with the volume, price, and timing parameters under Rule 10b-18 of the Securities Exchange Act. As of April 17, 2026, $500 million remained available to purchase our common stock under this program through December 31, 2026.</w:t>
      </w:r>
    </w:p>
    <w:p>
      <w:pPr>
        <w:spacing w:after="0" w:line="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have a disciplined and steady approach to growth. Organic growth, which includes leveraging our existing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winning new territories, is our highest priority. In addition to organic growth, we will consider targeted acquisitions that are a strategic fit that we believe will leverage operational synergies, and lead to incremental earnings accretion.</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 including new state contract wins and growth in existing states.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0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2025 was disclosed in our 2025 Annual Report on Form 10-K.</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There were no significant changes to our contractual obligations and commitments not otherwise disclosed or outside the ordinary course of business during the three months ended March 31, 2026.</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0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w:t>
      </w:r>
    </w:p>
    <w:p>
      <w:pPr>
        <w:spacing w:after="0" w:line="63" w:lineRule="exact"/>
        <w:rPr>
          <w:sz w:val="20"/>
          <w:szCs w:val="20"/>
          <w:color w:val="auto"/>
        </w:rPr>
      </w:pPr>
    </w:p>
    <w:p>
      <w:pPr>
        <w:ind w:left="660" w:right="100" w:hanging="328"/>
        <w:spacing w:after="0" w:line="278"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Medical costs, claims and benefits payable</w:t>
      </w:r>
      <w:r>
        <w:rPr>
          <w:rFonts w:ascii="Arial" w:cs="Arial" w:eastAsia="Arial" w:hAnsi="Arial"/>
          <w:sz w:val="17"/>
          <w:szCs w:val="17"/>
          <w:color w:val="auto"/>
        </w:rPr>
        <w:t>. Refer to Notes to Consolidated Financial Statements, Note 6, “Medical Claims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three months ended March 31, 2026 there were no significant changes to our disclosure reported in “Critical Accounting Estimates”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10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Premium Revenue Recognition and Amounts Due Government Agencies: Risk Adjustment</w:t>
      </w:r>
      <w:r>
        <w:rPr>
          <w:rFonts w:ascii="Arial" w:cs="Arial" w:eastAsia="Arial" w:hAnsi="Arial"/>
          <w:sz w:val="18"/>
          <w:szCs w:val="18"/>
          <w:color w:val="auto"/>
        </w:rPr>
        <w:t>. For a discussion of this topic,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recorded in our consolidated financial statements, refer to Notes to Consolidated Financial Statements, Note 2, “Significant Accounting Policies.”</w:t>
      </w:r>
    </w:p>
    <w:p>
      <w:pPr>
        <w:spacing w:after="0" w:line="62" w:lineRule="exact"/>
        <w:rPr>
          <w:rFonts w:ascii="Arial" w:cs="Arial" w:eastAsia="Arial" w:hAnsi="Arial"/>
          <w:sz w:val="18"/>
          <w:szCs w:val="18"/>
          <w:color w:val="auto"/>
        </w:rPr>
      </w:pPr>
    </w:p>
    <w:p>
      <w:pPr>
        <w:ind w:left="660" w:right="780" w:hanging="328"/>
        <w:spacing w:after="0" w:line="318" w:lineRule="auto"/>
        <w:tabs>
          <w:tab w:leader="none" w:pos="65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Combinations, and Goodwill and intangible assets, net. </w:t>
      </w:r>
      <w:r>
        <w:rPr>
          <w:rFonts w:ascii="Arial" w:cs="Arial" w:eastAsia="Arial" w:hAnsi="Arial"/>
          <w:sz w:val="17"/>
          <w:szCs w:val="17"/>
          <w:color w:val="auto"/>
        </w:rPr>
        <w:t>In the three months ended March 31, 2026, there were no</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to our disclosure reported in “Critical Accounting Estimates” in our 2025 Annual Report on Form 10-K.</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0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rates increase. Assuming a hypothetical and immediate 1% increase in market interest rates at March 31, 2026, the fair value of our fixed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investments would decrease by approximately $117 million. Declines in interest rates over time will reduce our investment income.</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45"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Our notes bear interest at specified rates, each payable semiannually in arrears. For further information, see Notes to Consolidated Financial Statements, Note 7, “Debt.”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March 31, 2026, our disclosure controls and procedures were effective at the reasonable assurance level.</w:t>
      </w:r>
    </w:p>
    <w:p>
      <w:pPr>
        <w:spacing w:after="0" w:line="71"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2026, that materially affected, or are reasonably likely to materially affect, our internal controls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9, “Commitments and Contingencies.”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08"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ISSUER PURCHASES OF EQUITY SECURITIES</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Purchases of common stock made by us, or on our behalf, during the first quarter of 2026, including shares withheld by us to satisfy our employees’ income tax obligations, are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3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1500" w:type="dxa"/>
            <w:vAlign w:val="bottom"/>
          </w:tcPr>
          <w:p>
            <w:pPr>
              <w:jc w:val="center"/>
              <w:ind w:left="299"/>
              <w:spacing w:after="0"/>
              <w:rPr>
                <w:sz w:val="20"/>
                <w:szCs w:val="20"/>
                <w:color w:val="auto"/>
              </w:rPr>
            </w:pPr>
            <w:r>
              <w:rPr>
                <w:rFonts w:ascii="Arial" w:cs="Arial" w:eastAsia="Arial" w:hAnsi="Arial"/>
                <w:sz w:val="16"/>
                <w:szCs w:val="16"/>
                <w:b w:val="1"/>
                <w:bCs w:val="1"/>
                <w:color w:val="auto"/>
              </w:rPr>
              <w:t>Programs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 January 31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173.54</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February 1 - February 28</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 March 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154.05</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0"/>
        </w:trPr>
        <w:tc>
          <w:tcPr>
            <w:tcW w:w="4080" w:type="dxa"/>
            <w:vAlign w:val="bottom"/>
          </w:tcPr>
          <w:p>
            <w:pPr>
              <w:ind w:left="1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154.18</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30" w:lineRule="exact"/>
        <w:rPr>
          <w:sz w:val="20"/>
          <w:szCs w:val="20"/>
          <w:color w:val="auto"/>
        </w:rPr>
      </w:pPr>
    </w:p>
    <w:p>
      <w:pPr>
        <w:ind w:left="340" w:right="300" w:hanging="332"/>
        <w:spacing w:after="0" w:line="255"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first quarter of 2026, we withheld approximately 89,000 shares of common stock to settle employee income tax obligations for releases of awards granted under the Molina Healthcare, Inc. 2019 Equity Incentive Plan and 2025 Equity Incentive Plan.</w:t>
      </w: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our 2025 Annual Report on Form 10-K, Note 13, “Stockholders' Equity.”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OTHER INFORMATION</w:t>
      </w:r>
    </w:p>
    <w:p>
      <w:pPr>
        <w:spacing w:after="0" w:line="108"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jc w:val="both"/>
        <w:ind w:left="340" w:right="80" w:hanging="332"/>
        <w:spacing w:after="0" w:line="291" w:lineRule="auto"/>
        <w:tabs>
          <w:tab w:leader="none" w:pos="4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58" w:lineRule="exact"/>
        <w:rPr>
          <w:sz w:val="20"/>
          <w:szCs w:val="20"/>
          <w:color w:val="auto"/>
        </w:rPr>
      </w:pPr>
    </w:p>
    <w:p>
      <w:pPr>
        <w:ind w:left="20"/>
        <w:spacing w:after="0"/>
        <w:tabs>
          <w:tab w:leader="none" w:pos="1140" w:val="left"/>
          <w:tab w:leader="none" w:pos="68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23495</wp:posOffset>
            </wp:positionV>
            <wp:extent cx="2811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top w:val="single" w:sz="8" w:color="auto"/>
            </w:tcBorders>
          </w:tcPr>
          <w:p>
            <w:pPr>
              <w:jc w:val="right"/>
              <w:ind w:right="619"/>
              <w:spacing w:after="0" w:line="171"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540" w:type="dxa"/>
            <w:vAlign w:val="bottom"/>
            <w:tcBorders>
              <w:top w:val="single" w:sz="8" w:color="auto"/>
            </w:tcBorders>
            <w:gridSpan w:val="4"/>
          </w:tcPr>
          <w:p>
            <w:pPr>
              <w:spacing w:after="0" w:line="171" w:lineRule="exact"/>
              <w:rPr>
                <w:rFonts w:ascii="Arial" w:cs="Arial" w:eastAsia="Arial" w:hAnsi="Arial"/>
                <w:sz w:val="16"/>
                <w:szCs w:val="16"/>
                <w:color w:val="0F7C7F"/>
              </w:rPr>
            </w:pPr>
            <w:hyperlink r:id="rId56">
              <w:r>
                <w:rPr>
                  <w:rFonts w:ascii="Arial" w:cs="Arial" w:eastAsia="Arial" w:hAnsi="Arial"/>
                  <w:sz w:val="16"/>
                  <w:szCs w:val="16"/>
                  <w:color w:val="0F7C7F"/>
                </w:rPr>
                <w:t>First Amendment to Credit Agreement, dated as of February 4, 2026, by and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80" w:type="dxa"/>
            <w:vAlign w:val="bottom"/>
            <w:tcBorders>
              <w:top w:val="single" w:sz="8" w:color="0F7C7F"/>
            </w:tcBorders>
            <w:gridSpan w:val="3"/>
          </w:tcPr>
          <w:p>
            <w:pPr>
              <w:spacing w:after="0" w:line="142" w:lineRule="exact"/>
              <w:rPr>
                <w:rFonts w:ascii="Arial" w:cs="Arial" w:eastAsia="Arial" w:hAnsi="Arial"/>
                <w:sz w:val="16"/>
                <w:szCs w:val="16"/>
                <w:color w:val="0F7C7F"/>
              </w:rPr>
            </w:pPr>
            <w:hyperlink r:id="rId56">
              <w:r>
                <w:rPr>
                  <w:rFonts w:ascii="Arial" w:cs="Arial" w:eastAsia="Arial" w:hAnsi="Arial"/>
                  <w:sz w:val="16"/>
                  <w:szCs w:val="16"/>
                  <w:color w:val="0F7C7F"/>
                </w:rPr>
                <w:t>among Molina Healthcare, Inc., as the Borrower, Truist Bank, As</w:t>
              </w:r>
            </w:hyperlink>
          </w:p>
        </w:tc>
        <w:tc>
          <w:tcPr>
            <w:tcW w:w="6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F7C7F"/>
            </w:tcBorders>
            <w:gridSpan w:val="2"/>
          </w:tcPr>
          <w:p>
            <w:pPr>
              <w:spacing w:after="0" w:line="142" w:lineRule="exact"/>
              <w:rPr>
                <w:rFonts w:ascii="Arial" w:cs="Arial" w:eastAsia="Arial" w:hAnsi="Arial"/>
                <w:sz w:val="16"/>
                <w:szCs w:val="16"/>
                <w:color w:val="0F7C7F"/>
              </w:rPr>
            </w:pPr>
            <w:hyperlink r:id="rId56">
              <w:r>
                <w:rPr>
                  <w:rFonts w:ascii="Arial" w:cs="Arial" w:eastAsia="Arial" w:hAnsi="Arial"/>
                  <w:sz w:val="16"/>
                  <w:szCs w:val="16"/>
                  <w:color w:val="0F7C7F"/>
                </w:rPr>
                <w:t>Administrative Agent, and the Lenders party thereto</w:t>
              </w:r>
            </w:hyperlink>
          </w:p>
        </w:tc>
        <w:tc>
          <w:tcPr>
            <w:tcW w:w="940" w:type="dxa"/>
            <w:vAlign w:val="bottom"/>
            <w:gridSpan w:val="2"/>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shd w:val="clear" w:color="auto" w:fill="0F7C7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Filed as Exhibit 10.1 to registrant’s Form 8-K filed February 6, 2026</w:t>
      </w:r>
    </w:p>
    <w:p>
      <w:pPr>
        <w:spacing w:after="0" w:line="147" w:lineRule="exact"/>
        <w:rPr>
          <w:sz w:val="20"/>
          <w:szCs w:val="20"/>
          <w:color w:val="auto"/>
        </w:rPr>
      </w:pPr>
    </w:p>
    <w:p>
      <w:pPr>
        <w:sectPr>
          <w:pgSz w:w="11900" w:h="16838" w:orient="portrait"/>
          <w:cols w:equalWidth="0" w:num="2">
            <w:col w:w="6700" w:space="140"/>
            <w:col w:w="440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color w:val="auto"/>
              </w:rPr>
              <w:t>31.1</w:t>
            </w:r>
          </w:p>
        </w:tc>
        <w:tc>
          <w:tcPr>
            <w:tcW w:w="5520" w:type="dxa"/>
            <w:vAlign w:val="bottom"/>
            <w:gridSpan w:val="6"/>
          </w:tcPr>
          <w:p>
            <w:pPr>
              <w:spacing w:after="0"/>
              <w:rPr>
                <w:sz w:val="20"/>
                <w:szCs w:val="20"/>
                <w:color w:val="auto"/>
              </w:rPr>
            </w:pPr>
            <w:r>
              <w:rPr>
                <w:rFonts w:ascii="Arial" w:cs="Arial" w:eastAsia="Arial" w:hAnsi="Arial"/>
                <w:sz w:val="16"/>
                <w:szCs w:val="16"/>
                <w:color w:val="0F7C7F"/>
              </w:rPr>
              <w:t>Section 302 Certification of Chief Executive Officer</w:t>
            </w:r>
          </w:p>
        </w:tc>
        <w:tc>
          <w:tcPr>
            <w:tcW w:w="1580" w:type="dxa"/>
            <w:vAlign w:val="bottom"/>
          </w:tcPr>
          <w:p>
            <w:pPr>
              <w:ind w:left="160"/>
              <w:spacing w:after="0"/>
              <w:rPr>
                <w:sz w:val="20"/>
                <w:szCs w:val="20"/>
                <w:color w:val="auto"/>
              </w:rPr>
            </w:pPr>
            <w:r>
              <w:rPr>
                <w:rFonts w:ascii="Arial" w:cs="Arial" w:eastAsia="Arial" w:hAnsi="Arial"/>
                <w:sz w:val="16"/>
                <w:szCs w:val="16"/>
                <w:color w:val="auto"/>
              </w:rPr>
              <w:t>Filed herewith.</w:t>
            </w:r>
          </w:p>
        </w:tc>
      </w:tr>
      <w:tr>
        <w:trPr>
          <w:trHeight w:val="196"/>
        </w:trPr>
        <w:tc>
          <w:tcPr>
            <w:tcW w:w="1140" w:type="dxa"/>
            <w:vAlign w:val="bottom"/>
          </w:tcPr>
          <w:p>
            <w:pPr>
              <w:spacing w:after="0"/>
              <w:rPr>
                <w:sz w:val="20"/>
                <w:szCs w:val="20"/>
                <w:color w:val="auto"/>
              </w:rPr>
            </w:pPr>
            <w:r>
              <w:rPr>
                <w:rFonts w:ascii="Arial" w:cs="Arial" w:eastAsia="Arial" w:hAnsi="Arial"/>
                <w:sz w:val="16"/>
                <w:szCs w:val="16"/>
                <w:color w:val="auto"/>
              </w:rPr>
              <w:t>31.2</w:t>
            </w:r>
          </w:p>
        </w:tc>
        <w:tc>
          <w:tcPr>
            <w:tcW w:w="3580" w:type="dxa"/>
            <w:vAlign w:val="bottom"/>
            <w:tcBorders>
              <w:top w:val="single" w:sz="8" w:color="0F7C7F"/>
              <w:bottom w:val="single" w:sz="8" w:color="0F7C7F"/>
            </w:tcBorders>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1900" w:type="dxa"/>
            <w:vAlign w:val="bottom"/>
            <w:gridSpan w:val="4"/>
          </w:tcPr>
          <w:p>
            <w:pPr>
              <w:spacing w:after="0"/>
              <w:rPr>
                <w:sz w:val="17"/>
                <w:szCs w:val="17"/>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Filed herewith.</w:t>
            </w:r>
          </w:p>
        </w:tc>
      </w:tr>
      <w:tr>
        <w:trPr>
          <w:trHeight w:val="196"/>
        </w:trPr>
        <w:tc>
          <w:tcPr>
            <w:tcW w:w="1140" w:type="dxa"/>
            <w:vAlign w:val="bottom"/>
          </w:tcPr>
          <w:p>
            <w:pPr>
              <w:spacing w:after="0"/>
              <w:rPr>
                <w:sz w:val="20"/>
                <w:szCs w:val="20"/>
                <w:color w:val="auto"/>
              </w:rPr>
            </w:pPr>
            <w:r>
              <w:rPr>
                <w:rFonts w:ascii="Arial" w:cs="Arial" w:eastAsia="Arial" w:hAnsi="Arial"/>
                <w:sz w:val="16"/>
                <w:szCs w:val="16"/>
                <w:color w:val="auto"/>
              </w:rPr>
              <w:t>32.1</w:t>
            </w:r>
          </w:p>
        </w:tc>
        <w:tc>
          <w:tcPr>
            <w:tcW w:w="5520" w:type="dxa"/>
            <w:vAlign w:val="bottom"/>
            <w:gridSpan w:val="6"/>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c>
          <w:tcPr>
            <w:tcW w:w="1580" w:type="dxa"/>
            <w:vAlign w:val="bottom"/>
          </w:tcPr>
          <w:p>
            <w:pPr>
              <w:ind w:left="160"/>
              <w:spacing w:after="0"/>
              <w:rPr>
                <w:sz w:val="20"/>
                <w:szCs w:val="20"/>
                <w:color w:val="auto"/>
              </w:rPr>
            </w:pPr>
            <w:r>
              <w:rPr>
                <w:rFonts w:ascii="Arial" w:cs="Arial" w:eastAsia="Arial" w:hAnsi="Arial"/>
                <w:sz w:val="16"/>
                <w:szCs w:val="16"/>
                <w:color w:val="auto"/>
                <w:w w:val="99"/>
              </w:rPr>
              <w:t>Furnished herewith.</w:t>
            </w:r>
          </w:p>
        </w:tc>
      </w:tr>
      <w:tr>
        <w:trPr>
          <w:trHeight w:val="142"/>
        </w:trPr>
        <w:tc>
          <w:tcPr>
            <w:tcW w:w="1140" w:type="dxa"/>
            <w:vAlign w:val="bottom"/>
          </w:tcPr>
          <w:p>
            <w:pPr>
              <w:spacing w:after="0"/>
              <w:rPr>
                <w:sz w:val="12"/>
                <w:szCs w:val="12"/>
                <w:color w:val="auto"/>
              </w:rPr>
            </w:pPr>
          </w:p>
        </w:tc>
        <w:tc>
          <w:tcPr>
            <w:tcW w:w="5360" w:type="dxa"/>
            <w:vAlign w:val="bottom"/>
            <w:tcBorders>
              <w:top w:val="single" w:sz="8" w:color="0F7C7F"/>
            </w:tcBorders>
            <w:gridSpan w:val="5"/>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6"/>
                <w:szCs w:val="16"/>
                <w:color w:val="auto"/>
              </w:rPr>
              <w:t>32.2</w:t>
            </w:r>
          </w:p>
        </w:tc>
        <w:tc>
          <w:tcPr>
            <w:tcW w:w="5520" w:type="dxa"/>
            <w:vAlign w:val="bottom"/>
            <w:tcBorders>
              <w:bottom w:val="single" w:sz="8" w:color="0F7C7F"/>
            </w:tcBorders>
            <w:gridSpan w:val="6"/>
          </w:tcPr>
          <w:p>
            <w:pPr>
              <w:spacing w:after="0"/>
              <w:rPr>
                <w:sz w:val="20"/>
                <w:szCs w:val="20"/>
                <w:color w:val="auto"/>
              </w:rPr>
            </w:pPr>
            <w:r>
              <w:rPr>
                <w:rFonts w:ascii="Arial" w:cs="Arial" w:eastAsia="Arial" w:hAnsi="Arial"/>
                <w:sz w:val="16"/>
                <w:szCs w:val="16"/>
                <w:color w:val="0F7C7F"/>
              </w:rPr>
              <w:t>Certification of Chief Financial Officer pursuant to 18 U.S.C. Section 1350, as</w:t>
            </w:r>
          </w:p>
        </w:tc>
        <w:tc>
          <w:tcPr>
            <w:tcW w:w="1580" w:type="dxa"/>
            <w:vAlign w:val="bottom"/>
          </w:tcPr>
          <w:p>
            <w:pPr>
              <w:ind w:left="160"/>
              <w:spacing w:after="0"/>
              <w:rPr>
                <w:sz w:val="20"/>
                <w:szCs w:val="20"/>
                <w:color w:val="auto"/>
              </w:rPr>
            </w:pPr>
            <w:r>
              <w:rPr>
                <w:rFonts w:ascii="Arial" w:cs="Arial" w:eastAsia="Arial" w:hAnsi="Arial"/>
                <w:sz w:val="16"/>
                <w:szCs w:val="16"/>
                <w:color w:val="auto"/>
                <w:w w:val="99"/>
              </w:rPr>
              <w:t>Furnished herewith.</w:t>
            </w:r>
          </w:p>
        </w:tc>
      </w:tr>
      <w:tr>
        <w:trPr>
          <w:trHeight w:val="142"/>
        </w:trPr>
        <w:tc>
          <w:tcPr>
            <w:tcW w:w="1140" w:type="dxa"/>
            <w:vAlign w:val="bottom"/>
          </w:tcPr>
          <w:p>
            <w:pPr>
              <w:spacing w:after="0"/>
              <w:rPr>
                <w:sz w:val="12"/>
                <w:szCs w:val="12"/>
                <w:color w:val="auto"/>
              </w:rPr>
            </w:pPr>
          </w:p>
        </w:tc>
        <w:tc>
          <w:tcPr>
            <w:tcW w:w="5520" w:type="dxa"/>
            <w:vAlign w:val="bottom"/>
            <w:gridSpan w:val="6"/>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15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114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5520" w:type="dxa"/>
            <w:vAlign w:val="bottom"/>
            <w:gridSpan w:val="6"/>
          </w:tcPr>
          <w:p>
            <w:pPr>
              <w:spacing w:after="0" w:line="183" w:lineRule="exact"/>
              <w:rPr>
                <w:sz w:val="20"/>
                <w:szCs w:val="20"/>
                <w:color w:val="auto"/>
              </w:rPr>
            </w:pPr>
            <w:r>
              <w:rPr>
                <w:rFonts w:ascii="Arial" w:cs="Arial" w:eastAsia="Arial" w:hAnsi="Arial"/>
                <w:sz w:val="16"/>
                <w:szCs w:val="16"/>
                <w:color w:val="auto"/>
              </w:rPr>
              <w:t>Inline XBRL Taxonomy Instance Document - the instance document does not</w:t>
            </w:r>
          </w:p>
        </w:tc>
        <w:tc>
          <w:tcPr>
            <w:tcW w:w="1580" w:type="dxa"/>
            <w:vAlign w:val="bottom"/>
          </w:tcPr>
          <w:p>
            <w:pPr>
              <w:ind w:left="160"/>
              <w:spacing w:after="0" w:line="183" w:lineRule="exact"/>
              <w:rPr>
                <w:sz w:val="20"/>
                <w:szCs w:val="20"/>
                <w:color w:val="auto"/>
              </w:rPr>
            </w:pPr>
            <w:r>
              <w:rPr>
                <w:rFonts w:ascii="Arial" w:cs="Arial" w:eastAsia="Arial" w:hAnsi="Arial"/>
                <w:sz w:val="16"/>
                <w:szCs w:val="16"/>
                <w:color w:val="auto"/>
              </w:rPr>
              <w:t>Filed herewith.</w:t>
            </w:r>
          </w:p>
        </w:tc>
      </w:tr>
      <w:tr>
        <w:trPr>
          <w:trHeight w:val="162"/>
        </w:trPr>
        <w:tc>
          <w:tcPr>
            <w:tcW w:w="1140" w:type="dxa"/>
            <w:vAlign w:val="bottom"/>
          </w:tcPr>
          <w:p>
            <w:pPr>
              <w:spacing w:after="0"/>
              <w:rPr>
                <w:sz w:val="14"/>
                <w:szCs w:val="14"/>
                <w:color w:val="auto"/>
              </w:rPr>
            </w:pPr>
          </w:p>
        </w:tc>
        <w:tc>
          <w:tcPr>
            <w:tcW w:w="5520" w:type="dxa"/>
            <w:vAlign w:val="bottom"/>
            <w:gridSpan w:val="6"/>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1580" w:type="dxa"/>
            <w:vAlign w:val="bottom"/>
          </w:tcPr>
          <w:p>
            <w:pPr>
              <w:spacing w:after="0"/>
              <w:rPr>
                <w:sz w:val="14"/>
                <w:szCs w:val="14"/>
                <w:color w:val="auto"/>
              </w:rPr>
            </w:pPr>
          </w:p>
        </w:tc>
      </w:tr>
      <w:tr>
        <w:trPr>
          <w:trHeight w:val="215"/>
        </w:trPr>
        <w:tc>
          <w:tcPr>
            <w:tcW w:w="1140" w:type="dxa"/>
            <w:vAlign w:val="bottom"/>
          </w:tcPr>
          <w:p>
            <w:pPr>
              <w:spacing w:after="0"/>
              <w:rPr>
                <w:sz w:val="18"/>
                <w:szCs w:val="18"/>
                <w:color w:val="auto"/>
              </w:rPr>
            </w:pPr>
          </w:p>
        </w:tc>
        <w:tc>
          <w:tcPr>
            <w:tcW w:w="5520" w:type="dxa"/>
            <w:vAlign w:val="bottom"/>
            <w:gridSpan w:val="6"/>
          </w:tcPr>
          <w:p>
            <w:pPr>
              <w:spacing w:after="0"/>
              <w:rPr>
                <w:sz w:val="20"/>
                <w:szCs w:val="20"/>
                <w:color w:val="auto"/>
              </w:rPr>
            </w:pPr>
            <w:r>
              <w:rPr>
                <w:rFonts w:ascii="Arial" w:cs="Arial" w:eastAsia="Arial" w:hAnsi="Arial"/>
                <w:sz w:val="16"/>
                <w:szCs w:val="16"/>
                <w:color w:val="auto"/>
              </w:rPr>
              <w:t>within the inline XBRL document.</w:t>
            </w:r>
          </w:p>
        </w:tc>
        <w:tc>
          <w:tcPr>
            <w:tcW w:w="1580" w:type="dxa"/>
            <w:vAlign w:val="bottom"/>
          </w:tcPr>
          <w:p>
            <w:pPr>
              <w:spacing w:after="0"/>
              <w:rPr>
                <w:sz w:val="18"/>
                <w:szCs w:val="18"/>
                <w:color w:val="auto"/>
              </w:rPr>
            </w:pPr>
          </w:p>
        </w:tc>
      </w:tr>
      <w:tr>
        <w:trPr>
          <w:trHeight w:val="215"/>
        </w:trPr>
        <w:tc>
          <w:tcPr>
            <w:tcW w:w="1140" w:type="dxa"/>
            <w:vAlign w:val="bottom"/>
          </w:tcPr>
          <w:p>
            <w:pPr>
              <w:spacing w:after="0"/>
              <w:rPr>
                <w:sz w:val="20"/>
                <w:szCs w:val="20"/>
                <w:color w:val="auto"/>
              </w:rPr>
            </w:pPr>
            <w:r>
              <w:rPr>
                <w:rFonts w:ascii="Arial" w:cs="Arial" w:eastAsia="Arial" w:hAnsi="Arial"/>
                <w:sz w:val="16"/>
                <w:szCs w:val="16"/>
                <w:color w:val="auto"/>
              </w:rPr>
              <w:t>101.SCH</w:t>
            </w:r>
          </w:p>
        </w:tc>
        <w:tc>
          <w:tcPr>
            <w:tcW w:w="552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1580" w:type="dxa"/>
            <w:vAlign w:val="bottom"/>
          </w:tcPr>
          <w:p>
            <w:pPr>
              <w:ind w:left="16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6"/>
                <w:szCs w:val="16"/>
                <w:color w:val="auto"/>
              </w:rPr>
              <w:t>101.CAL</w:t>
            </w:r>
          </w:p>
        </w:tc>
        <w:tc>
          <w:tcPr>
            <w:tcW w:w="552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580" w:type="dxa"/>
            <w:vAlign w:val="bottom"/>
          </w:tcPr>
          <w:p>
            <w:pPr>
              <w:ind w:left="16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6"/>
                <w:szCs w:val="16"/>
                <w:color w:val="auto"/>
              </w:rPr>
              <w:t>101.DEF</w:t>
            </w:r>
          </w:p>
        </w:tc>
        <w:tc>
          <w:tcPr>
            <w:tcW w:w="552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580" w:type="dxa"/>
            <w:vAlign w:val="bottom"/>
          </w:tcPr>
          <w:p>
            <w:pPr>
              <w:ind w:left="16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6"/>
                <w:szCs w:val="16"/>
                <w:color w:val="auto"/>
              </w:rPr>
              <w:t>101.LAB</w:t>
            </w:r>
          </w:p>
        </w:tc>
        <w:tc>
          <w:tcPr>
            <w:tcW w:w="552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580" w:type="dxa"/>
            <w:vAlign w:val="bottom"/>
          </w:tcPr>
          <w:p>
            <w:pPr>
              <w:ind w:left="16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6"/>
                <w:szCs w:val="16"/>
                <w:color w:val="auto"/>
              </w:rPr>
              <w:t>101.PRE</w:t>
            </w:r>
          </w:p>
        </w:tc>
        <w:tc>
          <w:tcPr>
            <w:tcW w:w="552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1580" w:type="dxa"/>
            <w:vAlign w:val="bottom"/>
          </w:tcPr>
          <w:p>
            <w:pPr>
              <w:ind w:left="160"/>
              <w:spacing w:after="0"/>
              <w:rPr>
                <w:sz w:val="20"/>
                <w:szCs w:val="20"/>
                <w:color w:val="auto"/>
              </w:rPr>
            </w:pPr>
            <w:r>
              <w:rPr>
                <w:rFonts w:ascii="Arial" w:cs="Arial" w:eastAsia="Arial" w:hAnsi="Arial"/>
                <w:sz w:val="16"/>
                <w:szCs w:val="16"/>
                <w:color w:val="auto"/>
              </w:rPr>
              <w:t>Filed herewith.</w:t>
            </w:r>
          </w:p>
        </w:tc>
      </w:tr>
      <w:tr>
        <w:trPr>
          <w:trHeight w:val="164"/>
        </w:trPr>
        <w:tc>
          <w:tcPr>
            <w:tcW w:w="114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5520" w:type="dxa"/>
            <w:vAlign w:val="bottom"/>
            <w:gridSpan w:val="6"/>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1580" w:type="dxa"/>
            <w:vAlign w:val="bottom"/>
          </w:tcPr>
          <w:p>
            <w:pPr>
              <w:ind w:left="160"/>
              <w:spacing w:after="0" w:line="164" w:lineRule="exact"/>
              <w:rPr>
                <w:sz w:val="20"/>
                <w:szCs w:val="20"/>
                <w:color w:val="auto"/>
              </w:rPr>
            </w:pPr>
            <w:r>
              <w:rPr>
                <w:rFonts w:ascii="Arial" w:cs="Arial" w:eastAsia="Arial" w:hAnsi="Arial"/>
                <w:sz w:val="16"/>
                <w:szCs w:val="16"/>
                <w:color w:val="auto"/>
              </w:rPr>
              <w:t>Filed herewith.</w:t>
            </w:r>
          </w:p>
        </w:tc>
      </w:tr>
      <w:tr>
        <w:trPr>
          <w:trHeight w:val="215"/>
        </w:trPr>
        <w:tc>
          <w:tcPr>
            <w:tcW w:w="1140" w:type="dxa"/>
            <w:vAlign w:val="bottom"/>
          </w:tcPr>
          <w:p>
            <w:pPr>
              <w:spacing w:after="0"/>
              <w:rPr>
                <w:sz w:val="18"/>
                <w:szCs w:val="18"/>
                <w:color w:val="auto"/>
              </w:rPr>
            </w:pPr>
          </w:p>
        </w:tc>
        <w:tc>
          <w:tcPr>
            <w:tcW w:w="5520" w:type="dxa"/>
            <w:vAlign w:val="bottom"/>
            <w:gridSpan w:val="6"/>
          </w:tcPr>
          <w:p>
            <w:pPr>
              <w:spacing w:after="0"/>
              <w:rPr>
                <w:sz w:val="20"/>
                <w:szCs w:val="20"/>
                <w:color w:val="auto"/>
              </w:rPr>
            </w:pPr>
            <w:r>
              <w:rPr>
                <w:rFonts w:ascii="Arial" w:cs="Arial" w:eastAsia="Arial" w:hAnsi="Arial"/>
                <w:sz w:val="16"/>
                <w:szCs w:val="16"/>
                <w:color w:val="auto"/>
              </w:rPr>
              <w:t>within Exhibit 101)</w:t>
            </w:r>
          </w:p>
        </w:tc>
        <w:tc>
          <w:tcPr>
            <w:tcW w:w="15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23, 2026</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282"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23, 2026</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2026 Form 10-Q | 35</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2026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23, 2026</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2026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April 23, 2026</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37" w:name="page38"/>
    <w:bookmarkEnd w:id="37"/>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March 31, 2026 (the “Report”), I, Joseph M. Zubretsky, Chief Executive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April 23, 2026</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106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38" w:name="page39"/>
    <w:bookmarkEnd w:id="38"/>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March 31, 2026 (the “Report”), I, Mark L. Keim,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23, 2026</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9"/>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6" Type="http://schemas.openxmlformats.org/officeDocument/2006/relationships/hyperlink" Target="https://www.sec.gov/Archives/edgar/data/1179929/000143774926003384/ex_9177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2026-04-23T09:18:30Z</dcterms:created>
  <dcterms:modified xsi:type="dcterms:W3CDTF">2026-04-23T09:18:30Z</dcterms:modified>
</cp:coreProperties>
</file>