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1862455</wp:posOffset>
            </wp:positionH>
            <wp:positionV relativeFrom="paragraph">
              <wp:posOffset>40005</wp:posOffset>
            </wp:positionV>
            <wp:extent cx="34359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54610</wp:posOffset>
            </wp:positionV>
            <wp:extent cx="34226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2650" cy="6985"/>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660" w:hanging="641"/>
        <w:spacing w:after="0" w:line="182" w:lineRule="auto"/>
        <w:tabs>
          <w:tab w:leader="none" w:pos="660" w:val="left"/>
        </w:tabs>
        <w:numPr>
          <w:ilvl w:val="0"/>
          <w:numId w:val="1"/>
        </w:numPr>
        <w:rPr>
          <w:rFonts w:ascii="MS PGothic" w:cs="MS PGothic" w:eastAsia="MS PGothic" w:hAnsi="MS PGothic"/>
          <w:sz w:val="33"/>
          <w:szCs w:val="33"/>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10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660" w:hanging="641"/>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46355</wp:posOffset>
            </wp:positionV>
            <wp:extent cx="347662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662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MOLINA HEALTHCARE,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38735</wp:posOffset>
            </wp:positionV>
            <wp:extent cx="34766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147" w:lineRule="exact"/>
        <w:rPr>
          <w:sz w:val="24"/>
          <w:szCs w:val="24"/>
          <w:color w:val="auto"/>
        </w:rPr>
      </w:pPr>
    </w:p>
    <w:tbl>
      <w:tblPr>
        <w:tblLayout w:type="fixed"/>
        <w:tblInd w:w="2720" w:type="dxa"/>
        <w:tblCellMar>
          <w:top w:w="0" w:type="dxa"/>
          <w:left w:w="0" w:type="dxa"/>
          <w:bottom w:w="0" w:type="dxa"/>
          <w:right w:w="0" w:type="dxa"/>
        </w:tblCellMar>
      </w:tblPr>
      <w:tr>
        <w:trPr>
          <w:trHeight w:val="173"/>
        </w:trPr>
        <w:tc>
          <w:tcPr>
            <w:tcW w:w="3220" w:type="dxa"/>
            <w:vAlign w:val="bottom"/>
          </w:tcPr>
          <w:p>
            <w:pPr>
              <w:jc w:val="center"/>
              <w:ind w:right="1040"/>
              <w:spacing w:after="0"/>
              <w:rPr>
                <w:sz w:val="20"/>
                <w:szCs w:val="20"/>
                <w:color w:val="auto"/>
              </w:rPr>
            </w:pPr>
            <w:r>
              <w:rPr>
                <w:rFonts w:ascii="Arial" w:cs="Arial" w:eastAsia="Arial" w:hAnsi="Arial"/>
                <w:sz w:val="13"/>
                <w:szCs w:val="13"/>
                <w:b w:val="1"/>
                <w:bCs w:val="1"/>
                <w:color w:val="auto"/>
                <w:w w:val="98"/>
              </w:rPr>
              <w:t>Delaware</w:t>
            </w:r>
          </w:p>
        </w:tc>
        <w:tc>
          <w:tcPr>
            <w:tcW w:w="2080" w:type="dxa"/>
            <w:vAlign w:val="bottom"/>
          </w:tcPr>
          <w:p>
            <w:pPr>
              <w:jc w:val="right"/>
              <w:ind w:right="81"/>
              <w:spacing w:after="0"/>
              <w:rPr>
                <w:sz w:val="20"/>
                <w:szCs w:val="20"/>
                <w:color w:val="auto"/>
              </w:rPr>
            </w:pPr>
            <w:r>
              <w:rPr>
                <w:rFonts w:ascii="Arial" w:cs="Arial" w:eastAsia="Arial" w:hAnsi="Arial"/>
                <w:sz w:val="13"/>
                <w:szCs w:val="13"/>
                <w:b w:val="1"/>
                <w:bCs w:val="1"/>
                <w:color w:val="auto"/>
              </w:rPr>
              <w:t>13-4204626</w:t>
            </w:r>
          </w:p>
        </w:tc>
      </w:tr>
      <w:tr>
        <w:trPr>
          <w:trHeight w:val="134"/>
        </w:trPr>
        <w:tc>
          <w:tcPr>
            <w:tcW w:w="3220" w:type="dxa"/>
            <w:vAlign w:val="bottom"/>
          </w:tcPr>
          <w:p>
            <w:pPr>
              <w:jc w:val="center"/>
              <w:ind w:right="1060"/>
              <w:spacing w:after="0"/>
              <w:rPr>
                <w:sz w:val="20"/>
                <w:szCs w:val="20"/>
                <w:color w:val="auto"/>
              </w:rPr>
            </w:pPr>
            <w:r>
              <w:rPr>
                <w:rFonts w:ascii="Arial" w:cs="Arial" w:eastAsia="Arial" w:hAnsi="Arial"/>
                <w:sz w:val="11"/>
                <w:szCs w:val="11"/>
                <w:b w:val="1"/>
                <w:bCs w:val="1"/>
                <w:color w:val="auto"/>
              </w:rPr>
              <w:t>(State or other jurisdiction of</w:t>
            </w:r>
          </w:p>
        </w:tc>
        <w:tc>
          <w:tcPr>
            <w:tcW w:w="2080" w:type="dxa"/>
            <w:vAlign w:val="bottom"/>
          </w:tcPr>
          <w:p>
            <w:pPr>
              <w:jc w:val="center"/>
              <w:ind w:left="1061"/>
              <w:spacing w:after="0"/>
              <w:rPr>
                <w:sz w:val="20"/>
                <w:szCs w:val="20"/>
                <w:color w:val="auto"/>
              </w:rPr>
            </w:pPr>
            <w:r>
              <w:rPr>
                <w:rFonts w:ascii="Arial" w:cs="Arial" w:eastAsia="Arial" w:hAnsi="Arial"/>
                <w:sz w:val="11"/>
                <w:szCs w:val="11"/>
                <w:b w:val="1"/>
                <w:bCs w:val="1"/>
                <w:color w:val="auto"/>
              </w:rPr>
              <w:t>(I.R.S. Employer</w:t>
            </w:r>
          </w:p>
        </w:tc>
      </w:tr>
      <w:tr>
        <w:trPr>
          <w:trHeight w:val="154"/>
        </w:trPr>
        <w:tc>
          <w:tcPr>
            <w:tcW w:w="3220" w:type="dxa"/>
            <w:vAlign w:val="bottom"/>
          </w:tcPr>
          <w:p>
            <w:pPr>
              <w:jc w:val="center"/>
              <w:ind w:right="1060"/>
              <w:spacing w:after="0"/>
              <w:rPr>
                <w:sz w:val="20"/>
                <w:szCs w:val="20"/>
                <w:color w:val="auto"/>
              </w:rPr>
            </w:pPr>
            <w:r>
              <w:rPr>
                <w:rFonts w:ascii="Arial" w:cs="Arial" w:eastAsia="Arial" w:hAnsi="Arial"/>
                <w:sz w:val="11"/>
                <w:szCs w:val="11"/>
                <w:b w:val="1"/>
                <w:bCs w:val="1"/>
                <w:color w:val="auto"/>
              </w:rPr>
              <w:t>incorporation or organization)</w:t>
            </w:r>
          </w:p>
        </w:tc>
        <w:tc>
          <w:tcPr>
            <w:tcW w:w="2080" w:type="dxa"/>
            <w:vAlign w:val="bottom"/>
          </w:tcPr>
          <w:p>
            <w:pPr>
              <w:jc w:val="center"/>
              <w:ind w:left="1061"/>
              <w:spacing w:after="0"/>
              <w:rPr>
                <w:sz w:val="20"/>
                <w:szCs w:val="20"/>
                <w:color w:val="auto"/>
              </w:rPr>
            </w:pPr>
            <w:r>
              <w:rPr>
                <w:rFonts w:ascii="Arial" w:cs="Arial" w:eastAsia="Arial" w:hAnsi="Arial"/>
                <w:sz w:val="11"/>
                <w:szCs w:val="11"/>
                <w:b w:val="1"/>
                <w:bCs w:val="1"/>
                <w:color w:val="auto"/>
              </w:rPr>
              <w:t>Identification No.)</w:t>
            </w:r>
          </w:p>
        </w:tc>
      </w:tr>
      <w:tr>
        <w:trPr>
          <w:trHeight w:val="206"/>
        </w:trPr>
        <w:tc>
          <w:tcPr>
            <w:tcW w:w="3220" w:type="dxa"/>
            <w:vAlign w:val="bottom"/>
          </w:tcPr>
          <w:p>
            <w:pPr>
              <w:jc w:val="center"/>
              <w:ind w:right="1060"/>
              <w:spacing w:after="0"/>
              <w:rPr>
                <w:sz w:val="20"/>
                <w:szCs w:val="20"/>
                <w:color w:val="auto"/>
              </w:rPr>
            </w:pPr>
            <w:r>
              <w:rPr>
                <w:rFonts w:ascii="Arial" w:cs="Arial" w:eastAsia="Arial" w:hAnsi="Arial"/>
                <w:sz w:val="13"/>
                <w:szCs w:val="13"/>
                <w:b w:val="1"/>
                <w:bCs w:val="1"/>
                <w:color w:val="auto"/>
                <w:w w:val="98"/>
              </w:rPr>
              <w:t>200 Oceangate, Suite 100</w:t>
            </w:r>
          </w:p>
        </w:tc>
        <w:tc>
          <w:tcPr>
            <w:tcW w:w="2080" w:type="dxa"/>
            <w:vAlign w:val="bottom"/>
          </w:tcPr>
          <w:p>
            <w:pPr>
              <w:spacing w:after="0"/>
              <w:rPr>
                <w:sz w:val="17"/>
                <w:szCs w:val="17"/>
                <w:color w:val="auto"/>
              </w:rPr>
            </w:pPr>
          </w:p>
        </w:tc>
      </w:tr>
      <w:tr>
        <w:trPr>
          <w:trHeight w:val="173"/>
        </w:trPr>
        <w:tc>
          <w:tcPr>
            <w:tcW w:w="3220" w:type="dxa"/>
            <w:vAlign w:val="bottom"/>
          </w:tcPr>
          <w:p>
            <w:pPr>
              <w:jc w:val="center"/>
              <w:ind w:right="1060"/>
              <w:spacing w:after="0"/>
              <w:rPr>
                <w:sz w:val="20"/>
                <w:szCs w:val="20"/>
                <w:color w:val="auto"/>
              </w:rPr>
            </w:pPr>
            <w:r>
              <w:rPr>
                <w:rFonts w:ascii="Arial" w:cs="Arial" w:eastAsia="Arial" w:hAnsi="Arial"/>
                <w:sz w:val="13"/>
                <w:szCs w:val="13"/>
                <w:b w:val="1"/>
                <w:bCs w:val="1"/>
                <w:color w:val="auto"/>
                <w:w w:val="97"/>
              </w:rPr>
              <w:t>Long Beach, California</w:t>
            </w:r>
          </w:p>
        </w:tc>
        <w:tc>
          <w:tcPr>
            <w:tcW w:w="2080" w:type="dxa"/>
            <w:vAlign w:val="bottom"/>
          </w:tcPr>
          <w:p>
            <w:pPr>
              <w:jc w:val="right"/>
              <w:ind w:right="241"/>
              <w:spacing w:after="0"/>
              <w:rPr>
                <w:sz w:val="20"/>
                <w:szCs w:val="20"/>
                <w:color w:val="auto"/>
              </w:rPr>
            </w:pPr>
            <w:r>
              <w:rPr>
                <w:rFonts w:ascii="Arial" w:cs="Arial" w:eastAsia="Arial" w:hAnsi="Arial"/>
                <w:sz w:val="13"/>
                <w:szCs w:val="13"/>
                <w:b w:val="1"/>
                <w:bCs w:val="1"/>
                <w:color w:val="auto"/>
              </w:rPr>
              <w:t>90802</w:t>
            </w:r>
          </w:p>
        </w:tc>
      </w:tr>
      <w:tr>
        <w:trPr>
          <w:trHeight w:val="155"/>
        </w:trPr>
        <w:tc>
          <w:tcPr>
            <w:tcW w:w="3220" w:type="dxa"/>
            <w:vAlign w:val="bottom"/>
          </w:tcPr>
          <w:p>
            <w:pPr>
              <w:jc w:val="center"/>
              <w:ind w:right="1060"/>
              <w:spacing w:after="0"/>
              <w:rPr>
                <w:sz w:val="20"/>
                <w:szCs w:val="20"/>
                <w:color w:val="auto"/>
              </w:rPr>
            </w:pPr>
            <w:r>
              <w:rPr>
                <w:rFonts w:ascii="Arial" w:cs="Arial" w:eastAsia="Arial" w:hAnsi="Arial"/>
                <w:sz w:val="11"/>
                <w:szCs w:val="11"/>
                <w:b w:val="1"/>
                <w:bCs w:val="1"/>
                <w:color w:val="auto"/>
              </w:rPr>
              <w:t>(Address of principal executive offices)</w:t>
            </w:r>
          </w:p>
        </w:tc>
        <w:tc>
          <w:tcPr>
            <w:tcW w:w="2080" w:type="dxa"/>
            <w:vAlign w:val="bottom"/>
          </w:tcPr>
          <w:p>
            <w:pPr>
              <w:jc w:val="center"/>
              <w:ind w:left="1061"/>
              <w:spacing w:after="0"/>
              <w:rPr>
                <w:sz w:val="20"/>
                <w:szCs w:val="20"/>
                <w:color w:val="auto"/>
              </w:rPr>
            </w:pPr>
            <w:r>
              <w:rPr>
                <w:rFonts w:ascii="Arial" w:cs="Arial" w:eastAsia="Arial" w:hAnsi="Arial"/>
                <w:sz w:val="11"/>
                <w:szCs w:val="11"/>
                <w:b w:val="1"/>
                <w:bCs w:val="1"/>
                <w:color w:val="auto"/>
              </w:rPr>
              <w:t>(Zip Code)</w:t>
            </w:r>
          </w:p>
        </w:tc>
      </w:tr>
    </w:tbl>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(562) 435-3666</w:t>
      </w:r>
    </w:p>
    <w:p>
      <w:pPr>
        <w:spacing w:after="0" w:line="5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100330</wp:posOffset>
            </wp:positionV>
            <wp:extent cx="34766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06" w:lineRule="exact"/>
        <w:rPr>
          <w:sz w:val="24"/>
          <w:szCs w:val="24"/>
          <w:color w:val="auto"/>
        </w:rPr>
      </w:pPr>
    </w:p>
    <w:tbl>
      <w:tblPr>
        <w:tblLayout w:type="fixed"/>
        <w:tblInd w:w="1970" w:type="dxa"/>
        <w:tblCellMar>
          <w:top w:w="0" w:type="dxa"/>
          <w:left w:w="0" w:type="dxa"/>
          <w:bottom w:w="0" w:type="dxa"/>
          <w:right w:w="0" w:type="dxa"/>
        </w:tblCellMar>
      </w:tblPr>
      <w:tr>
        <w:trPr>
          <w:trHeight w:val="201"/>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7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Common Stock, $0.001 Par Value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MOH</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New York Stock Exchange</w:t>
            </w:r>
          </w:p>
        </w:tc>
      </w:tr>
    </w:tbl>
    <w:p>
      <w:pPr>
        <w:spacing w:after="0" w:line="117" w:lineRule="exact"/>
        <w:rPr>
          <w:sz w:val="24"/>
          <w:szCs w:val="24"/>
          <w:color w:val="auto"/>
        </w:rPr>
      </w:pPr>
    </w:p>
    <w:p>
      <w:pPr>
        <w:ind w:right="200"/>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6" w:lineRule="exact"/>
        <w:rPr>
          <w:sz w:val="24"/>
          <w:szCs w:val="24"/>
          <w:color w:val="auto"/>
        </w:rPr>
      </w:pPr>
    </w:p>
    <w:p>
      <w:pPr>
        <w:ind w:right="20"/>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6" w:lineRule="exact"/>
        <w:rPr>
          <w:sz w:val="24"/>
          <w:szCs w:val="24"/>
          <w:color w:val="auto"/>
        </w:rPr>
      </w:pPr>
    </w:p>
    <w:p>
      <w:pPr>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ind w:left="140"/>
        <w:spacing w:after="0" w:line="150" w:lineRule="exact"/>
        <w:rPr>
          <w:sz w:val="20"/>
          <w:szCs w:val="20"/>
          <w:color w:val="auto"/>
        </w:rPr>
      </w:pPr>
      <w:r>
        <w:rPr>
          <w:rFonts w:ascii="Arial" w:cs="Arial" w:eastAsia="Arial" w:hAnsi="Arial"/>
          <w:sz w:val="13"/>
          <w:szCs w:val="13"/>
          <w:color w:val="auto"/>
        </w:rPr>
        <w:t>L</w:t>
      </w:r>
      <w:r>
        <w:rPr>
          <w:rFonts w:ascii="Arial" w:cs="Arial" w:eastAsia="Arial" w:hAnsi="Arial"/>
          <w:sz w:val="11"/>
          <w:szCs w:val="11"/>
          <w:color w:val="auto"/>
        </w:rPr>
        <w:t>arge Accelerated Filer</w:t>
      </w:r>
      <w:r>
        <w:rPr>
          <w:rFonts w:ascii="Arial" w:cs="Arial" w:eastAsia="Arial" w:hAnsi="Arial"/>
          <w:sz w:val="13"/>
          <w:szCs w:val="13"/>
          <w:color w:val="auto"/>
        </w:rPr>
        <w:t xml:space="preserve"> </w:t>
      </w:r>
      <w:r>
        <w:rPr>
          <w:rFonts w:ascii="MS PGothic" w:cs="MS PGothic" w:eastAsia="MS PGothic" w:hAnsi="MS PGothic"/>
          <w:sz w:val="11"/>
          <w:szCs w:val="11"/>
          <w:color w:val="auto"/>
        </w:rPr>
        <w:t>☒</w:t>
      </w:r>
      <w:r>
        <w:rPr>
          <w:rFonts w:ascii="Arial" w:cs="Arial" w:eastAsia="Arial" w:hAnsi="Arial"/>
          <w:sz w:val="13"/>
          <w:szCs w:val="13"/>
          <w:color w:val="auto"/>
        </w:rPr>
        <w:t xml:space="preserve"> </w:t>
      </w:r>
      <w:r>
        <w:rPr>
          <w:rFonts w:ascii="Arial" w:cs="Arial" w:eastAsia="Arial" w:hAnsi="Arial"/>
          <w:sz w:val="11"/>
          <w:szCs w:val="11"/>
          <w:color w:val="auto"/>
        </w:rPr>
        <w:t>Accelerated Filer</w:t>
      </w:r>
      <w:r>
        <w:rPr>
          <w:rFonts w:ascii="Arial" w:cs="Arial" w:eastAsia="Arial" w:hAnsi="Arial"/>
          <w:sz w:val="13"/>
          <w:szCs w:val="13"/>
          <w:color w:val="auto"/>
        </w:rPr>
        <w:t xml:space="preserve"> </w:t>
      </w:r>
      <w:r>
        <w:rPr>
          <w:rFonts w:ascii="MS PGothic" w:cs="MS PGothic" w:eastAsia="MS PGothic" w:hAnsi="MS PGothic"/>
          <w:sz w:val="11"/>
          <w:szCs w:val="11"/>
          <w:color w:val="auto"/>
        </w:rPr>
        <w:t>☐</w:t>
      </w:r>
      <w:r>
        <w:rPr>
          <w:rFonts w:ascii="Arial" w:cs="Arial" w:eastAsia="Arial" w:hAnsi="Arial"/>
          <w:sz w:val="13"/>
          <w:szCs w:val="13"/>
          <w:color w:val="auto"/>
        </w:rPr>
        <w:t xml:space="preserve"> </w:t>
      </w:r>
      <w:r>
        <w:rPr>
          <w:rFonts w:ascii="Arial" w:cs="Arial" w:eastAsia="Arial" w:hAnsi="Arial"/>
          <w:sz w:val="11"/>
          <w:szCs w:val="11"/>
          <w:color w:val="auto"/>
        </w:rPr>
        <w:t>Non-Accelerated Filer</w:t>
      </w:r>
      <w:r>
        <w:rPr>
          <w:rFonts w:ascii="Arial" w:cs="Arial" w:eastAsia="Arial" w:hAnsi="Arial"/>
          <w:sz w:val="13"/>
          <w:szCs w:val="13"/>
          <w:color w:val="auto"/>
        </w:rPr>
        <w:t xml:space="preserve"> </w:t>
      </w:r>
      <w:r>
        <w:rPr>
          <w:rFonts w:ascii="MS PGothic" w:cs="MS PGothic" w:eastAsia="MS PGothic" w:hAnsi="MS PGothic"/>
          <w:sz w:val="11"/>
          <w:szCs w:val="11"/>
          <w:color w:val="auto"/>
        </w:rPr>
        <w:t>☐</w:t>
      </w:r>
      <w:r>
        <w:rPr>
          <w:rFonts w:ascii="Arial" w:cs="Arial" w:eastAsia="Arial" w:hAnsi="Arial"/>
          <w:sz w:val="13"/>
          <w:szCs w:val="13"/>
          <w:color w:val="auto"/>
        </w:rPr>
        <w:t xml:space="preserve"> </w:t>
      </w:r>
      <w:r>
        <w:rPr>
          <w:rFonts w:ascii="Arial" w:cs="Arial" w:eastAsia="Arial" w:hAnsi="Arial"/>
          <w:sz w:val="11"/>
          <w:szCs w:val="11"/>
          <w:color w:val="auto"/>
        </w:rPr>
        <w:t>Smaller reporting company</w:t>
      </w:r>
      <w:r>
        <w:rPr>
          <w:rFonts w:ascii="Arial" w:cs="Arial" w:eastAsia="Arial" w:hAnsi="Arial"/>
          <w:sz w:val="13"/>
          <w:szCs w:val="13"/>
          <w:color w:val="auto"/>
        </w:rPr>
        <w:t xml:space="preserve"> </w:t>
      </w:r>
      <w:r>
        <w:rPr>
          <w:rFonts w:ascii="MS PGothic" w:cs="MS PGothic" w:eastAsia="MS PGothic" w:hAnsi="MS PGothic"/>
          <w:sz w:val="11"/>
          <w:szCs w:val="11"/>
          <w:color w:val="auto"/>
        </w:rPr>
        <w:t>☐</w:t>
      </w:r>
      <w:r>
        <w:rPr>
          <w:rFonts w:ascii="Arial" w:cs="Arial" w:eastAsia="Arial" w:hAnsi="Arial"/>
          <w:sz w:val="13"/>
          <w:szCs w:val="13"/>
          <w:color w:val="auto"/>
        </w:rPr>
        <w:t xml:space="preserve"> </w:t>
      </w:r>
      <w:r>
        <w:rPr>
          <w:rFonts w:ascii="Arial" w:cs="Arial" w:eastAsia="Arial" w:hAnsi="Arial"/>
          <w:sz w:val="11"/>
          <w:szCs w:val="11"/>
          <w:color w:val="auto"/>
        </w:rPr>
        <w:t>Emerging growth company</w:t>
      </w:r>
      <w:r>
        <w:rPr>
          <w:rFonts w:ascii="Arial" w:cs="Arial" w:eastAsia="Arial" w:hAnsi="Arial"/>
          <w:sz w:val="13"/>
          <w:szCs w:val="13"/>
          <w:color w:val="auto"/>
        </w:rPr>
        <w:t xml:space="preserve"> </w:t>
      </w:r>
      <w:r>
        <w:rPr>
          <w:rFonts w:ascii="MS PGothic" w:cs="MS PGothic" w:eastAsia="MS PGothic" w:hAnsi="MS PGothic"/>
          <w:sz w:val="11"/>
          <w:szCs w:val="11"/>
          <w:color w:val="auto"/>
        </w:rPr>
        <w:t>☐</w:t>
      </w:r>
    </w:p>
    <w:p>
      <w:pPr>
        <w:spacing w:after="0" w:line="109" w:lineRule="exact"/>
        <w:rPr>
          <w:sz w:val="24"/>
          <w:szCs w:val="24"/>
          <w:color w:val="auto"/>
        </w:rPr>
      </w:pPr>
    </w:p>
    <w:p>
      <w:pPr>
        <w:ind w:right="26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issuer’s Common Stock, $0.001 par value, outstanding as of October 21, 2022, was approximately 58,400,000.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498475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210"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MOLINA HEALTHCARE, INC. FORM 10-Q</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828282"/>
        </w:rPr>
        <w:t>FOR THE QUARTERLY PERIOD ENDED SEPTEMBER 30, 2022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828282"/>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gridSpan w:val="10"/>
          </w:tcPr>
          <w:p>
            <w:pPr>
              <w:ind w:left="20"/>
              <w:spacing w:after="0"/>
              <w:rPr>
                <w:sz w:val="20"/>
                <w:szCs w:val="20"/>
                <w:color w:val="auto"/>
              </w:rPr>
            </w:pPr>
            <w:r>
              <w:rPr>
                <w:rFonts w:ascii="Arial" w:cs="Arial" w:eastAsia="Arial" w:hAnsi="Arial"/>
                <w:sz w:val="13"/>
                <w:szCs w:val="13"/>
                <w:b w:val="1"/>
                <w:bCs w:val="1"/>
                <w:color w:val="auto"/>
              </w:rPr>
              <w:t>ITEM NUMBER</w:t>
            </w:r>
          </w:p>
        </w:tc>
        <w:tc>
          <w:tcPr>
            <w:tcW w:w="56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0F7C7F"/>
              </w:rPr>
              <w:t>Page</w:t>
            </w:r>
          </w:p>
        </w:tc>
      </w:tr>
      <w:tr>
        <w:trPr>
          <w:trHeight w:val="228"/>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center"/>
              <w:ind w:right="636"/>
              <w:spacing w:after="0"/>
              <w:rPr>
                <w:sz w:val="20"/>
                <w:szCs w:val="20"/>
                <w:color w:val="auto"/>
              </w:rPr>
            </w:pPr>
            <w:r>
              <w:rPr>
                <w:rFonts w:ascii="Arial" w:cs="Arial" w:eastAsia="Arial" w:hAnsi="Arial"/>
                <w:sz w:val="13"/>
                <w:szCs w:val="13"/>
                <w:b w:val="1"/>
                <w:bCs w:val="1"/>
                <w:color w:val="auto"/>
                <w:w w:val="93"/>
              </w:rPr>
              <w:t>PART I</w:t>
            </w:r>
          </w:p>
        </w:tc>
        <w:tc>
          <w:tcPr>
            <w:tcW w:w="5320" w:type="dxa"/>
            <w:vAlign w:val="bottom"/>
          </w:tcPr>
          <w:p>
            <w:pPr>
              <w:spacing w:after="0"/>
              <w:rPr>
                <w:sz w:val="19"/>
                <w:szCs w:val="19"/>
                <w:color w:val="auto"/>
              </w:rPr>
            </w:pPr>
          </w:p>
        </w:tc>
        <w:tc>
          <w:tcPr>
            <w:tcW w:w="160" w:type="dxa"/>
            <w:vAlign w:val="bottom"/>
            <w:tcBorders>
              <w:top w:val="single" w:sz="8" w:color="0F7C7F"/>
            </w:tcBorders>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40" w:type="dxa"/>
            <w:vAlign w:val="bottom"/>
          </w:tcPr>
          <w:p>
            <w:pPr>
              <w:spacing w:after="0"/>
              <w:rPr>
                <w:sz w:val="19"/>
                <w:szCs w:val="19"/>
                <w:color w:val="auto"/>
              </w:rPr>
            </w:pPr>
          </w:p>
        </w:tc>
      </w:tr>
      <w:tr>
        <w:trPr>
          <w:trHeight w:val="177"/>
        </w:trPr>
        <w:tc>
          <w:tcPr>
            <w:tcW w:w="600" w:type="dxa"/>
            <w:vAlign w:val="bottom"/>
          </w:tcPr>
          <w:p>
            <w:pPr>
              <w:ind w:left="20"/>
              <w:spacing w:after="0"/>
              <w:rPr>
                <w:sz w:val="20"/>
                <w:szCs w:val="20"/>
                <w:color w:val="auto"/>
              </w:rPr>
            </w:pPr>
            <w:r>
              <w:rPr>
                <w:rFonts w:ascii="Arial" w:cs="Arial" w:eastAsia="Arial" w:hAnsi="Arial"/>
                <w:sz w:val="13"/>
                <w:szCs w:val="13"/>
                <w:color w:val="auto"/>
              </w:rPr>
              <w:t>1.</w:t>
            </w:r>
          </w:p>
        </w:tc>
        <w:tc>
          <w:tcPr>
            <w:tcW w:w="1200" w:type="dxa"/>
            <w:vAlign w:val="bottom"/>
            <w:gridSpan w:val="5"/>
          </w:tcPr>
          <w:p>
            <w:pPr>
              <w:spacing w:after="0"/>
              <w:rPr>
                <w:sz w:val="20"/>
                <w:szCs w:val="20"/>
                <w:color w:val="auto"/>
              </w:rPr>
            </w:pPr>
            <w:r>
              <w:rPr>
                <w:rFonts w:ascii="Arial" w:cs="Arial" w:eastAsia="Arial" w:hAnsi="Arial"/>
                <w:sz w:val="13"/>
                <w:szCs w:val="13"/>
                <w:color w:val="0F7C7F"/>
                <w:w w:val="97"/>
              </w:rPr>
              <w:t>Financial Statements</w:t>
            </w:r>
          </w:p>
        </w:tc>
        <w:tc>
          <w:tcPr>
            <w:tcW w:w="3820" w:type="dxa"/>
            <w:vAlign w:val="bottom"/>
            <w:gridSpan w:val="4"/>
          </w:tcPr>
          <w:p>
            <w:pPr>
              <w:spacing w:after="0"/>
              <w:rPr>
                <w:sz w:val="15"/>
                <w:szCs w:val="15"/>
                <w:color w:val="auto"/>
              </w:rPr>
            </w:pP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w:t>
            </w:r>
          </w:p>
        </w:tc>
        <w:tc>
          <w:tcPr>
            <w:tcW w:w="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40" w:type="dxa"/>
            <w:vAlign w:val="bottom"/>
            <w:tcBorders>
              <w:right w:val="single" w:sz="8" w:color="0F7C7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2.</w:t>
            </w:r>
          </w:p>
        </w:tc>
        <w:tc>
          <w:tcPr>
            <w:tcW w:w="5020" w:type="dxa"/>
            <w:vAlign w:val="bottom"/>
            <w:tcBorders>
              <w:bottom w:val="single" w:sz="8" w:color="0F7C7F"/>
            </w:tcBorders>
            <w:gridSpan w:val="9"/>
          </w:tcPr>
          <w:p>
            <w:pPr>
              <w:spacing w:after="0"/>
              <w:rPr>
                <w:sz w:val="20"/>
                <w:szCs w:val="20"/>
                <w:color w:val="auto"/>
              </w:rPr>
            </w:pPr>
            <w:r>
              <w:rPr>
                <w:rFonts w:ascii="Arial" w:cs="Arial" w:eastAsia="Arial" w:hAnsi="Arial"/>
                <w:sz w:val="13"/>
                <w:szCs w:val="13"/>
                <w:color w:val="0F7C7F"/>
                <w:w w:val="97"/>
              </w:rPr>
              <w:t>Management’s Discussion and Analysis of Financial Condition and Results of Operations</w:t>
            </w:r>
          </w:p>
        </w:tc>
        <w:tc>
          <w:tcPr>
            <w:tcW w:w="5480" w:type="dxa"/>
            <w:vAlign w:val="bottom"/>
            <w:gridSpan w:val="2"/>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20</w:t>
            </w:r>
          </w:p>
        </w:tc>
        <w:tc>
          <w:tcPr>
            <w:tcW w:w="40" w:type="dxa"/>
            <w:vAlign w:val="bottom"/>
          </w:tcPr>
          <w:p>
            <w:pPr>
              <w:spacing w:after="0"/>
              <w:rPr>
                <w:sz w:val="16"/>
                <w:szCs w:val="16"/>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3.</w:t>
            </w:r>
          </w:p>
        </w:tc>
        <w:tc>
          <w:tcPr>
            <w:tcW w:w="3340" w:type="dxa"/>
            <w:vAlign w:val="bottom"/>
            <w:tcBorders>
              <w:bottom w:val="single" w:sz="8" w:color="0F7C7F"/>
            </w:tcBorders>
            <w:gridSpan w:val="7"/>
          </w:tcPr>
          <w:p>
            <w:pPr>
              <w:spacing w:after="0"/>
              <w:rPr>
                <w:sz w:val="20"/>
                <w:szCs w:val="20"/>
                <w:color w:val="auto"/>
              </w:rPr>
            </w:pPr>
            <w:r>
              <w:rPr>
                <w:rFonts w:ascii="Arial" w:cs="Arial" w:eastAsia="Arial" w:hAnsi="Arial"/>
                <w:sz w:val="13"/>
                <w:szCs w:val="13"/>
                <w:color w:val="0F7C7F"/>
                <w:w w:val="97"/>
              </w:rPr>
              <w:t>Quantitative and Qualitative Disclosures About Market Risk</w:t>
            </w:r>
          </w:p>
        </w:tc>
        <w:tc>
          <w:tcPr>
            <w:tcW w:w="1680" w:type="dxa"/>
            <w:vAlign w:val="bottom"/>
            <w:gridSpan w:val="2"/>
          </w:tcPr>
          <w:p>
            <w:pPr>
              <w:spacing w:after="0"/>
              <w:rPr>
                <w:sz w:val="16"/>
                <w:szCs w:val="16"/>
                <w:color w:val="auto"/>
              </w:rPr>
            </w:pPr>
          </w:p>
        </w:tc>
        <w:tc>
          <w:tcPr>
            <w:tcW w:w="5480" w:type="dxa"/>
            <w:vAlign w:val="bottom"/>
            <w:gridSpan w:val="2"/>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34</w:t>
            </w:r>
          </w:p>
        </w:tc>
        <w:tc>
          <w:tcPr>
            <w:tcW w:w="40" w:type="dxa"/>
            <w:vAlign w:val="bottom"/>
          </w:tcPr>
          <w:p>
            <w:pPr>
              <w:spacing w:after="0"/>
              <w:rPr>
                <w:sz w:val="16"/>
                <w:szCs w:val="16"/>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4.</w:t>
            </w:r>
          </w:p>
        </w:tc>
        <w:tc>
          <w:tcPr>
            <w:tcW w:w="5020" w:type="dxa"/>
            <w:vAlign w:val="bottom"/>
            <w:gridSpan w:val="9"/>
          </w:tcPr>
          <w:p>
            <w:pPr>
              <w:spacing w:after="0"/>
              <w:rPr>
                <w:sz w:val="20"/>
                <w:szCs w:val="20"/>
                <w:color w:val="auto"/>
              </w:rPr>
            </w:pPr>
            <w:r>
              <w:rPr>
                <w:rFonts w:ascii="Arial" w:cs="Arial" w:eastAsia="Arial" w:hAnsi="Arial"/>
                <w:sz w:val="13"/>
                <w:szCs w:val="13"/>
                <w:color w:val="0F7C7F"/>
              </w:rPr>
              <w:t>Controls and Procedures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34</w:t>
            </w:r>
          </w:p>
        </w:tc>
        <w:tc>
          <w:tcPr>
            <w:tcW w:w="40" w:type="dxa"/>
            <w:vAlign w:val="bottom"/>
          </w:tcPr>
          <w:p>
            <w:pPr>
              <w:spacing w:after="0"/>
              <w:rPr>
                <w:sz w:val="16"/>
                <w:szCs w:val="16"/>
                <w:color w:val="auto"/>
              </w:rPr>
            </w:pPr>
          </w:p>
        </w:tc>
      </w:tr>
      <w:tr>
        <w:trPr>
          <w:trHeight w:val="228"/>
        </w:trPr>
        <w:tc>
          <w:tcPr>
            <w:tcW w:w="600" w:type="dxa"/>
            <w:vAlign w:val="bottom"/>
          </w:tcPr>
          <w:p>
            <w:pPr>
              <w:spacing w:after="0"/>
              <w:rPr>
                <w:sz w:val="19"/>
                <w:szCs w:val="19"/>
                <w:color w:val="auto"/>
              </w:rPr>
            </w:pPr>
          </w:p>
        </w:tc>
        <w:tc>
          <w:tcPr>
            <w:tcW w:w="440" w:type="dxa"/>
            <w:vAlign w:val="bottom"/>
            <w:tcBorders>
              <w:top w:val="single" w:sz="8" w:color="0F7C7F"/>
            </w:tcBorders>
          </w:tcPr>
          <w:p>
            <w:pPr>
              <w:spacing w:after="0"/>
              <w:rPr>
                <w:sz w:val="19"/>
                <w:szCs w:val="19"/>
                <w:color w:val="auto"/>
              </w:rPr>
            </w:pPr>
          </w:p>
        </w:tc>
        <w:tc>
          <w:tcPr>
            <w:tcW w:w="180" w:type="dxa"/>
            <w:vAlign w:val="bottom"/>
            <w:tcBorders>
              <w:top w:val="single" w:sz="8" w:color="0F7C7F"/>
            </w:tcBorders>
          </w:tcPr>
          <w:p>
            <w:pPr>
              <w:spacing w:after="0"/>
              <w:rPr>
                <w:sz w:val="19"/>
                <w:szCs w:val="19"/>
                <w:color w:val="auto"/>
              </w:rPr>
            </w:pPr>
          </w:p>
        </w:tc>
        <w:tc>
          <w:tcPr>
            <w:tcW w:w="80" w:type="dxa"/>
            <w:vAlign w:val="bottom"/>
            <w:tcBorders>
              <w:top w:val="single" w:sz="8" w:color="0F7C7F"/>
            </w:tcBorders>
          </w:tcPr>
          <w:p>
            <w:pPr>
              <w:spacing w:after="0"/>
              <w:rPr>
                <w:sz w:val="19"/>
                <w:szCs w:val="19"/>
                <w:color w:val="auto"/>
              </w:rPr>
            </w:pPr>
          </w:p>
        </w:tc>
        <w:tc>
          <w:tcPr>
            <w:tcW w:w="360" w:type="dxa"/>
            <w:vAlign w:val="bottom"/>
            <w:tcBorders>
              <w:top w:val="single" w:sz="8" w:color="0F7C7F"/>
            </w:tcBorders>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220" w:type="dxa"/>
            <w:vAlign w:val="bottom"/>
            <w:tcBorders>
              <w:top w:val="single" w:sz="8" w:color="0F7C7F"/>
            </w:tcBorders>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center"/>
              <w:ind w:right="636"/>
              <w:spacing w:after="0"/>
              <w:rPr>
                <w:sz w:val="20"/>
                <w:szCs w:val="20"/>
                <w:color w:val="auto"/>
              </w:rPr>
            </w:pPr>
            <w:r>
              <w:rPr>
                <w:rFonts w:ascii="Arial" w:cs="Arial" w:eastAsia="Arial" w:hAnsi="Arial"/>
                <w:sz w:val="13"/>
                <w:szCs w:val="13"/>
                <w:b w:val="1"/>
                <w:bCs w:val="1"/>
                <w:color w:val="auto"/>
                <w:w w:val="95"/>
              </w:rPr>
              <w:t>PART II</w:t>
            </w:r>
          </w:p>
        </w:tc>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40" w:type="dxa"/>
            <w:vAlign w:val="bottom"/>
          </w:tcPr>
          <w:p>
            <w:pPr>
              <w:spacing w:after="0"/>
              <w:rPr>
                <w:sz w:val="19"/>
                <w:szCs w:val="19"/>
                <w:color w:val="auto"/>
              </w:rPr>
            </w:pPr>
          </w:p>
        </w:tc>
      </w:tr>
      <w:tr>
        <w:trPr>
          <w:trHeight w:val="177"/>
        </w:trPr>
        <w:tc>
          <w:tcPr>
            <w:tcW w:w="600" w:type="dxa"/>
            <w:vAlign w:val="bottom"/>
          </w:tcPr>
          <w:p>
            <w:pPr>
              <w:ind w:left="20"/>
              <w:spacing w:after="0"/>
              <w:rPr>
                <w:sz w:val="20"/>
                <w:szCs w:val="20"/>
                <w:color w:val="auto"/>
              </w:rPr>
            </w:pPr>
            <w:r>
              <w:rPr>
                <w:rFonts w:ascii="Arial" w:cs="Arial" w:eastAsia="Arial" w:hAnsi="Arial"/>
                <w:sz w:val="13"/>
                <w:szCs w:val="13"/>
                <w:color w:val="auto"/>
              </w:rPr>
              <w:t>1.</w:t>
            </w:r>
          </w:p>
        </w:tc>
        <w:tc>
          <w:tcPr>
            <w:tcW w:w="1060" w:type="dxa"/>
            <w:vAlign w:val="bottom"/>
            <w:tcBorders>
              <w:bottom w:val="single" w:sz="8" w:color="0F7C7F"/>
            </w:tcBorders>
            <w:gridSpan w:val="4"/>
          </w:tcPr>
          <w:p>
            <w:pPr>
              <w:spacing w:after="0"/>
              <w:rPr>
                <w:sz w:val="20"/>
                <w:szCs w:val="20"/>
                <w:color w:val="auto"/>
              </w:rPr>
            </w:pPr>
            <w:r>
              <w:rPr>
                <w:rFonts w:ascii="Arial" w:cs="Arial" w:eastAsia="Arial" w:hAnsi="Arial"/>
                <w:sz w:val="13"/>
                <w:szCs w:val="13"/>
                <w:color w:val="0F7C7F"/>
                <w:w w:val="96"/>
              </w:rPr>
              <w:t>Legal Proceedings</w:t>
            </w:r>
          </w:p>
        </w:tc>
        <w:tc>
          <w:tcPr>
            <w:tcW w:w="3960" w:type="dxa"/>
            <w:vAlign w:val="bottom"/>
            <w:gridSpan w:val="5"/>
          </w:tcPr>
          <w:p>
            <w:pPr>
              <w:spacing w:after="0"/>
              <w:rPr>
                <w:sz w:val="15"/>
                <w:szCs w:val="15"/>
                <w:color w:val="auto"/>
              </w:rPr>
            </w:pPr>
          </w:p>
        </w:tc>
        <w:tc>
          <w:tcPr>
            <w:tcW w:w="5480" w:type="dxa"/>
            <w:vAlign w:val="bottom"/>
            <w:gridSpan w:val="2"/>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34</w:t>
            </w:r>
          </w:p>
        </w:tc>
        <w:tc>
          <w:tcPr>
            <w:tcW w:w="40" w:type="dxa"/>
            <w:vAlign w:val="bottom"/>
          </w:tcPr>
          <w:p>
            <w:pPr>
              <w:spacing w:after="0"/>
              <w:rPr>
                <w:sz w:val="15"/>
                <w:szCs w:val="15"/>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1A.</w:t>
            </w:r>
          </w:p>
        </w:tc>
        <w:tc>
          <w:tcPr>
            <w:tcW w:w="5020" w:type="dxa"/>
            <w:vAlign w:val="bottom"/>
            <w:gridSpan w:val="9"/>
          </w:tcPr>
          <w:p>
            <w:pPr>
              <w:spacing w:after="0"/>
              <w:rPr>
                <w:sz w:val="20"/>
                <w:szCs w:val="20"/>
                <w:color w:val="auto"/>
              </w:rPr>
            </w:pPr>
            <w:r>
              <w:rPr>
                <w:rFonts w:ascii="Arial" w:cs="Arial" w:eastAsia="Arial" w:hAnsi="Arial"/>
                <w:sz w:val="13"/>
                <w:szCs w:val="13"/>
                <w:color w:val="0F7C7F"/>
              </w:rPr>
              <w:t>Risk Factors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34</w:t>
            </w:r>
          </w:p>
        </w:tc>
        <w:tc>
          <w:tcPr>
            <w:tcW w:w="4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2.</w:t>
            </w:r>
          </w:p>
        </w:tc>
        <w:tc>
          <w:tcPr>
            <w:tcW w:w="3440" w:type="dxa"/>
            <w:vAlign w:val="bottom"/>
            <w:tcBorders>
              <w:bottom w:val="single" w:sz="8" w:color="0F7C7F"/>
            </w:tcBorders>
            <w:gridSpan w:val="8"/>
          </w:tcPr>
          <w:p>
            <w:pPr>
              <w:spacing w:after="0"/>
              <w:rPr>
                <w:sz w:val="20"/>
                <w:szCs w:val="20"/>
                <w:color w:val="auto"/>
              </w:rPr>
            </w:pPr>
            <w:r>
              <w:rPr>
                <w:rFonts w:ascii="Arial" w:cs="Arial" w:eastAsia="Arial" w:hAnsi="Arial"/>
                <w:sz w:val="13"/>
                <w:szCs w:val="13"/>
                <w:color w:val="0F7C7F"/>
                <w:w w:val="97"/>
              </w:rPr>
              <w:t>Unregistered Sales of Equity Securities and Use of Proceeds</w:t>
            </w:r>
          </w:p>
        </w:tc>
        <w:tc>
          <w:tcPr>
            <w:tcW w:w="1580" w:type="dxa"/>
            <w:vAlign w:val="bottom"/>
          </w:tcPr>
          <w:p>
            <w:pPr>
              <w:spacing w:after="0"/>
              <w:rPr>
                <w:sz w:val="16"/>
                <w:szCs w:val="16"/>
                <w:color w:val="auto"/>
              </w:rPr>
            </w:pPr>
          </w:p>
        </w:tc>
        <w:tc>
          <w:tcPr>
            <w:tcW w:w="5480" w:type="dxa"/>
            <w:vAlign w:val="bottom"/>
            <w:gridSpan w:val="2"/>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35</w:t>
            </w:r>
          </w:p>
        </w:tc>
        <w:tc>
          <w:tcPr>
            <w:tcW w:w="40" w:type="dxa"/>
            <w:vAlign w:val="bottom"/>
          </w:tcPr>
          <w:p>
            <w:pPr>
              <w:spacing w:after="0"/>
              <w:rPr>
                <w:sz w:val="16"/>
                <w:szCs w:val="16"/>
                <w:color w:val="auto"/>
              </w:rPr>
            </w:pPr>
          </w:p>
        </w:tc>
      </w:tr>
      <w:tr>
        <w:trPr>
          <w:trHeight w:val="222"/>
        </w:trPr>
        <w:tc>
          <w:tcPr>
            <w:tcW w:w="600" w:type="dxa"/>
            <w:vAlign w:val="bottom"/>
          </w:tcPr>
          <w:p>
            <w:pPr>
              <w:ind w:left="20"/>
              <w:spacing w:after="0"/>
              <w:rPr>
                <w:sz w:val="20"/>
                <w:szCs w:val="20"/>
                <w:color w:val="auto"/>
              </w:rPr>
            </w:pPr>
            <w:r>
              <w:rPr>
                <w:rFonts w:ascii="Arial" w:cs="Arial" w:eastAsia="Arial" w:hAnsi="Arial"/>
                <w:sz w:val="13"/>
                <w:szCs w:val="13"/>
                <w:color w:val="auto"/>
              </w:rPr>
              <w:t>3.</w:t>
            </w:r>
          </w:p>
        </w:tc>
        <w:tc>
          <w:tcPr>
            <w:tcW w:w="5020" w:type="dxa"/>
            <w:vAlign w:val="bottom"/>
            <w:gridSpan w:val="9"/>
          </w:tcPr>
          <w:p>
            <w:pPr>
              <w:spacing w:after="0"/>
              <w:rPr>
                <w:sz w:val="20"/>
                <w:szCs w:val="20"/>
                <w:color w:val="auto"/>
              </w:rPr>
            </w:pPr>
            <w:r>
              <w:rPr>
                <w:rFonts w:ascii="Arial" w:cs="Arial" w:eastAsia="Arial" w:hAnsi="Arial"/>
                <w:sz w:val="13"/>
                <w:szCs w:val="13"/>
                <w:color w:val="auto"/>
              </w:rPr>
              <w:t>Defaults Upon Senior Securities</w:t>
            </w:r>
          </w:p>
        </w:tc>
        <w:tc>
          <w:tcPr>
            <w:tcW w:w="5660" w:type="dxa"/>
            <w:vAlign w:val="bottom"/>
            <w:gridSpan w:val="4"/>
          </w:tcPr>
          <w:p>
            <w:pPr>
              <w:jc w:val="right"/>
              <w:ind w:right="40"/>
              <w:spacing w:after="0"/>
              <w:rPr>
                <w:sz w:val="20"/>
                <w:szCs w:val="20"/>
                <w:color w:val="auto"/>
              </w:rPr>
            </w:pPr>
            <w:r>
              <w:rPr>
                <w:rFonts w:ascii="Arial" w:cs="Arial" w:eastAsia="Arial" w:hAnsi="Arial"/>
                <w:sz w:val="13"/>
                <w:szCs w:val="13"/>
                <w:color w:val="auto"/>
              </w:rPr>
              <w:t>Not Applicable.</w:t>
            </w:r>
          </w:p>
        </w:tc>
      </w:tr>
      <w:tr>
        <w:trPr>
          <w:trHeight w:val="212"/>
        </w:trPr>
        <w:tc>
          <w:tcPr>
            <w:tcW w:w="600" w:type="dxa"/>
            <w:vAlign w:val="bottom"/>
          </w:tcPr>
          <w:p>
            <w:pPr>
              <w:ind w:left="20"/>
              <w:spacing w:after="0"/>
              <w:rPr>
                <w:sz w:val="20"/>
                <w:szCs w:val="20"/>
                <w:color w:val="auto"/>
              </w:rPr>
            </w:pPr>
            <w:r>
              <w:rPr>
                <w:rFonts w:ascii="Arial" w:cs="Arial" w:eastAsia="Arial" w:hAnsi="Arial"/>
                <w:sz w:val="13"/>
                <w:szCs w:val="13"/>
                <w:color w:val="auto"/>
              </w:rPr>
              <w:t>4.</w:t>
            </w:r>
          </w:p>
        </w:tc>
        <w:tc>
          <w:tcPr>
            <w:tcW w:w="5020" w:type="dxa"/>
            <w:vAlign w:val="bottom"/>
            <w:gridSpan w:val="9"/>
          </w:tcPr>
          <w:p>
            <w:pPr>
              <w:spacing w:after="0"/>
              <w:rPr>
                <w:sz w:val="20"/>
                <w:szCs w:val="20"/>
                <w:color w:val="auto"/>
              </w:rPr>
            </w:pPr>
            <w:r>
              <w:rPr>
                <w:rFonts w:ascii="Arial" w:cs="Arial" w:eastAsia="Arial" w:hAnsi="Arial"/>
                <w:sz w:val="13"/>
                <w:szCs w:val="13"/>
                <w:color w:val="auto"/>
              </w:rPr>
              <w:t>Mine Safety Disclosures</w:t>
            </w:r>
          </w:p>
        </w:tc>
        <w:tc>
          <w:tcPr>
            <w:tcW w:w="5660" w:type="dxa"/>
            <w:vAlign w:val="bottom"/>
            <w:gridSpan w:val="4"/>
          </w:tcPr>
          <w:p>
            <w:pPr>
              <w:jc w:val="right"/>
              <w:ind w:right="40"/>
              <w:spacing w:after="0"/>
              <w:rPr>
                <w:sz w:val="20"/>
                <w:szCs w:val="20"/>
                <w:color w:val="auto"/>
              </w:rPr>
            </w:pPr>
            <w:r>
              <w:rPr>
                <w:rFonts w:ascii="Arial" w:cs="Arial" w:eastAsia="Arial" w:hAnsi="Arial"/>
                <w:sz w:val="13"/>
                <w:szCs w:val="13"/>
                <w:color w:val="auto"/>
              </w:rPr>
              <w:t>Not Applicable.</w:t>
            </w:r>
          </w:p>
        </w:tc>
      </w:tr>
      <w:tr>
        <w:trPr>
          <w:trHeight w:val="212"/>
        </w:trPr>
        <w:tc>
          <w:tcPr>
            <w:tcW w:w="600" w:type="dxa"/>
            <w:vAlign w:val="bottom"/>
          </w:tcPr>
          <w:p>
            <w:pPr>
              <w:ind w:left="20"/>
              <w:spacing w:after="0"/>
              <w:rPr>
                <w:sz w:val="20"/>
                <w:szCs w:val="20"/>
                <w:color w:val="auto"/>
              </w:rPr>
            </w:pPr>
            <w:r>
              <w:rPr>
                <w:rFonts w:ascii="Arial" w:cs="Arial" w:eastAsia="Arial" w:hAnsi="Arial"/>
                <w:sz w:val="13"/>
                <w:szCs w:val="13"/>
                <w:color w:val="auto"/>
              </w:rPr>
              <w:t>5.</w:t>
            </w:r>
          </w:p>
        </w:tc>
        <w:tc>
          <w:tcPr>
            <w:tcW w:w="5020" w:type="dxa"/>
            <w:vAlign w:val="bottom"/>
            <w:gridSpan w:val="9"/>
          </w:tcPr>
          <w:p>
            <w:pPr>
              <w:spacing w:after="0"/>
              <w:rPr>
                <w:sz w:val="20"/>
                <w:szCs w:val="20"/>
                <w:color w:val="auto"/>
              </w:rPr>
            </w:pPr>
            <w:r>
              <w:rPr>
                <w:rFonts w:ascii="Arial" w:cs="Arial" w:eastAsia="Arial" w:hAnsi="Arial"/>
                <w:sz w:val="13"/>
                <w:szCs w:val="13"/>
                <w:color w:val="auto"/>
              </w:rPr>
              <w:t>Other Information</w:t>
            </w:r>
          </w:p>
        </w:tc>
        <w:tc>
          <w:tcPr>
            <w:tcW w:w="5660" w:type="dxa"/>
            <w:vAlign w:val="bottom"/>
            <w:gridSpan w:val="4"/>
          </w:tcPr>
          <w:p>
            <w:pPr>
              <w:jc w:val="right"/>
              <w:ind w:right="40"/>
              <w:spacing w:after="0"/>
              <w:rPr>
                <w:sz w:val="20"/>
                <w:szCs w:val="20"/>
                <w:color w:val="auto"/>
              </w:rPr>
            </w:pPr>
            <w:r>
              <w:rPr>
                <w:rFonts w:ascii="Arial" w:cs="Arial" w:eastAsia="Arial" w:hAnsi="Arial"/>
                <w:sz w:val="13"/>
                <w:szCs w:val="13"/>
                <w:color w:val="auto"/>
              </w:rPr>
              <w:t>Not Applicable.</w:t>
            </w:r>
          </w:p>
        </w:tc>
      </w:tr>
      <w:tr>
        <w:trPr>
          <w:trHeight w:val="183"/>
        </w:trPr>
        <w:tc>
          <w:tcPr>
            <w:tcW w:w="600" w:type="dxa"/>
            <w:vAlign w:val="bottom"/>
          </w:tcPr>
          <w:p>
            <w:pPr>
              <w:ind w:left="20"/>
              <w:spacing w:after="0"/>
              <w:rPr>
                <w:sz w:val="20"/>
                <w:szCs w:val="20"/>
                <w:color w:val="auto"/>
              </w:rPr>
            </w:pPr>
            <w:r>
              <w:rPr>
                <w:rFonts w:ascii="Arial" w:cs="Arial" w:eastAsia="Arial" w:hAnsi="Arial"/>
                <w:sz w:val="13"/>
                <w:szCs w:val="13"/>
                <w:color w:val="auto"/>
              </w:rPr>
              <w:t>6.</w:t>
            </w:r>
          </w:p>
        </w:tc>
        <w:tc>
          <w:tcPr>
            <w:tcW w:w="5020" w:type="dxa"/>
            <w:vAlign w:val="bottom"/>
            <w:gridSpan w:val="9"/>
          </w:tcPr>
          <w:p>
            <w:pPr>
              <w:spacing w:after="0"/>
              <w:rPr>
                <w:sz w:val="20"/>
                <w:szCs w:val="20"/>
                <w:color w:val="auto"/>
              </w:rPr>
            </w:pPr>
            <w:r>
              <w:rPr>
                <w:rFonts w:ascii="Arial" w:cs="Arial" w:eastAsia="Arial" w:hAnsi="Arial"/>
                <w:sz w:val="13"/>
                <w:szCs w:val="13"/>
                <w:color w:val="0F7C7F"/>
              </w:rPr>
              <w:t>Exhibits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36</w:t>
            </w:r>
          </w:p>
        </w:tc>
        <w:tc>
          <w:tcPr>
            <w:tcW w:w="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5020" w:type="dxa"/>
            <w:vAlign w:val="bottom"/>
            <w:gridSpan w:val="9"/>
          </w:tcPr>
          <w:p>
            <w:pPr>
              <w:spacing w:after="0"/>
              <w:rPr>
                <w:sz w:val="20"/>
                <w:szCs w:val="20"/>
                <w:color w:val="auto"/>
              </w:rPr>
            </w:pPr>
            <w:r>
              <w:rPr>
                <w:rFonts w:ascii="Arial" w:cs="Arial" w:eastAsia="Arial" w:hAnsi="Arial"/>
                <w:sz w:val="13"/>
                <w:szCs w:val="13"/>
                <w:color w:val="0F7C7F"/>
              </w:rPr>
              <w:t>Signatures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37</w:t>
            </w:r>
          </w:p>
        </w:tc>
        <w:tc>
          <w:tcPr>
            <w:tcW w:w="40" w:type="dxa"/>
            <w:vAlign w:val="bottom"/>
          </w:tcPr>
          <w:p>
            <w:pPr>
              <w:spacing w:after="0"/>
              <w:rPr>
                <w:sz w:val="16"/>
                <w:szCs w:val="16"/>
                <w:color w:val="auto"/>
              </w:rPr>
            </w:pPr>
          </w:p>
        </w:tc>
      </w:tr>
      <w:tr>
        <w:trPr>
          <w:trHeight w:val="1223"/>
        </w:trPr>
        <w:tc>
          <w:tcPr>
            <w:tcW w:w="600" w:type="dxa"/>
            <w:vAlign w:val="bottom"/>
            <w:tcBorders>
              <w:bottom w:val="single" w:sz="8" w:color="9A9A9A"/>
            </w:tcBorders>
          </w:tcPr>
          <w:p>
            <w:pPr>
              <w:spacing w:after="0"/>
              <w:rPr>
                <w:sz w:val="24"/>
                <w:szCs w:val="24"/>
                <w:color w:val="auto"/>
              </w:rPr>
            </w:pPr>
          </w:p>
        </w:tc>
        <w:tc>
          <w:tcPr>
            <w:tcW w:w="440" w:type="dxa"/>
            <w:vAlign w:val="bottom"/>
            <w:tcBorders>
              <w:top w:val="single" w:sz="8" w:color="0F7C7F"/>
              <w:bottom w:val="single" w:sz="8" w:color="9A9A9A"/>
            </w:tcBorders>
          </w:tcPr>
          <w:p>
            <w:pPr>
              <w:spacing w:after="0"/>
              <w:rPr>
                <w:sz w:val="24"/>
                <w:szCs w:val="24"/>
                <w:color w:val="auto"/>
              </w:rPr>
            </w:pPr>
          </w:p>
        </w:tc>
        <w:tc>
          <w:tcPr>
            <w:tcW w:w="180" w:type="dxa"/>
            <w:vAlign w:val="bottom"/>
            <w:tcBorders>
              <w:top w:val="single" w:sz="8" w:color="0F7C7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880" w:type="dxa"/>
            <w:vAlign w:val="bottom"/>
          </w:tcPr>
          <w:p>
            <w:pPr>
              <w:spacing w:after="0"/>
              <w:rPr>
                <w:sz w:val="13"/>
                <w:szCs w:val="13"/>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2021</w:t>
            </w:r>
          </w:p>
        </w:tc>
      </w:tr>
      <w:tr>
        <w:trPr>
          <w:trHeight w:val="144"/>
        </w:trPr>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60" w:type="dxa"/>
            <w:vAlign w:val="bottom"/>
            <w:gridSpan w:val="6"/>
          </w:tcPr>
          <w:p>
            <w:pPr>
              <w:ind w:left="320"/>
              <w:spacing w:after="0"/>
              <w:rPr>
                <w:sz w:val="20"/>
                <w:szCs w:val="20"/>
                <w:color w:val="auto"/>
              </w:rPr>
            </w:pPr>
            <w:r>
              <w:rPr>
                <w:rFonts w:ascii="Arial" w:cs="Arial" w:eastAsia="Arial" w:hAnsi="Arial"/>
                <w:sz w:val="11"/>
                <w:szCs w:val="11"/>
                <w:b w:val="1"/>
                <w:bCs w:val="1"/>
                <w:color w:val="auto"/>
              </w:rPr>
              <w:t>(Dollars in millions, except per-share amounts)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(Unaudited)</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7,636</w:t>
            </w:r>
          </w:p>
        </w:tc>
        <w:tc>
          <w:tcPr>
            <w:tcW w:w="80" w:type="dxa"/>
            <w:vAlign w:val="bottom"/>
          </w:tcPr>
          <w:p>
            <w:pPr>
              <w:spacing w:after="0"/>
              <w:rPr>
                <w:sz w:val="14"/>
                <w:szCs w:val="14"/>
                <w:color w:val="auto"/>
              </w:rPr>
            </w:pPr>
          </w:p>
        </w:tc>
        <w:tc>
          <w:tcPr>
            <w:tcW w:w="1040" w:type="dxa"/>
            <w:vAlign w:val="bottom"/>
          </w:tcPr>
          <w:p>
            <w:pPr>
              <w:jc w:val="right"/>
              <w:ind w:right="879"/>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6,800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22,966</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19,689</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Premium tax revenue</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Investment income</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revenue</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59"/>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revenue</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7,927</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23,751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20,362</w:t>
            </w:r>
          </w:p>
        </w:tc>
      </w:tr>
      <w:tr>
        <w:trPr>
          <w:trHeight w:val="15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6,748</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6,049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20,183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17,342</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 expenses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Premium tax expenses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576</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9"/>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r>
      <w:tr>
        <w:trPr>
          <w:trHeight w:val="162"/>
        </w:trPr>
        <w:tc>
          <w:tcPr>
            <w:tcW w:w="4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7,592</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22,683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19,533</w:t>
            </w:r>
          </w:p>
        </w:tc>
      </w:tr>
      <w:tr>
        <w:trPr>
          <w:trHeight w:val="15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Operating income</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w:t>
            </w:r>
          </w:p>
        </w:tc>
      </w:tr>
      <w:tr>
        <w:trPr>
          <w:trHeight w:val="15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expenses, net:</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9"/>
        </w:trPr>
        <w:tc>
          <w:tcPr>
            <w:tcW w:w="48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Interest expense</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4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other expenses, net</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59"/>
        </w:trPr>
        <w:tc>
          <w:tcPr>
            <w:tcW w:w="48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739</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62"/>
        </w:trPr>
        <w:tc>
          <w:tcPr>
            <w:tcW w:w="48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48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Net income per share - Basic</w:t>
            </w:r>
          </w:p>
        </w:tc>
        <w:tc>
          <w:tcPr>
            <w:tcW w:w="102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9.63</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7"/>
        </w:trPr>
        <w:tc>
          <w:tcPr>
            <w:tcW w:w="488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per share - Diluted</w:t>
            </w: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COMPREHENSIVE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0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900" w:type="dxa"/>
            <w:vAlign w:val="bottom"/>
          </w:tcPr>
          <w:p>
            <w:pPr>
              <w:spacing w:after="0"/>
              <w:rPr>
                <w:sz w:val="13"/>
                <w:szCs w:val="13"/>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r>
      <w:tr>
        <w:trPr>
          <w:trHeight w:val="144"/>
        </w:trPr>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rPr>
              <w:t>(Unaudited)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0"/>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r>
      <w:tr>
        <w:trPr>
          <w:trHeight w:val="169"/>
        </w:trPr>
        <w:tc>
          <w:tcPr>
            <w:tcW w:w="49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investment loss</w:t>
            </w: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9"/>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effect of income taxes</w:t>
            </w: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160"/>
        </w:trPr>
        <w:tc>
          <w:tcPr>
            <w:tcW w:w="4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comprehensive loss, net of tax</w:t>
            </w:r>
          </w:p>
        </w:tc>
        <w:tc>
          <w:tcPr>
            <w:tcW w:w="10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2"/>
        </w:trPr>
        <w:tc>
          <w:tcPr>
            <w:tcW w:w="490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080" w:type="dxa"/>
            <w:vAlign w:val="bottom"/>
            <w:tcBorders>
              <w:bottom w:val="single" w:sz="8" w:color="auto"/>
            </w:tcBorders>
          </w:tcPr>
          <w:p>
            <w:pPr>
              <w:jc w:val="right"/>
              <w:ind w:right="92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w:t>
            </w:r>
          </w:p>
        </w:tc>
      </w:tr>
      <w:tr>
        <w:trPr>
          <w:trHeight w:val="20"/>
        </w:trPr>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BALANCE SHEETS</w:t>
      </w:r>
    </w:p>
    <w:p>
      <w:pPr>
        <w:spacing w:after="0" w:line="32" w:lineRule="exact"/>
        <w:rPr>
          <w:sz w:val="20"/>
          <w:szCs w:val="20"/>
          <w:color w:val="auto"/>
        </w:rPr>
      </w:pPr>
    </w:p>
    <w:tbl>
      <w:tblPr>
        <w:tblLayout w:type="fixed"/>
        <w:tblInd w:w="8300" w:type="dxa"/>
        <w:tblCellMar>
          <w:top w:w="0" w:type="dxa"/>
          <w:left w:w="0" w:type="dxa"/>
          <w:bottom w:w="0" w:type="dxa"/>
          <w:right w:w="0" w:type="dxa"/>
        </w:tblCellMar>
      </w:tblPr>
      <w:tr>
        <w:trPr>
          <w:trHeight w:val="126"/>
        </w:trPr>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September 30,</w:t>
            </w: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144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2021</w:t>
            </w:r>
          </w:p>
        </w:tc>
      </w:tr>
    </w:tbl>
    <w:p>
      <w:pPr>
        <w:spacing w:after="0" w:line="26" w:lineRule="exact"/>
        <w:rPr>
          <w:sz w:val="20"/>
          <w:szCs w:val="20"/>
          <w:color w:val="auto"/>
        </w:rPr>
      </w:pPr>
    </w:p>
    <w:p>
      <w:pPr>
        <w:sectPr>
          <w:pgSz w:w="11900" w:h="16838" w:orient="portrait"/>
          <w:cols w:equalWidth="0" w:num="1">
            <w:col w:w="11280"/>
          </w:cols>
          <w:pgMar w:left="300" w:top="126" w:right="31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Receivables</w:t>
      </w:r>
    </w:p>
    <w:p>
      <w:pPr>
        <w:spacing w:after="0" w:line="20" w:lineRule="exact"/>
        <w:rPr>
          <w:sz w:val="20"/>
          <w:szCs w:val="20"/>
          <w:color w:val="auto"/>
        </w:rPr>
      </w:pPr>
    </w:p>
    <w:p>
      <w:pPr>
        <w:ind w:left="180" w:right="1040" w:hanging="63"/>
        <w:spacing w:after="0" w:line="281" w:lineRule="auto"/>
        <w:rPr>
          <w:sz w:val="20"/>
          <w:szCs w:val="20"/>
          <w:color w:val="auto"/>
        </w:rPr>
      </w:pPr>
      <w:r>
        <w:rPr>
          <w:rFonts w:ascii="Arial" w:cs="Arial" w:eastAsia="Arial" w:hAnsi="Arial"/>
          <w:sz w:val="13"/>
          <w:szCs w:val="13"/>
          <w:color w:val="auto"/>
        </w:rPr>
        <w:t>Prepaid expenses and other current assets Total current assets</w:t>
      </w:r>
    </w:p>
    <w:p>
      <w:pPr>
        <w:ind w:left="20"/>
        <w:spacing w:after="0"/>
        <w:rPr>
          <w:sz w:val="20"/>
          <w:szCs w:val="20"/>
          <w:color w:val="auto"/>
        </w:rPr>
      </w:pPr>
      <w:r>
        <w:rPr>
          <w:rFonts w:ascii="Arial" w:cs="Arial" w:eastAsia="Arial" w:hAnsi="Arial"/>
          <w:sz w:val="12"/>
          <w:szCs w:val="12"/>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intangible assets,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Restricted investments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8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3"/>
          </w:tcPr>
          <w:p>
            <w:pPr>
              <w:jc w:val="right"/>
              <w:ind w:right="296"/>
              <w:spacing w:after="0"/>
              <w:rPr>
                <w:sz w:val="20"/>
                <w:szCs w:val="20"/>
                <w:color w:val="auto"/>
              </w:rPr>
            </w:pPr>
            <w:r>
              <w:rPr>
                <w:rFonts w:ascii="Arial" w:cs="Arial" w:eastAsia="Arial" w:hAnsi="Arial"/>
                <w:sz w:val="11"/>
                <w:szCs w:val="11"/>
                <w:b w:val="1"/>
                <w:bCs w:val="1"/>
                <w:color w:val="auto"/>
              </w:rPr>
              <w:t>(Dollars in millions,</w:t>
            </w:r>
          </w:p>
        </w:tc>
        <w:tc>
          <w:tcPr>
            <w:tcW w:w="600" w:type="dxa"/>
            <w:vAlign w:val="bottom"/>
          </w:tcPr>
          <w:p>
            <w:pPr>
              <w:spacing w:after="0"/>
              <w:rPr>
                <w:sz w:val="10"/>
                <w:szCs w:val="10"/>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right"/>
              <w:ind w:right="96"/>
              <w:spacing w:after="0"/>
              <w:rPr>
                <w:sz w:val="20"/>
                <w:szCs w:val="20"/>
                <w:color w:val="auto"/>
              </w:rPr>
            </w:pPr>
            <w:r>
              <w:rPr>
                <w:rFonts w:ascii="Arial" w:cs="Arial" w:eastAsia="Arial" w:hAnsi="Arial"/>
                <w:sz w:val="11"/>
                <w:szCs w:val="11"/>
                <w:b w:val="1"/>
                <w:bCs w:val="1"/>
                <w:color w:val="auto"/>
              </w:rPr>
              <w:t>except per-share amounts)</w:t>
            </w:r>
          </w:p>
        </w:tc>
        <w:tc>
          <w:tcPr>
            <w:tcW w:w="600" w:type="dxa"/>
            <w:vAlign w:val="bottom"/>
          </w:tcPr>
          <w:p>
            <w:pPr>
              <w:spacing w:after="0"/>
              <w:rPr>
                <w:sz w:val="12"/>
                <w:szCs w:val="12"/>
                <w:color w:val="auto"/>
              </w:rPr>
            </w:pPr>
          </w:p>
        </w:tc>
      </w:tr>
      <w:tr>
        <w:trPr>
          <w:trHeight w:val="154"/>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(Unaudited)</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4"/>
        </w:trPr>
        <w:tc>
          <w:tcPr>
            <w:tcW w:w="3160" w:type="dxa"/>
            <w:vAlign w:val="bottom"/>
            <w:gridSpan w:val="2"/>
          </w:tcPr>
          <w:p>
            <w:pPr>
              <w:jc w:val="right"/>
              <w:ind w:right="2660"/>
              <w:spacing w:after="0"/>
              <w:rPr>
                <w:sz w:val="20"/>
                <w:szCs w:val="20"/>
                <w:color w:val="auto"/>
              </w:rPr>
            </w:pPr>
            <w:r>
              <w:rPr>
                <w:rFonts w:ascii="Arial" w:cs="Arial" w:eastAsia="Arial" w:hAnsi="Arial"/>
                <w:sz w:val="13"/>
                <w:szCs w:val="13"/>
                <w:b w:val="1"/>
                <w:bCs w:val="1"/>
                <w:color w:val="auto"/>
                <w:w w:val="92"/>
              </w:rPr>
              <w:t>ASSETS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34"/>
        </w:trPr>
        <w:tc>
          <w:tcPr>
            <w:tcW w:w="3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4,242</w:t>
            </w:r>
          </w:p>
        </w:tc>
        <w:tc>
          <w:tcPr>
            <w:tcW w:w="80" w:type="dxa"/>
            <w:vAlign w:val="bottom"/>
          </w:tcPr>
          <w:p>
            <w:pPr>
              <w:spacing w:after="0"/>
              <w:rPr>
                <w:sz w:val="24"/>
                <w:szCs w:val="24"/>
                <w:color w:val="auto"/>
              </w:rPr>
            </w:pPr>
          </w:p>
        </w:tc>
        <w:tc>
          <w:tcPr>
            <w:tcW w:w="84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4,438</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3,639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3,202</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2,220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2,177</w:t>
            </w:r>
          </w:p>
        </w:tc>
      </w:tr>
      <w:tr>
        <w:trPr>
          <w:trHeight w:val="171"/>
        </w:trPr>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w:t>
            </w:r>
          </w:p>
        </w:tc>
      </w:tr>
      <w:tr>
        <w:trPr>
          <w:trHeight w:val="159"/>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10,492</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10,064</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396</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1,263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1,252</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212</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71"/>
        </w:trPr>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r>
      <w:tr>
        <w:trPr>
          <w:trHeight w:val="160"/>
        </w:trPr>
        <w:tc>
          <w:tcPr>
            <w:tcW w:w="3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12,793</w:t>
            </w:r>
          </w:p>
        </w:tc>
        <w:tc>
          <w:tcPr>
            <w:tcW w:w="80" w:type="dxa"/>
            <w:vAlign w:val="bottom"/>
          </w:tcPr>
          <w:p>
            <w:pPr>
              <w:spacing w:after="0"/>
              <w:rPr>
                <w:sz w:val="13"/>
                <w:szCs w:val="13"/>
                <w:color w:val="auto"/>
              </w:rPr>
            </w:pPr>
          </w:p>
        </w:tc>
        <w:tc>
          <w:tcPr>
            <w:tcW w:w="84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12,209</w:t>
            </w:r>
          </w:p>
        </w:tc>
      </w:tr>
      <w:tr>
        <w:trPr>
          <w:trHeight w:val="20"/>
        </w:trPr>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-1441450</wp:posOffset>
            </wp:positionV>
            <wp:extent cx="7148195" cy="107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-1225550</wp:posOffset>
            </wp:positionV>
            <wp:extent cx="7148195" cy="107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-1009650</wp:posOffset>
            </wp:positionV>
            <wp:extent cx="7148195" cy="107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-794385</wp:posOffset>
            </wp:positionV>
            <wp:extent cx="7148195"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-572135</wp:posOffset>
            </wp:positionV>
            <wp:extent cx="7148195" cy="107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-356235</wp:posOffset>
            </wp:positionV>
            <wp:extent cx="7148195"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-140970</wp:posOffset>
            </wp:positionV>
            <wp:extent cx="714819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2827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114300</wp:posOffset>
            </wp:positionV>
            <wp:extent cx="7148195" cy="107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4" w:lineRule="exact"/>
        <w:rPr>
          <w:sz w:val="20"/>
          <w:szCs w:val="20"/>
          <w:color w:val="auto"/>
        </w:rPr>
      </w:pPr>
    </w:p>
    <w:p>
      <w:pPr>
        <w:sectPr>
          <w:pgSz w:w="11900" w:h="16838" w:orient="portrait"/>
          <w:cols w:equalWidth="0" w:num="2">
            <w:col w:w="3580" w:space="720"/>
            <w:col w:w="6980"/>
          </w:cols>
          <w:pgMar w:left="300" w:top="126" w:right="31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83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Medical claims and benefits payable</w:t>
            </w: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3,363</w:t>
            </w:r>
          </w:p>
        </w:tc>
        <w:tc>
          <w:tcPr>
            <w:tcW w:w="0" w:type="dxa"/>
            <w:vAlign w:val="bottom"/>
          </w:tcPr>
          <w:p>
            <w:pPr>
              <w:spacing w:after="0"/>
              <w:rPr>
                <w:sz w:val="1"/>
                <w:szCs w:val="1"/>
                <w:color w:val="auto"/>
              </w:rPr>
            </w:pPr>
          </w:p>
        </w:tc>
      </w:tr>
      <w:tr>
        <w:trPr>
          <w:trHeight w:val="169"/>
        </w:trPr>
        <w:tc>
          <w:tcPr>
            <w:tcW w:w="8300" w:type="dxa"/>
            <w:vAlign w:val="bottom"/>
          </w:tcPr>
          <w:p>
            <w:pPr>
              <w:ind w:left="120"/>
              <w:spacing w:after="0"/>
              <w:rPr>
                <w:sz w:val="20"/>
                <w:szCs w:val="20"/>
                <w:color w:val="auto"/>
              </w:rPr>
            </w:pPr>
            <w:r>
              <w:rPr>
                <w:rFonts w:ascii="Arial" w:cs="Arial" w:eastAsia="Arial" w:hAnsi="Arial"/>
                <w:sz w:val="13"/>
                <w:szCs w:val="13"/>
                <w:color w:val="auto"/>
              </w:rPr>
              <w:t>Amounts due government agencies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2,139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2,472</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 accrued liabilities and other</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Deferred revenue</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current liabilities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7,047</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liabilities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9,752</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9,579</w:t>
            </w:r>
          </w:p>
        </w:tc>
        <w:tc>
          <w:tcPr>
            <w:tcW w:w="0" w:type="dxa"/>
            <w:vAlign w:val="bottom"/>
          </w:tcPr>
          <w:p>
            <w:pPr>
              <w:spacing w:after="0"/>
              <w:rPr>
                <w:sz w:val="1"/>
                <w:szCs w:val="1"/>
                <w:color w:val="auto"/>
              </w:rPr>
            </w:pPr>
          </w:p>
        </w:tc>
      </w:tr>
      <w:tr>
        <w:trPr>
          <w:trHeight w:val="149"/>
        </w:trPr>
        <w:tc>
          <w:tcPr>
            <w:tcW w:w="8300" w:type="dxa"/>
            <w:vAlign w:val="bottom"/>
          </w:tcPr>
          <w:p>
            <w:pPr>
              <w:ind w:left="20"/>
              <w:spacing w:after="0" w:line="148" w:lineRule="exact"/>
              <w:rPr>
                <w:sz w:val="20"/>
                <w:szCs w:val="20"/>
                <w:color w:val="auto"/>
              </w:rPr>
            </w:pPr>
            <w:r>
              <w:rPr>
                <w:rFonts w:ascii="Arial" w:cs="Arial" w:eastAsia="Arial" w:hAnsi="Arial"/>
                <w:sz w:val="13"/>
                <w:szCs w:val="13"/>
                <w:color w:val="auto"/>
              </w:rPr>
              <w:t>Stockholders’ equity:</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3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Common stock, $0.001 par value, 150 million shares authorized; outstanding: 58 million shares at September 30, 2022 and December 31,</w:t>
            </w:r>
          </w:p>
        </w:tc>
        <w:tc>
          <w:tcPr>
            <w:tcW w:w="5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2021</w:t>
            </w:r>
          </w:p>
        </w:tc>
        <w:tc>
          <w:tcPr>
            <w:tcW w:w="5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120"/>
              <w:spacing w:after="0"/>
              <w:rPr>
                <w:sz w:val="20"/>
                <w:szCs w:val="20"/>
                <w:color w:val="auto"/>
              </w:rPr>
            </w:pPr>
            <w:r>
              <w:rPr>
                <w:rFonts w:ascii="Arial" w:cs="Arial" w:eastAsia="Arial" w:hAnsi="Arial"/>
                <w:sz w:val="13"/>
                <w:szCs w:val="13"/>
                <w:color w:val="auto"/>
              </w:rPr>
              <w:t>Preferred stock, $0.001 par value; 20 million shares authorized, no shares issued and outstanding</w:t>
            </w:r>
          </w:p>
        </w:tc>
        <w:tc>
          <w:tcPr>
            <w:tcW w:w="5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69"/>
        </w:trPr>
        <w:tc>
          <w:tcPr>
            <w:tcW w:w="8300" w:type="dxa"/>
            <w:vAlign w:val="bottom"/>
          </w:tcPr>
          <w:p>
            <w:pPr>
              <w:ind w:left="120"/>
              <w:spacing w:after="0"/>
              <w:rPr>
                <w:sz w:val="20"/>
                <w:szCs w:val="20"/>
                <w:color w:val="auto"/>
              </w:rPr>
            </w:pPr>
            <w:r>
              <w:rPr>
                <w:rFonts w:ascii="Arial" w:cs="Arial" w:eastAsia="Arial" w:hAnsi="Arial"/>
                <w:sz w:val="13"/>
                <w:szCs w:val="13"/>
                <w:color w:val="auto"/>
              </w:rPr>
              <w:t>Accumulated other comprehensive loss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2,399</w:t>
            </w:r>
          </w:p>
        </w:tc>
        <w:tc>
          <w:tcPr>
            <w:tcW w:w="0" w:type="dxa"/>
            <w:vAlign w:val="bottom"/>
          </w:tcPr>
          <w:p>
            <w:pPr>
              <w:spacing w:after="0"/>
              <w:rPr>
                <w:sz w:val="1"/>
                <w:szCs w:val="1"/>
                <w:color w:val="auto"/>
              </w:rPr>
            </w:pPr>
          </w:p>
        </w:tc>
      </w:tr>
      <w:tr>
        <w:trPr>
          <w:trHeight w:val="15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3,041</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2,630</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12,209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STOCKHOLDERS’ EQUITY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left="263"/>
              <w:spacing w:after="0"/>
              <w:rPr>
                <w:sz w:val="20"/>
                <w:szCs w:val="20"/>
                <w:color w:val="auto"/>
              </w:rPr>
            </w:pPr>
            <w:r>
              <w:rPr>
                <w:rFonts w:ascii="Arial" w:cs="Arial" w:eastAsia="Arial" w:hAnsi="Arial"/>
                <w:sz w:val="11"/>
                <w:szCs w:val="11"/>
                <w:b w:val="1"/>
                <w:bCs w:val="1"/>
                <w:color w:val="auto"/>
              </w:rPr>
              <w:t>Accumulated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5"/>
          </w:tcPr>
          <w:p>
            <w:pPr>
              <w:jc w:val="right"/>
              <w:spacing w:after="0" w:line="123" w:lineRule="exact"/>
              <w:rPr>
                <w:sz w:val="20"/>
                <w:szCs w:val="20"/>
                <w:color w:val="auto"/>
              </w:rPr>
            </w:pPr>
            <w:r>
              <w:rPr>
                <w:rFonts w:ascii="Arial" w:cs="Arial" w:eastAsia="Arial" w:hAnsi="Arial"/>
                <w:sz w:val="11"/>
                <w:szCs w:val="11"/>
                <w:b w:val="1"/>
                <w:bCs w:val="1"/>
                <w:color w:val="auto"/>
              </w:rPr>
              <w:t>Common Stock</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1180" w:type="dxa"/>
            <w:vAlign w:val="bottom"/>
          </w:tcPr>
          <w:p>
            <w:pPr>
              <w:jc w:val="center"/>
              <w:ind w:left="263"/>
              <w:spacing w:after="0" w:line="123" w:lineRule="exact"/>
              <w:rPr>
                <w:sz w:val="20"/>
                <w:szCs w:val="20"/>
                <w:color w:val="auto"/>
              </w:rPr>
            </w:pPr>
            <w:r>
              <w:rPr>
                <w:rFonts w:ascii="Arial" w:cs="Arial" w:eastAsia="Arial" w:hAnsi="Arial"/>
                <w:sz w:val="11"/>
                <w:szCs w:val="11"/>
                <w:b w:val="1"/>
                <w:bCs w:val="1"/>
                <w:color w:val="auto"/>
              </w:rPr>
              <w:t>Other</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jc w:val="center"/>
              <w:ind w:right="180"/>
              <w:spacing w:after="0" w:line="106"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3"/>
                <w:szCs w:val="3"/>
                <w:color w:val="auto"/>
              </w:rPr>
            </w:pPr>
          </w:p>
        </w:tc>
        <w:tc>
          <w:tcPr>
            <w:tcW w:w="1180" w:type="dxa"/>
            <w:vAlign w:val="bottom"/>
            <w:vMerge w:val="restart"/>
          </w:tcPr>
          <w:p>
            <w:pPr>
              <w:jc w:val="center"/>
              <w:ind w:left="263"/>
              <w:spacing w:after="0" w:line="106" w:lineRule="exact"/>
              <w:rPr>
                <w:sz w:val="20"/>
                <w:szCs w:val="20"/>
                <w:color w:val="auto"/>
              </w:rPr>
            </w:pPr>
            <w:r>
              <w:rPr>
                <w:rFonts w:ascii="Arial" w:cs="Arial" w:eastAsia="Arial" w:hAnsi="Arial"/>
                <w:sz w:val="11"/>
                <w:szCs w:val="11"/>
                <w:b w:val="1"/>
                <w:bCs w:val="1"/>
                <w:color w:val="auto"/>
              </w:rPr>
              <w:t>Comprehensive</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4"/>
            <w:vMerge w:val="restart"/>
          </w:tcPr>
          <w:p>
            <w:pPr>
              <w:ind w:left="140"/>
              <w:spacing w:after="0" w:line="106" w:lineRule="exact"/>
              <w:rPr>
                <w:sz w:val="20"/>
                <w:szCs w:val="20"/>
                <w:color w:val="auto"/>
              </w:rPr>
            </w:pPr>
            <w:r>
              <w:rPr>
                <w:rFonts w:ascii="Arial" w:cs="Arial" w:eastAsia="Arial" w:hAnsi="Arial"/>
                <w:sz w:val="11"/>
                <w:szCs w:val="11"/>
                <w:b w:val="1"/>
                <w:bCs w:val="1"/>
                <w:color w:val="auto"/>
              </w:rPr>
              <w:t>Retained</w:t>
            </w: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Outstanding</w:t>
            </w:r>
          </w:p>
        </w:tc>
        <w:tc>
          <w:tcPr>
            <w:tcW w:w="100" w:type="dxa"/>
            <w:vAlign w:val="bottom"/>
            <w:gridSpan w:val="2"/>
            <w:vMerge w:val="restart"/>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gridSpan w:val="2"/>
            <w:vMerge w:val="restart"/>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center"/>
              <w:ind w:left="263"/>
              <w:spacing w:after="0"/>
              <w:rPr>
                <w:sz w:val="20"/>
                <w:szCs w:val="20"/>
                <w:color w:val="auto"/>
              </w:rPr>
            </w:pPr>
            <w:r>
              <w:rPr>
                <w:rFonts w:ascii="Arial" w:cs="Arial" w:eastAsia="Arial" w:hAnsi="Arial"/>
                <w:sz w:val="11"/>
                <w:szCs w:val="11"/>
                <w:b w:val="1"/>
                <w:bCs w:val="1"/>
                <w:color w:val="auto"/>
              </w:rPr>
              <w:t>Loss</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Earnings</w:t>
            </w:r>
          </w:p>
        </w:tc>
        <w:tc>
          <w:tcPr>
            <w:tcW w:w="100" w:type="dxa"/>
            <w:vAlign w:val="bottom"/>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right"/>
              <w:ind w:right="523"/>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right"/>
              <w:ind w:right="523"/>
              <w:spacing w:after="0"/>
              <w:rPr>
                <w:sz w:val="20"/>
                <w:szCs w:val="20"/>
                <w:color w:val="auto"/>
              </w:rPr>
            </w:pPr>
            <w:r>
              <w:rPr>
                <w:rFonts w:ascii="Arial" w:cs="Arial" w:eastAsia="Arial" w:hAnsi="Arial"/>
                <w:sz w:val="11"/>
                <w:szCs w:val="11"/>
                <w:b w:val="1"/>
                <w:bCs w:val="1"/>
                <w:color w:val="auto"/>
              </w:rPr>
              <w:t>(Unaudited)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3"/>
                <w:szCs w:val="13"/>
                <w:color w:val="auto"/>
                <w:w w:val="82"/>
              </w:rPr>
              <w:t>$</w:t>
            </w: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2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 loss, net</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Share-based compensation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0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69"/>
        </w:trPr>
        <w:tc>
          <w:tcPr>
            <w:tcW w:w="3920" w:type="dxa"/>
            <w:vAlign w:val="bottom"/>
            <w:gridSpan w:val="2"/>
          </w:tcPr>
          <w:p>
            <w:pPr>
              <w:ind w:left="100"/>
              <w:spacing w:after="0"/>
              <w:rPr>
                <w:sz w:val="20"/>
                <w:szCs w:val="20"/>
                <w:color w:val="auto"/>
              </w:rPr>
            </w:pPr>
            <w:r>
              <w:rPr>
                <w:rFonts w:ascii="Arial" w:cs="Arial" w:eastAsia="Arial" w:hAnsi="Arial"/>
                <w:sz w:val="13"/>
                <w:szCs w:val="13"/>
                <w:color w:val="auto"/>
              </w:rPr>
              <w:t>Other comprehensive loss, net</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Balance at June 30, 2022</w:t>
            </w:r>
          </w:p>
        </w:tc>
        <w:tc>
          <w:tcPr>
            <w:tcW w:w="116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2,830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00"/>
              <w:spacing w:after="0"/>
              <w:rPr>
                <w:sz w:val="20"/>
                <w:szCs w:val="20"/>
                <w:color w:val="auto"/>
              </w:rPr>
            </w:pPr>
            <w:r>
              <w:rPr>
                <w:rFonts w:ascii="Arial" w:cs="Arial" w:eastAsia="Arial" w:hAnsi="Arial"/>
                <w:sz w:val="13"/>
                <w:szCs w:val="13"/>
                <w:color w:val="auto"/>
              </w:rPr>
              <w:t>Other comprehensive loss, net</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0"/>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Balance at September 30, 2022</w:t>
            </w:r>
          </w:p>
        </w:tc>
        <w:tc>
          <w:tcPr>
            <w:tcW w:w="116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jc w:val="right"/>
              <w:ind w:right="64"/>
              <w:spacing w:after="0"/>
              <w:rPr>
                <w:sz w:val="20"/>
                <w:szCs w:val="20"/>
                <w:color w:val="auto"/>
              </w:rPr>
            </w:pPr>
            <w:r>
              <w:rPr>
                <w:rFonts w:ascii="Arial" w:cs="Arial" w:eastAsia="Arial" w:hAnsi="Arial"/>
                <w:sz w:val="13"/>
                <w:szCs w:val="13"/>
                <w:color w:val="auto"/>
                <w:w w:val="82"/>
              </w:rPr>
              <w:t>$</w:t>
            </w: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289</w:t>
            </w:r>
          </w:p>
        </w:tc>
        <w:tc>
          <w:tcPr>
            <w:tcW w:w="20" w:type="dxa"/>
            <w:vAlign w:val="bottom"/>
          </w:tcPr>
          <w:p>
            <w:pPr>
              <w:spacing w:after="0"/>
              <w:rPr>
                <w:sz w:val="14"/>
                <w:szCs w:val="14"/>
                <w:color w:val="auto"/>
              </w:rPr>
            </w:pPr>
          </w:p>
        </w:tc>
        <w:tc>
          <w:tcPr>
            <w:tcW w:w="1260" w:type="dxa"/>
            <w:vAlign w:val="bottom"/>
            <w:gridSpan w:val="2"/>
          </w:tcPr>
          <w:p>
            <w:pPr>
              <w:jc w:val="right"/>
              <w:ind w:right="1023"/>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2,937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3,041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center"/>
              <w:ind w:left="243"/>
              <w:spacing w:after="0"/>
              <w:rPr>
                <w:sz w:val="20"/>
                <w:szCs w:val="20"/>
                <w:color w:val="auto"/>
              </w:rPr>
            </w:pPr>
            <w:r>
              <w:rPr>
                <w:rFonts w:ascii="Arial" w:cs="Arial" w:eastAsia="Arial" w:hAnsi="Arial"/>
                <w:sz w:val="11"/>
                <w:szCs w:val="11"/>
                <w:b w:val="1"/>
                <w:bCs w:val="1"/>
                <w:color w:val="auto"/>
              </w:rPr>
              <w:t>Accumulated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5"/>
          </w:tcPr>
          <w:p>
            <w:pPr>
              <w:jc w:val="right"/>
              <w:spacing w:after="0" w:line="123" w:lineRule="exact"/>
              <w:rPr>
                <w:sz w:val="20"/>
                <w:szCs w:val="20"/>
                <w:color w:val="auto"/>
              </w:rPr>
            </w:pPr>
            <w:r>
              <w:rPr>
                <w:rFonts w:ascii="Arial" w:cs="Arial" w:eastAsia="Arial" w:hAnsi="Arial"/>
                <w:sz w:val="11"/>
                <w:szCs w:val="11"/>
                <w:b w:val="1"/>
                <w:bCs w:val="1"/>
                <w:color w:val="auto"/>
              </w:rPr>
              <w:t>Common Stock</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1180" w:type="dxa"/>
            <w:vAlign w:val="bottom"/>
          </w:tcPr>
          <w:p>
            <w:pPr>
              <w:jc w:val="center"/>
              <w:ind w:left="263"/>
              <w:spacing w:after="0" w:line="123" w:lineRule="exact"/>
              <w:rPr>
                <w:sz w:val="20"/>
                <w:szCs w:val="20"/>
                <w:color w:val="auto"/>
              </w:rPr>
            </w:pPr>
            <w:r>
              <w:rPr>
                <w:rFonts w:ascii="Arial" w:cs="Arial" w:eastAsia="Arial" w:hAnsi="Arial"/>
                <w:sz w:val="11"/>
                <w:szCs w:val="11"/>
                <w:b w:val="1"/>
                <w:bCs w:val="1"/>
                <w:color w:val="auto"/>
              </w:rPr>
              <w:t>Other</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9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jc w:val="center"/>
              <w:ind w:right="180"/>
              <w:spacing w:after="0" w:line="106"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3"/>
                <w:szCs w:val="3"/>
                <w:color w:val="auto"/>
              </w:rPr>
            </w:pPr>
          </w:p>
        </w:tc>
        <w:tc>
          <w:tcPr>
            <w:tcW w:w="1180" w:type="dxa"/>
            <w:vAlign w:val="bottom"/>
            <w:vMerge w:val="restart"/>
          </w:tcPr>
          <w:p>
            <w:pPr>
              <w:jc w:val="center"/>
              <w:ind w:left="243"/>
              <w:spacing w:after="0" w:line="106" w:lineRule="exact"/>
              <w:rPr>
                <w:sz w:val="20"/>
                <w:szCs w:val="20"/>
                <w:color w:val="auto"/>
              </w:rPr>
            </w:pPr>
            <w:r>
              <w:rPr>
                <w:rFonts w:ascii="Arial" w:cs="Arial" w:eastAsia="Arial" w:hAnsi="Arial"/>
                <w:sz w:val="11"/>
                <w:szCs w:val="11"/>
                <w:b w:val="1"/>
                <w:bCs w:val="1"/>
                <w:color w:val="auto"/>
              </w:rPr>
              <w:t>Comprehensive</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4"/>
            <w:vMerge w:val="restart"/>
          </w:tcPr>
          <w:p>
            <w:pPr>
              <w:ind w:left="120"/>
              <w:spacing w:after="0" w:line="106" w:lineRule="exact"/>
              <w:rPr>
                <w:sz w:val="20"/>
                <w:szCs w:val="20"/>
                <w:color w:val="auto"/>
              </w:rPr>
            </w:pPr>
            <w:r>
              <w:rPr>
                <w:rFonts w:ascii="Arial" w:cs="Arial" w:eastAsia="Arial" w:hAnsi="Arial"/>
                <w:sz w:val="11"/>
                <w:szCs w:val="11"/>
                <w:b w:val="1"/>
                <w:bCs w:val="1"/>
                <w:color w:val="auto"/>
              </w:rPr>
              <w:t>Retained</w:t>
            </w: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vMerge w:val="restart"/>
          </w:tcPr>
          <w:p>
            <w:pPr>
              <w:jc w:val="right"/>
              <w:ind w:right="197"/>
              <w:spacing w:after="0"/>
              <w:rPr>
                <w:sz w:val="20"/>
                <w:szCs w:val="20"/>
                <w:color w:val="auto"/>
              </w:rPr>
            </w:pPr>
            <w:r>
              <w:rPr>
                <w:rFonts w:ascii="Arial" w:cs="Arial" w:eastAsia="Arial" w:hAnsi="Arial"/>
                <w:sz w:val="11"/>
                <w:szCs w:val="11"/>
                <w:b w:val="1"/>
                <w:bCs w:val="1"/>
                <w:color w:val="auto"/>
              </w:rPr>
              <w:t>Outstanding</w:t>
            </w:r>
          </w:p>
        </w:tc>
        <w:tc>
          <w:tcPr>
            <w:tcW w:w="1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vMerge w:val="restart"/>
          </w:tcPr>
          <w:p>
            <w:pPr>
              <w:jc w:val="right"/>
              <w:ind w:right="377"/>
              <w:spacing w:after="0"/>
              <w:rPr>
                <w:sz w:val="20"/>
                <w:szCs w:val="20"/>
                <w:color w:val="auto"/>
              </w:rPr>
            </w:pPr>
            <w:r>
              <w:rPr>
                <w:rFonts w:ascii="Arial" w:cs="Arial" w:eastAsia="Arial" w:hAnsi="Arial"/>
                <w:sz w:val="11"/>
                <w:szCs w:val="11"/>
                <w:b w:val="1"/>
                <w:bCs w:val="1"/>
                <w:color w:val="auto"/>
              </w:rPr>
              <w:t>Total</w:t>
            </w: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rPr>
              <w:t>Income (Loss)</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Earnings</w:t>
            </w:r>
          </w:p>
        </w:tc>
        <w:tc>
          <w:tcPr>
            <w:tcW w:w="1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jc w:val="right"/>
              <w:ind w:right="563"/>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right"/>
              <w:ind w:right="563"/>
              <w:spacing w:after="0"/>
              <w:rPr>
                <w:sz w:val="20"/>
                <w:szCs w:val="20"/>
                <w:color w:val="auto"/>
              </w:rPr>
            </w:pPr>
            <w:r>
              <w:rPr>
                <w:rFonts w:ascii="Arial" w:cs="Arial" w:eastAsia="Arial" w:hAnsi="Arial"/>
                <w:sz w:val="11"/>
                <w:szCs w:val="11"/>
                <w:b w:val="1"/>
                <w:bCs w:val="1"/>
                <w:color w:val="auto"/>
              </w:rPr>
              <w:t>(Unaudited)</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4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Other comprehensive loss, net</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w:t>
            </w:r>
          </w:p>
        </w:tc>
        <w:tc>
          <w:tcPr>
            <w:tcW w:w="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Balance at March 31, 2021</w:t>
            </w:r>
          </w:p>
        </w:tc>
        <w:tc>
          <w:tcPr>
            <w:tcW w:w="116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Share-based compensation</w:t>
            </w: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June 30, 2021</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 loss, net</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Share-based compensation</w:t>
            </w: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September 30, 2021</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4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CASH FLOWS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tcPr>
          <w:p>
            <w:pPr>
              <w:spacing w:after="0"/>
              <w:rPr>
                <w:sz w:val="13"/>
                <w:szCs w:val="13"/>
                <w:color w:val="auto"/>
              </w:rPr>
            </w:pPr>
          </w:p>
        </w:tc>
        <w:tc>
          <w:tcPr>
            <w:tcW w:w="262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1"/>
                <w:szCs w:val="11"/>
                <w:b w:val="1"/>
                <w:bCs w:val="1"/>
                <w:color w:val="auto"/>
              </w:rPr>
              <w:t>Nine Months Ended September 30,</w:t>
            </w:r>
          </w:p>
        </w:tc>
        <w:tc>
          <w:tcPr>
            <w:tcW w:w="540" w:type="dxa"/>
            <w:vAlign w:val="bottom"/>
            <w:tcBorders>
              <w:bottom w:val="single" w:sz="8" w:color="auto"/>
            </w:tcBorders>
          </w:tcPr>
          <w:p>
            <w:pPr>
              <w:spacing w:after="0"/>
              <w:rPr>
                <w:sz w:val="13"/>
                <w:szCs w:val="13"/>
                <w:color w:val="auto"/>
              </w:rPr>
            </w:pPr>
          </w:p>
        </w:tc>
      </w:tr>
      <w:tr>
        <w:trPr>
          <w:trHeight w:val="150"/>
        </w:trPr>
        <w:tc>
          <w:tcPr>
            <w:tcW w:w="8080" w:type="dxa"/>
            <w:vAlign w:val="bottom"/>
          </w:tcPr>
          <w:p>
            <w:pPr>
              <w:spacing w:after="0"/>
              <w:rPr>
                <w:sz w:val="13"/>
                <w:szCs w:val="1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r>
      <w:tr>
        <w:trPr>
          <w:trHeight w:val="144"/>
        </w:trPr>
        <w:tc>
          <w:tcPr>
            <w:tcW w:w="8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gridSpan w:val="3"/>
          </w:tcPr>
          <w:p>
            <w:pPr>
              <w:jc w:val="center"/>
              <w:ind w:right="399"/>
              <w:spacing w:after="0"/>
              <w:rPr>
                <w:sz w:val="20"/>
                <w:szCs w:val="20"/>
                <w:color w:val="auto"/>
              </w:rPr>
            </w:pPr>
            <w:r>
              <w:rPr>
                <w:rFonts w:ascii="Arial" w:cs="Arial" w:eastAsia="Arial" w:hAnsi="Arial"/>
                <w:sz w:val="11"/>
                <w:szCs w:val="11"/>
                <w:b w:val="1"/>
                <w:bCs w:val="1"/>
                <w:color w:val="auto"/>
              </w:rPr>
              <w:t>(In millions)</w:t>
            </w:r>
          </w:p>
        </w:tc>
        <w:tc>
          <w:tcPr>
            <w:tcW w:w="540" w:type="dxa"/>
            <w:vAlign w:val="bottom"/>
          </w:tcPr>
          <w:p>
            <w:pPr>
              <w:spacing w:after="0"/>
              <w:rPr>
                <w:sz w:val="12"/>
                <w:szCs w:val="12"/>
                <w:color w:val="auto"/>
              </w:rPr>
            </w:pPr>
          </w:p>
        </w:tc>
      </w:tr>
      <w:tr>
        <w:trPr>
          <w:trHeight w:val="144"/>
        </w:trPr>
        <w:tc>
          <w:tcPr>
            <w:tcW w:w="8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gridSpan w:val="3"/>
          </w:tcPr>
          <w:p>
            <w:pPr>
              <w:jc w:val="center"/>
              <w:ind w:right="379"/>
              <w:spacing w:after="0"/>
              <w:rPr>
                <w:sz w:val="20"/>
                <w:szCs w:val="20"/>
                <w:color w:val="auto"/>
              </w:rPr>
            </w:pPr>
            <w:r>
              <w:rPr>
                <w:rFonts w:ascii="Arial" w:cs="Arial" w:eastAsia="Arial" w:hAnsi="Arial"/>
                <w:sz w:val="11"/>
                <w:szCs w:val="11"/>
                <w:b w:val="1"/>
                <w:bCs w:val="1"/>
                <w:color w:val="auto"/>
              </w:rPr>
              <w:t>(Unaudited)</w:t>
            </w:r>
          </w:p>
        </w:tc>
        <w:tc>
          <w:tcPr>
            <w:tcW w:w="540" w:type="dxa"/>
            <w:vAlign w:val="bottom"/>
          </w:tcPr>
          <w:p>
            <w:pPr>
              <w:spacing w:after="0"/>
              <w:rPr>
                <w:sz w:val="12"/>
                <w:szCs w:val="12"/>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9"/>
        </w:trPr>
        <w:tc>
          <w:tcPr>
            <w:tcW w:w="8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tcPr>
          <w:p>
            <w:pPr>
              <w:jc w:val="right"/>
              <w:ind w:right="8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14"/>
                <w:szCs w:val="14"/>
                <w:color w:val="auto"/>
              </w:rPr>
            </w:pPr>
          </w:p>
        </w:tc>
        <w:tc>
          <w:tcPr>
            <w:tcW w:w="980" w:type="dxa"/>
            <w:vAlign w:val="bottom"/>
          </w:tcPr>
          <w:p>
            <w:pPr>
              <w:jc w:val="right"/>
              <w:ind w:right="839"/>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556</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Share-based compensation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Receivables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r>
      <w:tr>
        <w:trPr>
          <w:trHeight w:val="169"/>
        </w:trPr>
        <w:tc>
          <w:tcPr>
            <w:tcW w:w="8080" w:type="dxa"/>
            <w:vAlign w:val="bottom"/>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Medical claims and benefits payable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r>
      <w:tr>
        <w:trPr>
          <w:trHeight w:val="169"/>
        </w:trPr>
        <w:tc>
          <w:tcPr>
            <w:tcW w:w="8080" w:type="dxa"/>
            <w:vAlign w:val="bottom"/>
          </w:tcPr>
          <w:p>
            <w:pPr>
              <w:ind w:left="180"/>
              <w:spacing w:after="0"/>
              <w:rPr>
                <w:sz w:val="20"/>
                <w:szCs w:val="20"/>
                <w:color w:val="auto"/>
              </w:rPr>
            </w:pPr>
            <w:r>
              <w:rPr>
                <w:rFonts w:ascii="Arial" w:cs="Arial" w:eastAsia="Arial" w:hAnsi="Arial"/>
                <w:sz w:val="13"/>
                <w:szCs w:val="13"/>
                <w:color w:val="auto"/>
              </w:rPr>
              <w:t>Amounts due government agencies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810</w:t>
            </w: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accrued liabilities and other</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69"/>
        </w:trPr>
        <w:tc>
          <w:tcPr>
            <w:tcW w:w="808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(374)</w:t>
            </w: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59"/>
        </w:trPr>
        <w:tc>
          <w:tcPr>
            <w:tcW w:w="8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cash provided by operating activities</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1,522</w:t>
            </w:r>
          </w:p>
        </w:tc>
      </w:tr>
      <w:tr>
        <w:trPr>
          <w:trHeight w:val="15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Investing activities:</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Purchases of investments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(1,764)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(2,018)</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and maturities of investments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Net cash paid in business combinations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property, equipment and capitalized software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69"/>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62"/>
        </w:trPr>
        <w:tc>
          <w:tcPr>
            <w:tcW w:w="8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used in investing activities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(1,106)</w:t>
            </w:r>
          </w:p>
        </w:tc>
      </w:tr>
      <w:tr>
        <w:trPr>
          <w:trHeight w:val="149"/>
        </w:trPr>
        <w:tc>
          <w:tcPr>
            <w:tcW w:w="8080" w:type="dxa"/>
            <w:vAlign w:val="bottom"/>
          </w:tcPr>
          <w:p>
            <w:pPr>
              <w:ind w:left="20"/>
              <w:spacing w:after="0" w:line="148" w:lineRule="exact"/>
              <w:rPr>
                <w:sz w:val="20"/>
                <w:szCs w:val="20"/>
                <w:color w:val="auto"/>
              </w:rPr>
            </w:pPr>
            <w:r>
              <w:rPr>
                <w:rFonts w:ascii="Arial" w:cs="Arial" w:eastAsia="Arial" w:hAnsi="Arial"/>
                <w:sz w:val="13"/>
                <w:szCs w:val="13"/>
                <w:color w:val="auto"/>
              </w:rPr>
              <w:t>Financing activities:</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 purchases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Common stock withheld to settle employee tax obligations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Contingent consideration liabilities settled</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8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r>
      <w:tr>
        <w:trPr>
          <w:trHeight w:val="159"/>
        </w:trPr>
        <w:tc>
          <w:tcPr>
            <w:tcW w:w="8080" w:type="dxa"/>
            <w:vAlign w:val="bottom"/>
          </w:tcPr>
          <w:p>
            <w:pPr>
              <w:ind w:left="40"/>
              <w:spacing w:after="0"/>
              <w:rPr>
                <w:sz w:val="20"/>
                <w:szCs w:val="20"/>
                <w:color w:val="auto"/>
              </w:rPr>
            </w:pPr>
            <w:r>
              <w:rPr>
                <w:rFonts w:ascii="Arial" w:cs="Arial" w:eastAsia="Arial" w:hAnsi="Arial"/>
                <w:sz w:val="13"/>
                <w:szCs w:val="13"/>
                <w:color w:val="auto"/>
              </w:rPr>
              <w:t>Net (decrease) increase in cash, cash equivalents, and restricted cash and cash equivalents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212</w:t>
            </w: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and cash equivalents at beginning of period</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4,223</w:t>
            </w:r>
          </w:p>
        </w:tc>
      </w:tr>
      <w:tr>
        <w:trPr>
          <w:trHeight w:val="162"/>
        </w:trPr>
        <w:tc>
          <w:tcPr>
            <w:tcW w:w="808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and cash equivalents at end of period</w:t>
            </w:r>
          </w:p>
        </w:tc>
        <w:tc>
          <w:tcPr>
            <w:tcW w:w="10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4,295</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4,435</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NOTES TO CONSOLIDATED FINANCIAL STATEMENTS (UNAUDITED)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828282"/>
        </w:rPr>
        <w:t>SEPTEMBER 30, 2022</w:t>
      </w:r>
    </w:p>
    <w:p>
      <w:pPr>
        <w:spacing w:after="0" w:line="285" w:lineRule="exact"/>
        <w:rPr>
          <w:sz w:val="20"/>
          <w:szCs w:val="20"/>
          <w:color w:val="auto"/>
        </w:rPr>
      </w:pPr>
    </w:p>
    <w:p>
      <w:pPr>
        <w:ind w:left="160" w:hanging="155"/>
        <w:spacing w:after="0"/>
        <w:tabs>
          <w:tab w:leader="none" w:pos="160" w:val="left"/>
        </w:tabs>
        <w:numPr>
          <w:ilvl w:val="0"/>
          <w:numId w:val="3"/>
        </w:numPr>
        <w:rPr>
          <w:rFonts w:ascii="Arial" w:cs="Arial" w:eastAsia="Arial" w:hAnsi="Arial"/>
          <w:sz w:val="14"/>
          <w:szCs w:val="14"/>
          <w:color w:val="828282"/>
        </w:rPr>
      </w:pPr>
      <w:r>
        <w:rPr>
          <w:rFonts w:ascii="Arial" w:cs="Arial" w:eastAsia="Arial" w:hAnsi="Arial"/>
          <w:sz w:val="14"/>
          <w:szCs w:val="14"/>
          <w:color w:val="828282"/>
        </w:rPr>
        <w:t>Organization and Basis of Presentation</w:t>
      </w:r>
    </w:p>
    <w:p>
      <w:pPr>
        <w:spacing w:after="0" w:line="95" w:lineRule="exact"/>
        <w:rPr>
          <w:rFonts w:ascii="Arial" w:cs="Arial" w:eastAsia="Arial" w:hAnsi="Arial"/>
          <w:sz w:val="14"/>
          <w:szCs w:val="14"/>
          <w:color w:val="828282"/>
        </w:rPr>
      </w:pPr>
    </w:p>
    <w:p>
      <w:pPr>
        <w:spacing w:after="0"/>
        <w:rPr>
          <w:rFonts w:ascii="Arial" w:cs="Arial" w:eastAsia="Arial" w:hAnsi="Arial"/>
          <w:sz w:val="14"/>
          <w:szCs w:val="14"/>
          <w:color w:val="828282"/>
        </w:rPr>
      </w:pPr>
      <w:r>
        <w:rPr>
          <w:rFonts w:ascii="Arial" w:cs="Arial" w:eastAsia="Arial" w:hAnsi="Arial"/>
          <w:sz w:val="14"/>
          <w:szCs w:val="14"/>
          <w:b w:val="1"/>
          <w:bCs w:val="1"/>
          <w:i w:val="1"/>
          <w:iCs w:val="1"/>
          <w:color w:val="auto"/>
        </w:rPr>
        <w:t>Organization and Operations</w:t>
      </w:r>
    </w:p>
    <w:p>
      <w:pPr>
        <w:spacing w:after="0" w:line="92"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2022, we served approximately 5.2 million members eligible for government-sponsored healthcare programs, located across 19 states.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49"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2"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i w:val="1"/>
          <w:iCs w:val="1"/>
          <w:color w:val="auto"/>
        </w:rPr>
        <w:t xml:space="preserve">New York Acquisition—Medicaid. </w:t>
      </w:r>
      <w:r>
        <w:rPr>
          <w:rFonts w:ascii="Arial" w:cs="Arial" w:eastAsia="Arial" w:hAnsi="Arial"/>
          <w:sz w:val="14"/>
          <w:szCs w:val="14"/>
          <w:color w:val="auto"/>
        </w:rPr>
        <w:t>On October 1, 2022, we closed on our acquisition of the Medicaid Managed Long Term Care business of AgeWell New York. See Note 4,</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Combinations,” for further information.</w:t>
      </w:r>
    </w:p>
    <w:p>
      <w:pPr>
        <w:spacing w:after="0" w:line="35"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i w:val="1"/>
          <w:iCs w:val="1"/>
          <w:color w:val="auto"/>
        </w:rPr>
        <w:t xml:space="preserve">Nebraska Procurement—Medicaid. </w:t>
      </w:r>
      <w:r>
        <w:rPr>
          <w:rFonts w:ascii="Arial" w:cs="Arial" w:eastAsia="Arial" w:hAnsi="Arial"/>
          <w:sz w:val="14"/>
          <w:szCs w:val="14"/>
          <w:color w:val="auto"/>
        </w:rPr>
        <w:t>In September 2022, we announced that our Nebraska health plan had been selected by the Nebraska Department of Health and Human</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(DHHS) to provide health care services to Nebraskans under the state’s Medicaid managed care program. The new five-year contract is expected to begin on January 1, 2024, and may be extended for an additional two-years.</w:t>
      </w:r>
    </w:p>
    <w:p>
      <w:pPr>
        <w:spacing w:after="0" w:line="4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i w:val="1"/>
          <w:iCs w:val="1"/>
          <w:color w:val="auto"/>
        </w:rPr>
        <w:t xml:space="preserve">Iowa Procurement—Medicaid. </w:t>
      </w:r>
      <w:r>
        <w:rPr>
          <w:rFonts w:ascii="Arial" w:cs="Arial" w:eastAsia="Arial" w:hAnsi="Arial"/>
          <w:sz w:val="14"/>
          <w:szCs w:val="14"/>
          <w:color w:val="auto"/>
        </w:rPr>
        <w:t>In August 2022, we announced that our Iowa health plan had been notified by the Iowa Department of Health and Human Services (HHS) of its intent</w:t>
      </w:r>
      <w:r>
        <w:rPr>
          <w:rFonts w:ascii="Arial" w:cs="Arial" w:eastAsia="Arial" w:hAnsi="Arial"/>
          <w:sz w:val="14"/>
          <w:szCs w:val="14"/>
          <w:i w:val="1"/>
          <w:iCs w:val="1"/>
          <w:color w:val="auto"/>
        </w:rPr>
        <w:t xml:space="preserve"> </w:t>
      </w:r>
      <w:r>
        <w:rPr>
          <w:rFonts w:ascii="Arial" w:cs="Arial" w:eastAsia="Arial" w:hAnsi="Arial"/>
          <w:sz w:val="14"/>
          <w:szCs w:val="14"/>
          <w:color w:val="auto"/>
        </w:rPr>
        <w:t>to award a Medicaid managed care contract pursuant to the Request for Proposal issued by HHS on February 17, 2022. The new four-year contract is expected to begin on July 1, 2023, and may be extended for an additional four years.</w:t>
      </w:r>
    </w:p>
    <w:p>
      <w:pPr>
        <w:spacing w:after="0" w:line="4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i w:val="1"/>
          <w:iCs w:val="1"/>
          <w:color w:val="auto"/>
        </w:rPr>
        <w:t xml:space="preserve">California Procurement—Medicaid. </w:t>
      </w:r>
      <w:r>
        <w:rPr>
          <w:rFonts w:ascii="Arial" w:cs="Arial" w:eastAsia="Arial" w:hAnsi="Arial"/>
          <w:sz w:val="14"/>
          <w:szCs w:val="14"/>
          <w:color w:val="auto"/>
        </w:rPr>
        <w:t>In August 2022, we announced that our California health plan had been notified by the California Department of Health Care Services of its</w:t>
      </w:r>
      <w:r>
        <w:rPr>
          <w:rFonts w:ascii="Arial" w:cs="Arial" w:eastAsia="Arial" w:hAnsi="Arial"/>
          <w:sz w:val="14"/>
          <w:szCs w:val="14"/>
          <w:i w:val="1"/>
          <w:iCs w:val="1"/>
          <w:color w:val="auto"/>
        </w:rPr>
        <w:t xml:space="preserve"> </w:t>
      </w:r>
      <w:r>
        <w:rPr>
          <w:rFonts w:ascii="Arial" w:cs="Arial" w:eastAsia="Arial" w:hAnsi="Arial"/>
          <w:sz w:val="14"/>
          <w:szCs w:val="14"/>
          <w:color w:val="auto"/>
        </w:rPr>
        <w:t>intent to award a Medi-Cal contract in each of Los Angeles, Riverside, San Bernardino, Sacramento, and San Diego Counties. The five Medi-Cal contracts are expected to commence on January 1, 2024, which enables us to continue serving Medi-Cal members in our existing counties and expand footprint with the addition of the Los Angeles County contract.</w:t>
      </w:r>
    </w:p>
    <w:p>
      <w:pPr>
        <w:spacing w:after="0" w:line="5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i w:val="1"/>
          <w:iCs w:val="1"/>
          <w:color w:val="auto"/>
        </w:rPr>
        <w:t xml:space="preserve">Mississippi Procurement—Medicaid. </w:t>
      </w:r>
      <w:r>
        <w:rPr>
          <w:rFonts w:ascii="Arial" w:cs="Arial" w:eastAsia="Arial" w:hAnsi="Arial"/>
          <w:sz w:val="14"/>
          <w:szCs w:val="14"/>
          <w:color w:val="auto"/>
        </w:rPr>
        <w:t>In August 2022, we announced that our Mississippi health plan had been notified by the Mississippi Division of Medicaid (DOM) of its intent to</w:t>
      </w:r>
      <w:r>
        <w:rPr>
          <w:rFonts w:ascii="Arial" w:cs="Arial" w:eastAsia="Arial" w:hAnsi="Arial"/>
          <w:sz w:val="14"/>
          <w:szCs w:val="14"/>
          <w:i w:val="1"/>
          <w:iCs w:val="1"/>
          <w:color w:val="auto"/>
        </w:rPr>
        <w:t xml:space="preserve"> </w:t>
      </w:r>
      <w:r>
        <w:rPr>
          <w:rFonts w:ascii="Arial" w:cs="Arial" w:eastAsia="Arial" w:hAnsi="Arial"/>
          <w:sz w:val="14"/>
          <w:szCs w:val="14"/>
          <w:color w:val="auto"/>
        </w:rPr>
        <w:t>award a Medicaid Coordinated Care Contract for its Mississippi Coordinated Access Program and Mississippi Children’s Health Insurance Program pursuant to the Request for Qualifications issued by DOM on December 10, 2021. The four-year contract is expected to begin on July 1, 2023, and may be extended for an additional two years. The award enables us to continue serving Medicaid members across the state.</w:t>
      </w:r>
    </w:p>
    <w:p>
      <w:pPr>
        <w:spacing w:after="0" w:line="53"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i w:val="1"/>
          <w:iCs w:val="1"/>
          <w:color w:val="auto"/>
        </w:rPr>
        <w:t xml:space="preserve">Wisconsin Acquisition — Medicaid and Medicare. </w:t>
      </w:r>
      <w:r>
        <w:rPr>
          <w:rFonts w:ascii="Arial" w:cs="Arial" w:eastAsia="Arial" w:hAnsi="Arial"/>
          <w:sz w:val="14"/>
          <w:szCs w:val="14"/>
          <w:color w:val="auto"/>
        </w:rPr>
        <w:t>On July 13, 2022, we announced a definitive agreement to acquire substantially all the assets of My Choice Wisconsin (“MCW”).</w:t>
      </w:r>
      <w:r>
        <w:rPr>
          <w:rFonts w:ascii="Arial" w:cs="Arial" w:eastAsia="Arial" w:hAnsi="Arial"/>
          <w:sz w:val="14"/>
          <w:szCs w:val="14"/>
          <w:i w:val="1"/>
          <w:iCs w:val="1"/>
          <w:color w:val="auto"/>
        </w:rPr>
        <w:t xml:space="preserve"> </w:t>
      </w:r>
      <w:r>
        <w:rPr>
          <w:rFonts w:ascii="Arial" w:cs="Arial" w:eastAsia="Arial" w:hAnsi="Arial"/>
          <w:sz w:val="14"/>
          <w:szCs w:val="14"/>
          <w:color w:val="auto"/>
        </w:rPr>
        <w:t>The purchase price for the transaction is approximately $ 150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early 2023.</w:t>
      </w:r>
    </w:p>
    <w:p>
      <w:pPr>
        <w:spacing w:after="0" w:line="53"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i w:val="1"/>
          <w:iCs w:val="1"/>
          <w:color w:val="auto"/>
        </w:rPr>
        <w:t xml:space="preserve">Texas Procurement—Medicaid. </w:t>
      </w:r>
      <w:r>
        <w:rPr>
          <w:rFonts w:ascii="Arial" w:cs="Arial" w:eastAsia="Arial" w:hAnsi="Arial"/>
          <w:sz w:val="14"/>
          <w:szCs w:val="14"/>
          <w:color w:val="auto"/>
        </w:rPr>
        <w:t>In March 2022, the Texas Health and Human Services Commission posted the ABD program (known in Texas as STAR+PLUS) RFP. We submitted</w:t>
      </w:r>
      <w:r>
        <w:rPr>
          <w:rFonts w:ascii="Arial" w:cs="Arial" w:eastAsia="Arial" w:hAnsi="Arial"/>
          <w:sz w:val="14"/>
          <w:szCs w:val="14"/>
          <w:i w:val="1"/>
          <w:iCs w:val="1"/>
          <w:color w:val="auto"/>
        </w:rPr>
        <w:t xml:space="preserve"> </w:t>
      </w:r>
      <w:r>
        <w:rPr>
          <w:rFonts w:ascii="Arial" w:cs="Arial" w:eastAsia="Arial" w:hAnsi="Arial"/>
          <w:sz w:val="14"/>
          <w:szCs w:val="14"/>
          <w:color w:val="auto"/>
        </w:rPr>
        <w:t>our proposal in June 2022 to continue serving STAR+PLUS members, with awards estimated to be announced in the first quarter of 2023, and start of operations in February 2024. Further, in October 2022, the draft RFP was posted for the TANF and CHIP programs (known as</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the STAR &amp; CHIP programs, and both existing contracts for us), with awards expected in late Q4 2023 or early Q1 2024 and the start of operations in late Q4 2024 or early Q1 2025.</w:t>
      </w:r>
    </w:p>
    <w:p>
      <w:pPr>
        <w:spacing w:after="0" w:line="35"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i w:val="1"/>
          <w:iCs w:val="1"/>
          <w:color w:val="auto"/>
        </w:rPr>
        <w:t xml:space="preserve">Nevada Procurement—Medicaid. </w:t>
      </w:r>
      <w:r>
        <w:rPr>
          <w:rFonts w:ascii="Arial" w:cs="Arial" w:eastAsia="Arial" w:hAnsi="Arial"/>
          <w:sz w:val="14"/>
          <w:szCs w:val="14"/>
          <w:color w:val="auto"/>
        </w:rPr>
        <w:t>Our new contract in Clark and Washoe Counties commenced on January 1, 2022, and offers health coverage to TANF, CHIP and Medicaid</w:t>
      </w:r>
      <w:r>
        <w:rPr>
          <w:rFonts w:ascii="Arial" w:cs="Arial" w:eastAsia="Arial" w:hAnsi="Arial"/>
          <w:sz w:val="14"/>
          <w:szCs w:val="14"/>
          <w:i w:val="1"/>
          <w:iCs w:val="1"/>
          <w:color w:val="auto"/>
        </w:rPr>
        <w:t xml:space="preserve"> </w:t>
      </w:r>
      <w:r>
        <w:rPr>
          <w:rFonts w:ascii="Arial" w:cs="Arial" w:eastAsia="Arial" w:hAnsi="Arial"/>
          <w:sz w:val="14"/>
          <w:szCs w:val="14"/>
          <w:color w:val="auto"/>
        </w:rPr>
        <w:t>Expansion beneficiaries. This new contract is four years with a potential two-year extension.</w:t>
      </w:r>
    </w:p>
    <w:p>
      <w:pPr>
        <w:spacing w:after="0" w:line="35"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i w:val="1"/>
          <w:iCs w:val="1"/>
          <w:color w:val="auto"/>
        </w:rPr>
        <w:t xml:space="preserve">Texas Acquisition—Medicaid and Medicare. </w:t>
      </w:r>
      <w:r>
        <w:rPr>
          <w:rFonts w:ascii="Arial" w:cs="Arial" w:eastAsia="Arial" w:hAnsi="Arial"/>
          <w:sz w:val="14"/>
          <w:szCs w:val="14"/>
          <w:color w:val="auto"/>
        </w:rPr>
        <w:t>On January 1, 2022, we closed on our acquisition of Cigna Corporation’s Texas Medicaid and Medicare-Medicaid Plan (“MMP”)</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contracts, along with certain operating assets. See Note 4, “Business Combinations,” for further information.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and Interim Financial Information</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nine months ended September 30, 2022 are not necessarily indicative of the results for the entire year ending December 31, 2022.</w:t>
      </w:r>
    </w:p>
    <w:p>
      <w:pPr>
        <w:spacing w:after="0" w:line="5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2021. Accordingly, certain disclosures that would substantially duplicate the disclosures contained in our December 31, 2021, audited consolidated financial statements have been omitted. These unaudited consolidated interim financial statements should be read in conjunction with our audited consolidated financial statements for the fiscal year ended December 31, 2021.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2"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25"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4"/>
          <w:szCs w:val="14"/>
          <w:color w:val="828282"/>
        </w:rPr>
      </w:pPr>
      <w:r>
        <w:rPr>
          <w:rFonts w:ascii="Arial" w:cs="Arial" w:eastAsia="Arial" w:hAnsi="Arial"/>
          <w:sz w:val="14"/>
          <w:szCs w:val="14"/>
          <w:color w:val="828282"/>
        </w:rPr>
        <w:t>Significant Accounting Policies</w:t>
      </w:r>
    </w:p>
    <w:p>
      <w:pPr>
        <w:spacing w:after="0" w:line="95" w:lineRule="exact"/>
        <w:rPr>
          <w:rFonts w:ascii="Arial" w:cs="Arial" w:eastAsia="Arial" w:hAnsi="Arial"/>
          <w:sz w:val="14"/>
          <w:szCs w:val="14"/>
          <w:color w:val="828282"/>
        </w:rPr>
      </w:pPr>
    </w:p>
    <w:p>
      <w:pPr>
        <w:spacing w:after="0"/>
        <w:rPr>
          <w:rFonts w:ascii="Arial" w:cs="Arial" w:eastAsia="Arial" w:hAnsi="Arial"/>
          <w:sz w:val="14"/>
          <w:szCs w:val="14"/>
          <w:color w:val="828282"/>
        </w:rPr>
      </w:pPr>
      <w:r>
        <w:rPr>
          <w:rFonts w:ascii="Arial" w:cs="Arial" w:eastAsia="Arial" w:hAnsi="Arial"/>
          <w:sz w:val="14"/>
          <w:szCs w:val="14"/>
          <w:b w:val="1"/>
          <w:bCs w:val="1"/>
          <w:i w:val="1"/>
          <w:iCs w:val="1"/>
          <w:color w:val="auto"/>
        </w:rPr>
        <w:t>Cash and Cash Equivalents</w:t>
      </w:r>
    </w:p>
    <w:p>
      <w:pPr>
        <w:spacing w:after="0" w:line="92"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September 30,</w:t>
            </w:r>
          </w:p>
        </w:tc>
        <w:tc>
          <w:tcPr>
            <w:tcW w:w="960" w:type="dxa"/>
            <w:vAlign w:val="bottom"/>
            <w:tcBorders>
              <w:bottom w:val="single" w:sz="8" w:color="auto"/>
            </w:tcBorders>
          </w:tcPr>
          <w:p>
            <w:pPr>
              <w:spacing w:after="0"/>
              <w:rPr>
                <w:sz w:val="13"/>
                <w:szCs w:val="13"/>
                <w:color w:val="auto"/>
              </w:rPr>
            </w:pPr>
          </w:p>
        </w:tc>
      </w:tr>
      <w:tr>
        <w:trPr>
          <w:trHeight w:val="150"/>
        </w:trPr>
        <w:tc>
          <w:tcPr>
            <w:tcW w:w="8320" w:type="dxa"/>
            <w:vAlign w:val="bottom"/>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2021</w:t>
            </w:r>
          </w:p>
        </w:tc>
      </w:tr>
      <w:tr>
        <w:trPr>
          <w:trHeight w:val="182"/>
        </w:trPr>
        <w:tc>
          <w:tcPr>
            <w:tcW w:w="8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3"/>
          </w:tcPr>
          <w:p>
            <w:pPr>
              <w:jc w:val="right"/>
              <w:ind w:right="136"/>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5"/>
                <w:szCs w:val="15"/>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4,357</w:t>
            </w:r>
          </w:p>
        </w:tc>
      </w:tr>
      <w:tr>
        <w:trPr>
          <w:trHeight w:val="16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r>
      <w:tr>
        <w:trPr>
          <w:trHeight w:val="18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restricted cash and cash equivalents presented in the consolidated statements of cash flows</w:t>
            </w: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4,295</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Receivables</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tbl>
      <w:tblPr>
        <w:tblLayout w:type="fixed"/>
        <w:tblInd w:w="0" w:type="dxa"/>
        <w:tblCellMar>
          <w:top w:w="0" w:type="dxa"/>
          <w:left w:w="0" w:type="dxa"/>
          <w:bottom w:w="0" w:type="dxa"/>
          <w:right w:w="0" w:type="dxa"/>
        </w:tblCellMar>
      </w:tblPr>
      <w:tr>
        <w:trPr>
          <w:trHeight w:val="121"/>
        </w:trPr>
        <w:tc>
          <w:tcPr>
            <w:tcW w:w="8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September 30,</w:t>
            </w:r>
          </w:p>
        </w:tc>
        <w:tc>
          <w:tcPr>
            <w:tcW w:w="300" w:type="dxa"/>
            <w:vAlign w:val="bottom"/>
          </w:tcPr>
          <w:p>
            <w:pPr>
              <w:spacing w:after="0"/>
              <w:rPr>
                <w:sz w:val="10"/>
                <w:szCs w:val="10"/>
                <w:color w:val="auto"/>
              </w:rPr>
            </w:pPr>
          </w:p>
        </w:tc>
        <w:tc>
          <w:tcPr>
            <w:tcW w:w="1120" w:type="dxa"/>
            <w:vAlign w:val="bottom"/>
          </w:tcPr>
          <w:p>
            <w:pPr>
              <w:jc w:val="right"/>
              <w:ind w:right="279"/>
              <w:spacing w:after="0" w:line="121" w:lineRule="exact"/>
              <w:rPr>
                <w:sz w:val="20"/>
                <w:szCs w:val="20"/>
                <w:color w:val="auto"/>
              </w:rPr>
            </w:pPr>
            <w:r>
              <w:rPr>
                <w:rFonts w:ascii="Arial" w:cs="Arial" w:eastAsia="Arial" w:hAnsi="Arial"/>
                <w:sz w:val="11"/>
                <w:szCs w:val="11"/>
                <w:b w:val="1"/>
                <w:bCs w:val="1"/>
                <w:color w:val="auto"/>
              </w:rPr>
              <w:t>December 31,</w:t>
            </w:r>
          </w:p>
        </w:tc>
      </w:tr>
      <w:tr>
        <w:trPr>
          <w:trHeight w:val="144"/>
        </w:trPr>
        <w:tc>
          <w:tcPr>
            <w:tcW w:w="8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2021</w:t>
            </w:r>
          </w:p>
        </w:tc>
      </w:tr>
      <w:tr>
        <w:trPr>
          <w:trHeight w:val="181"/>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5"/>
                <w:szCs w:val="15"/>
                <w:color w:val="auto"/>
              </w:rPr>
            </w:pP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Government receivables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w:t>
            </w:r>
          </w:p>
        </w:tc>
      </w:tr>
      <w:tr>
        <w:trPr>
          <w:trHeight w:val="169"/>
        </w:trPr>
        <w:tc>
          <w:tcPr>
            <w:tcW w:w="8240" w:type="dxa"/>
            <w:vAlign w:val="bottom"/>
          </w:tcPr>
          <w:p>
            <w:pPr>
              <w:ind w:left="20"/>
              <w:spacing w:after="0"/>
              <w:rPr>
                <w:sz w:val="20"/>
                <w:szCs w:val="20"/>
                <w:color w:val="auto"/>
              </w:rPr>
            </w:pPr>
            <w:r>
              <w:rPr>
                <w:rFonts w:ascii="Arial" w:cs="Arial" w:eastAsia="Arial" w:hAnsi="Arial"/>
                <w:sz w:val="13"/>
                <w:szCs w:val="13"/>
                <w:color w:val="auto"/>
              </w:rPr>
              <w:t>Pharmacy rebate receivables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276</w:t>
            </w:r>
          </w:p>
        </w:tc>
      </w:tr>
      <w:tr>
        <w:trPr>
          <w:trHeight w:val="171"/>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r>
      <w:tr>
        <w:trPr>
          <w:trHeight w:val="159"/>
        </w:trPr>
        <w:tc>
          <w:tcPr>
            <w:tcW w:w="8240" w:type="dxa"/>
            <w:vAlign w:val="bottom"/>
          </w:tcPr>
          <w:p>
            <w:pPr>
              <w:ind w:left="120"/>
              <w:spacing w:after="0" w:line="148" w:lineRule="exact"/>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2,177</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Revenue Recognition and Amounts Due Government Agencies</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w:t>
      </w:r>
    </w:p>
    <w:p>
      <w:pPr>
        <w:spacing w:after="0" w:line="53"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Certain components of premium revenue are subject to accounting estimates and are described in further detail below, and in our 2021 Annual Report on Form 10-K, Note 2, “Significant Accounting Policies,” under “Contractual Provisions That May Adjust or Limit Revenue or Profit,” and “Quality Incentives.”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Provisions That May Adjust or Limit Revenue or Profit</w:t>
      </w:r>
    </w:p>
    <w:p>
      <w:pPr>
        <w:spacing w:after="0" w:line="94"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amounts due government agencies, categorized by program:</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ind w:left="140"/>
              <w:spacing w:after="0"/>
              <w:rPr>
                <w:sz w:val="20"/>
                <w:szCs w:val="20"/>
                <w:color w:val="auto"/>
              </w:rPr>
            </w:pPr>
            <w:r>
              <w:rPr>
                <w:rFonts w:ascii="Arial" w:cs="Arial" w:eastAsia="Arial" w:hAnsi="Arial"/>
                <w:sz w:val="11"/>
                <w:szCs w:val="11"/>
                <w:b w:val="1"/>
                <w:bCs w:val="1"/>
                <w:color w:val="auto"/>
              </w:rPr>
              <w:t>September 30,</w:t>
            </w:r>
          </w:p>
        </w:tc>
        <w:tc>
          <w:tcPr>
            <w:tcW w:w="340" w:type="dxa"/>
            <w:vAlign w:val="bottom"/>
          </w:tcPr>
          <w:p>
            <w:pPr>
              <w:spacing w:after="0"/>
              <w:rPr>
                <w:sz w:val="10"/>
                <w:szCs w:val="10"/>
                <w:color w:val="auto"/>
              </w:rPr>
            </w:pPr>
          </w:p>
        </w:tc>
        <w:tc>
          <w:tcPr>
            <w:tcW w:w="1160" w:type="dxa"/>
            <w:vAlign w:val="bottom"/>
          </w:tcPr>
          <w:p>
            <w:pPr>
              <w:jc w:val="right"/>
              <w:ind w:right="318"/>
              <w:spacing w:after="0"/>
              <w:rPr>
                <w:sz w:val="20"/>
                <w:szCs w:val="20"/>
                <w:color w:val="auto"/>
              </w:rPr>
            </w:pPr>
            <w:r>
              <w:rPr>
                <w:rFonts w:ascii="Arial" w:cs="Arial" w:eastAsia="Arial" w:hAnsi="Arial"/>
                <w:sz w:val="11"/>
                <w:szCs w:val="11"/>
                <w:b w:val="1"/>
                <w:bCs w:val="1"/>
                <w:color w:val="auto"/>
              </w:rPr>
              <w:t>December 31,</w:t>
            </w:r>
          </w:p>
        </w:tc>
      </w:tr>
      <w:tr>
        <w:trPr>
          <w:trHeight w:val="149"/>
        </w:trPr>
        <w:tc>
          <w:tcPr>
            <w:tcW w:w="8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1"/>
                <w:szCs w:val="11"/>
                <w:b w:val="1"/>
                <w:bCs w:val="1"/>
                <w:color w:val="auto"/>
              </w:rPr>
              <w:t>2021</w:t>
            </w:r>
          </w:p>
        </w:tc>
      </w:tr>
      <w:tr>
        <w:trPr>
          <w:trHeight w:val="181"/>
        </w:trPr>
        <w:tc>
          <w:tcPr>
            <w:tcW w:w="8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160" w:type="dxa"/>
            <w:vAlign w:val="bottom"/>
          </w:tcPr>
          <w:p>
            <w:pPr>
              <w:spacing w:after="0"/>
              <w:rPr>
                <w:sz w:val="15"/>
                <w:szCs w:val="15"/>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 program:</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8200" w:type="dxa"/>
            <w:vAlign w:val="bottom"/>
          </w:tcPr>
          <w:p>
            <w:pPr>
              <w:ind w:left="120"/>
              <w:spacing w:after="0"/>
              <w:rPr>
                <w:sz w:val="20"/>
                <w:szCs w:val="20"/>
                <w:color w:val="auto"/>
              </w:rPr>
            </w:pPr>
            <w:r>
              <w:rPr>
                <w:rFonts w:ascii="Arial" w:cs="Arial" w:eastAsia="Arial" w:hAnsi="Arial"/>
                <w:sz w:val="13"/>
                <w:szCs w:val="13"/>
                <w:color w:val="auto"/>
              </w:rPr>
              <w:t>Minimum MLR and profit sharing</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1,016</w:t>
            </w:r>
          </w:p>
        </w:tc>
      </w:tr>
      <w:tr>
        <w:trPr>
          <w:trHeight w:val="171"/>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169"/>
        </w:trPr>
        <w:tc>
          <w:tcPr>
            <w:tcW w:w="8200" w:type="dxa"/>
            <w:vAlign w:val="bottom"/>
          </w:tcPr>
          <w:p>
            <w:pPr>
              <w:ind w:left="20"/>
              <w:spacing w:after="0"/>
              <w:rPr>
                <w:sz w:val="20"/>
                <w:szCs w:val="20"/>
                <w:color w:val="auto"/>
              </w:rPr>
            </w:pPr>
            <w:r>
              <w:rPr>
                <w:rFonts w:ascii="Arial" w:cs="Arial" w:eastAsia="Arial" w:hAnsi="Arial"/>
                <w:sz w:val="13"/>
                <w:szCs w:val="13"/>
                <w:color w:val="auto"/>
              </w:rPr>
              <w:t>Medicare program:</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8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Minimum MLR and profit sharing</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r>
      <w:tr>
        <w:trPr>
          <w:trHeight w:val="169"/>
        </w:trPr>
        <w:tc>
          <w:tcPr>
            <w:tcW w:w="8200" w:type="dxa"/>
            <w:vAlign w:val="bottom"/>
          </w:tcPr>
          <w:p>
            <w:pPr>
              <w:ind w:left="100"/>
              <w:spacing w:after="0"/>
              <w:rPr>
                <w:sz w:val="20"/>
                <w:szCs w:val="20"/>
                <w:color w:val="auto"/>
              </w:rPr>
            </w:pPr>
            <w:r>
              <w:rPr>
                <w:rFonts w:ascii="Arial" w:cs="Arial" w:eastAsia="Arial" w:hAnsi="Arial"/>
                <w:sz w:val="13"/>
                <w:szCs w:val="13"/>
                <w:color w:val="auto"/>
              </w:rPr>
              <w:t>Risk adjustment and Part D risk sharing</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71"/>
        </w:trPr>
        <w:tc>
          <w:tcPr>
            <w:tcW w:w="8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69"/>
        </w:trPr>
        <w:tc>
          <w:tcPr>
            <w:tcW w:w="8200" w:type="dxa"/>
            <w:vAlign w:val="bottom"/>
          </w:tcPr>
          <w:p>
            <w:pPr>
              <w:ind w:left="20"/>
              <w:spacing w:after="0"/>
              <w:rPr>
                <w:sz w:val="20"/>
                <w:szCs w:val="20"/>
                <w:color w:val="auto"/>
              </w:rPr>
            </w:pPr>
            <w:r>
              <w:rPr>
                <w:rFonts w:ascii="Arial" w:cs="Arial" w:eastAsia="Arial" w:hAnsi="Arial"/>
                <w:sz w:val="13"/>
                <w:szCs w:val="13"/>
                <w:color w:val="auto"/>
              </w:rPr>
              <w:t>Marketplace program:</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8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Risk adjustment</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r>
      <w:tr>
        <w:trPr>
          <w:trHeight w:val="169"/>
        </w:trPr>
        <w:tc>
          <w:tcPr>
            <w:tcW w:w="8200" w:type="dxa"/>
            <w:vAlign w:val="bottom"/>
          </w:tcPr>
          <w:p>
            <w:pPr>
              <w:ind w:left="120"/>
              <w:spacing w:after="0"/>
              <w:rPr>
                <w:sz w:val="20"/>
                <w:szCs w:val="20"/>
                <w:color w:val="auto"/>
              </w:rPr>
            </w:pPr>
            <w:r>
              <w:rPr>
                <w:rFonts w:ascii="Arial" w:cs="Arial" w:eastAsia="Arial" w:hAnsi="Arial"/>
                <w:sz w:val="13"/>
                <w:szCs w:val="13"/>
                <w:color w:val="auto"/>
              </w:rPr>
              <w:t>Minimum MLR</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0"/>
        </w:trPr>
        <w:tc>
          <w:tcPr>
            <w:tcW w:w="8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162"/>
        </w:trPr>
        <w:tc>
          <w:tcPr>
            <w:tcW w:w="8200" w:type="dxa"/>
            <w:vAlign w:val="bottom"/>
          </w:tcPr>
          <w:p>
            <w:pPr>
              <w:ind w:left="280"/>
              <w:spacing w:after="0"/>
              <w:rPr>
                <w:sz w:val="20"/>
                <w:szCs w:val="20"/>
                <w:color w:val="auto"/>
              </w:rPr>
            </w:pPr>
            <w:r>
              <w:rPr>
                <w:rFonts w:ascii="Arial" w:cs="Arial" w:eastAsia="Arial" w:hAnsi="Arial"/>
                <w:sz w:val="13"/>
                <w:szCs w:val="13"/>
                <w:color w:val="auto"/>
              </w:rPr>
              <w:t>Total amounts due government agencies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2,139</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2,472</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Medicaid Program</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i w:val="1"/>
          <w:iCs w:val="1"/>
          <w:color w:val="auto"/>
        </w:rPr>
        <w:t xml:space="preserve">Minimum MLR and Retroactive Premium Adjustments. </w:t>
      </w:r>
      <w:r>
        <w:rPr>
          <w:rFonts w:ascii="Arial" w:cs="Arial" w:eastAsia="Arial" w:hAnsi="Arial"/>
          <w:sz w:val="14"/>
          <w:szCs w:val="14"/>
          <w:color w:val="auto"/>
        </w:rPr>
        <w:t>State Medicaid programs periodically adjust premium rates on a retroactive basis. In these cases, we adjust our premium</w:t>
      </w:r>
      <w:r>
        <w:rPr>
          <w:rFonts w:ascii="Arial" w:cs="Arial" w:eastAsia="Arial" w:hAnsi="Arial"/>
          <w:sz w:val="14"/>
          <w:szCs w:val="14"/>
          <w:i w:val="1"/>
          <w:iCs w:val="1"/>
          <w:color w:val="auto"/>
        </w:rPr>
        <w:t xml:space="preserve"> </w:t>
      </w:r>
      <w:r>
        <w:rPr>
          <w:rFonts w:ascii="Arial" w:cs="Arial" w:eastAsia="Arial" w:hAnsi="Arial"/>
          <w:sz w:val="14"/>
          <w:szCs w:val="14"/>
          <w:color w:val="auto"/>
        </w:rPr>
        <w:t>revenue in the period in which we determine that the adjustment is probable and reasonably estimable, based on our best estimate of the ultimate premium we expect to realize for the period being adjusted.</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Beginning in 2020,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Since the second quarter of 2020, we have recognized risk corridors that we believe to be probable, and where the ultimate premium amount is reasonably estimable. For the three and nine months ended September 30, 2022, we recognized approximately $ 34 million and $156 million, respectively, related to such risk corridors, primarily in the Medicaid segment, compared to $17 million and $183 million, respectively, recognized in the three and nine months ended September 30, 2021. The decrease is due to the elimination of several of the COVID-19 risk corridors.</w:t>
      </w:r>
    </w:p>
    <w:p>
      <w:pPr>
        <w:spacing w:after="0" w:line="57"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Marketplace Program</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i w:val="1"/>
          <w:iCs w:val="1"/>
          <w:color w:val="auto"/>
        </w:rPr>
        <w:t xml:space="preserve">Risk Adjustment. </w:t>
      </w:r>
      <w:r>
        <w:rPr>
          <w:rFonts w:ascii="Arial" w:cs="Arial" w:eastAsia="Arial" w:hAnsi="Arial"/>
          <w:sz w:val="14"/>
          <w:szCs w:val="14"/>
          <w:color w:val="auto"/>
        </w:rPr>
        <w:t>Under this program, our health plans’ composite risk scores are compared with the overall average risk score for the relevant state and market pool. Generally, our</w:t>
      </w:r>
      <w:r>
        <w:rPr>
          <w:rFonts w:ascii="Arial" w:cs="Arial" w:eastAsia="Arial" w:hAnsi="Arial"/>
          <w:sz w:val="14"/>
          <w:szCs w:val="14"/>
          <w:i w:val="1"/>
          <w:iCs w:val="1"/>
          <w:color w:val="auto"/>
        </w:rPr>
        <w:t xml:space="preserve"> </w:t>
      </w:r>
      <w:r>
        <w:rPr>
          <w:rFonts w:ascii="Arial" w:cs="Arial" w:eastAsia="Arial" w:hAnsi="Arial"/>
          <w:sz w:val="14"/>
          <w:szCs w:val="14"/>
          <w:color w:val="auto"/>
        </w:rPr>
        <w:t>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September 30, 2022, Marketplace risk adjustment payables amounted to $179 million and related receivables amounted to $94 million, for a net payable of $85 million. As of December 31, 2021, Marketplace risk adjustment payables amounted to $902 million and related receivables amounted to $7 million, for a net payable of $895 million.</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8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in which our health plan subsidiaries operate.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8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25"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828282"/>
        </w:rPr>
        <w:t>3. Net Income Per Share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calculation of basic and diluted net income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3400" w:type="dxa"/>
            <w:vAlign w:val="bottom"/>
            <w:gridSpan w:val="6"/>
          </w:tcPr>
          <w:p>
            <w:pPr>
              <w:ind w:left="700"/>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3"/>
                <w:szCs w:val="13"/>
                <w:color w:val="auto"/>
              </w:rPr>
            </w:pPr>
          </w:p>
        </w:tc>
        <w:tc>
          <w:tcPr>
            <w:tcW w:w="2920" w:type="dxa"/>
            <w:vAlign w:val="bottom"/>
            <w:gridSpan w:val="4"/>
          </w:tcPr>
          <w:p>
            <w:pPr>
              <w:jc w:val="right"/>
              <w:ind w:right="657"/>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58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2021</w:t>
            </w:r>
          </w:p>
        </w:tc>
      </w:tr>
      <w:tr>
        <w:trPr>
          <w:trHeight w:val="182"/>
        </w:trPr>
        <w:tc>
          <w:tcPr>
            <w:tcW w:w="4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5"/>
          </w:tcPr>
          <w:p>
            <w:pPr>
              <w:ind w:left="220"/>
              <w:spacing w:after="0"/>
              <w:rPr>
                <w:sz w:val="20"/>
                <w:szCs w:val="20"/>
                <w:color w:val="auto"/>
              </w:rPr>
            </w:pPr>
            <w:r>
              <w:rPr>
                <w:rFonts w:ascii="Arial" w:cs="Arial" w:eastAsia="Arial" w:hAnsi="Arial"/>
                <w:sz w:val="11"/>
                <w:szCs w:val="11"/>
                <w:b w:val="1"/>
                <w:bCs w:val="1"/>
                <w:color w:val="auto"/>
              </w:rPr>
              <w:t>(In millions, except net income per share)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Numerator:</w:t>
            </w: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45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tcBorders>
              <w:bottom w:val="single" w:sz="8" w:color="auto"/>
            </w:tcBorders>
          </w:tcPr>
          <w:p>
            <w:pPr>
              <w:jc w:val="right"/>
              <w:ind w:right="95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1"/>
        </w:trPr>
        <w:tc>
          <w:tcPr>
            <w:tcW w:w="45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i w:val="1"/>
                <w:iCs w:val="1"/>
                <w:color w:val="auto"/>
              </w:rPr>
              <w:t>Denominator:</w:t>
            </w:r>
          </w:p>
        </w:tc>
        <w:tc>
          <w:tcPr>
            <w:tcW w:w="1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69"/>
        </w:trPr>
        <w:tc>
          <w:tcPr>
            <w:tcW w:w="4580" w:type="dxa"/>
            <w:vAlign w:val="bottom"/>
          </w:tcPr>
          <w:p>
            <w:pPr>
              <w:ind w:left="20"/>
              <w:spacing w:after="0"/>
              <w:rPr>
                <w:sz w:val="20"/>
                <w:szCs w:val="20"/>
                <w:color w:val="auto"/>
              </w:rPr>
            </w:pPr>
            <w:r>
              <w:rPr>
                <w:rFonts w:ascii="Arial" w:cs="Arial" w:eastAsia="Arial" w:hAnsi="Arial"/>
                <w:sz w:val="13"/>
                <w:szCs w:val="13"/>
                <w:color w:val="auto"/>
              </w:rPr>
              <w:t>Shares outstanding at the beginning of the period</w:t>
            </w:r>
          </w:p>
        </w:tc>
        <w:tc>
          <w:tcPr>
            <w:tcW w:w="1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58.0</w:t>
            </w: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number of shares issued:</w:t>
            </w: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58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71"/>
        </w:trPr>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purchases</w:t>
            </w:r>
          </w:p>
        </w:tc>
        <w:tc>
          <w:tcPr>
            <w:tcW w:w="1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59"/>
        </w:trPr>
        <w:tc>
          <w:tcPr>
            <w:tcW w:w="4580" w:type="dxa"/>
            <w:vAlign w:val="bottom"/>
          </w:tcPr>
          <w:p>
            <w:pPr>
              <w:ind w:left="20"/>
              <w:spacing w:after="0"/>
              <w:rPr>
                <w:sz w:val="20"/>
                <w:szCs w:val="20"/>
                <w:color w:val="auto"/>
              </w:rPr>
            </w:pPr>
            <w:r>
              <w:rPr>
                <w:rFonts w:ascii="Arial" w:cs="Arial" w:eastAsia="Arial" w:hAnsi="Arial"/>
                <w:sz w:val="13"/>
                <w:szCs w:val="13"/>
                <w:color w:val="auto"/>
              </w:rPr>
              <w:t>Denominator for basic net income per share</w:t>
            </w:r>
          </w:p>
        </w:tc>
        <w:tc>
          <w:tcPr>
            <w:tcW w:w="1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57.8</w:t>
            </w:r>
          </w:p>
        </w:tc>
      </w:tr>
      <w:tr>
        <w:trPr>
          <w:trHeight w:val="171"/>
        </w:trPr>
        <w:tc>
          <w:tcPr>
            <w:tcW w:w="45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Effect of dilutive securities: </w:t>
            </w:r>
            <w:r>
              <w:rPr>
                <w:rFonts w:ascii="Arial" w:cs="Arial" w:eastAsia="Arial" w:hAnsi="Arial"/>
                <w:sz w:val="16"/>
                <w:szCs w:val="16"/>
                <w:color w:val="auto"/>
                <w:vertAlign w:val="superscript"/>
              </w:rPr>
              <w:t>(1)</w:t>
            </w: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r>
      <w:tr>
        <w:trPr>
          <w:trHeight w:val="18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 for diluted net income per share</w:t>
            </w:r>
          </w:p>
        </w:tc>
        <w:tc>
          <w:tcPr>
            <w:tcW w:w="1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5"/>
        </w:trPr>
        <w:tc>
          <w:tcPr>
            <w:tcW w:w="458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Net income per share - Basic </w:t>
            </w:r>
            <w:r>
              <w:rPr>
                <w:rFonts w:ascii="Arial" w:cs="Arial" w:eastAsia="Arial" w:hAnsi="Arial"/>
                <w:sz w:val="16"/>
                <w:szCs w:val="16"/>
                <w:color w:val="auto"/>
                <w:vertAlign w:val="superscript"/>
              </w:rPr>
              <w:t>(2)</w:t>
            </w:r>
          </w:p>
        </w:tc>
        <w:tc>
          <w:tcPr>
            <w:tcW w:w="112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580" w:type="dxa"/>
            <w:vAlign w:val="bottom"/>
          </w:tcPr>
          <w:p>
            <w:pPr>
              <w:ind w:left="20"/>
              <w:spacing w:after="0" w:line="132" w:lineRule="exact"/>
              <w:rPr>
                <w:sz w:val="20"/>
                <w:szCs w:val="20"/>
                <w:color w:val="auto"/>
              </w:rPr>
            </w:pPr>
            <w:r>
              <w:rPr>
                <w:rFonts w:ascii="Arial" w:cs="Arial" w:eastAsia="Arial" w:hAnsi="Arial"/>
                <w:sz w:val="12"/>
                <w:szCs w:val="12"/>
                <w:color w:val="auto"/>
              </w:rPr>
              <w:t xml:space="preserve">Net income per share - Diluted </w:t>
            </w:r>
            <w:r>
              <w:rPr>
                <w:rFonts w:ascii="Arial" w:cs="Arial" w:eastAsia="Arial" w:hAnsi="Arial"/>
                <w:sz w:val="15"/>
                <w:szCs w:val="15"/>
                <w:color w:val="auto"/>
                <w:vertAlign w:val="superscript"/>
              </w:rPr>
              <w:t>(2)</w:t>
            </w:r>
          </w:p>
        </w:tc>
        <w:tc>
          <w:tcPr>
            <w:tcW w:w="1120" w:type="dxa"/>
            <w:vAlign w:val="bottom"/>
            <w:tcBorders>
              <w:bottom w:val="single" w:sz="8" w:color="auto"/>
            </w:tcBorders>
          </w:tcPr>
          <w:p>
            <w:pPr>
              <w:jc w:val="right"/>
              <w:ind w:right="959"/>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3.95</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56"/>
              <w:spacing w:after="0" w:line="133"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2.46</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12.58</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9.51</w:t>
            </w:r>
          </w:p>
        </w:tc>
      </w:tr>
      <w:tr>
        <w:trPr>
          <w:trHeight w:val="20"/>
        </w:trPr>
        <w:tc>
          <w:tcPr>
            <w:tcW w:w="4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ind w:left="300" w:hanging="295"/>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dilutive effect of all potentially dilutive common shares is calculated using the treasury stock method.</w:t>
      </w:r>
    </w:p>
    <w:p>
      <w:pPr>
        <w:spacing w:after="0" w:line="11" w:lineRule="exact"/>
        <w:rPr>
          <w:rFonts w:ascii="Arial" w:cs="Arial" w:eastAsia="Arial" w:hAnsi="Arial"/>
          <w:sz w:val="13"/>
          <w:szCs w:val="13"/>
          <w:color w:val="auto"/>
        </w:rPr>
      </w:pPr>
    </w:p>
    <w:p>
      <w:pPr>
        <w:ind w:left="300" w:hanging="295"/>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data for calculations in thousands.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828282"/>
        </w:rPr>
        <w:t>4. Business Combinations</w:t>
      </w:r>
    </w:p>
    <w:p>
      <w:pPr>
        <w:spacing w:after="0" w:line="94"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i w:val="1"/>
          <w:iCs w:val="1"/>
          <w:color w:val="auto"/>
        </w:rPr>
        <w:t xml:space="preserve">AgeWell. </w:t>
      </w:r>
      <w:r>
        <w:rPr>
          <w:rFonts w:ascii="Arial" w:cs="Arial" w:eastAsia="Arial" w:hAnsi="Arial"/>
          <w:sz w:val="14"/>
          <w:szCs w:val="14"/>
          <w:color w:val="auto"/>
        </w:rPr>
        <w:t>As described in Note 1, “Organization and Basis of Presentation,” we announced this acquisition closed on October 1, 2022. Because the closing date fell on a weekend,</w:t>
      </w:r>
      <w:r>
        <w:rPr>
          <w:rFonts w:ascii="Arial" w:cs="Arial" w:eastAsia="Arial" w:hAnsi="Arial"/>
          <w:sz w:val="14"/>
          <w:szCs w:val="14"/>
          <w:i w:val="1"/>
          <w:iCs w:val="1"/>
          <w:color w:val="auto"/>
        </w:rPr>
        <w:t xml:space="preserve"> </w:t>
      </w:r>
      <w:r>
        <w:rPr>
          <w:rFonts w:ascii="Arial" w:cs="Arial" w:eastAsia="Arial" w:hAnsi="Arial"/>
          <w:sz w:val="14"/>
          <w:szCs w:val="14"/>
          <w:color w:val="auto"/>
        </w:rPr>
        <w:t>the $134 million purchase price was paid on September 30, 2022 and was recorded to prepaid expenses and other assets. Such amounts are reported in investing activities in the accompanying consolidated statements of cash flows. The initial accounting for this transaction is incomplete.</w:t>
      </w:r>
    </w:p>
    <w:p>
      <w:pPr>
        <w:spacing w:after="0" w:line="4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i w:val="1"/>
          <w:iCs w:val="1"/>
          <w:color w:val="auto"/>
        </w:rPr>
        <w:t xml:space="preserve">Cigna. </w:t>
      </w:r>
      <w:r>
        <w:rPr>
          <w:rFonts w:ascii="Arial" w:cs="Arial" w:eastAsia="Arial" w:hAnsi="Arial"/>
          <w:sz w:val="14"/>
          <w:szCs w:val="14"/>
          <w:color w:val="auto"/>
        </w:rPr>
        <w:t>On January 1, 2022, we closed on our acquisition of Cigna Corporation’s Texas Medicaid and Medicare-Medicaid Plan contracts, along with certain operating assets, for</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consideration of approximately $60 million. We acquired membership and a provider network with a preliminary fair value of approximately $36 million. We allocated the remaining $24 million of purchase consideration to goodwill, primarily in the Medicaid segment, which relates to future economic benefits arising from expected synergies from the use of our existing infrastructure to support the added membership, and from the assembled workforce. The goodwill is deductible for income tax purposes.</w:t>
      </w:r>
    </w:p>
    <w:p>
      <w:pPr>
        <w:spacing w:after="0" w:line="53" w:lineRule="exact"/>
        <w:rPr>
          <w:sz w:val="20"/>
          <w:szCs w:val="20"/>
          <w:color w:val="auto"/>
        </w:rPr>
      </w:pPr>
    </w:p>
    <w:p>
      <w:pPr>
        <w:ind w:right="400"/>
        <w:spacing w:after="0" w:line="263" w:lineRule="auto"/>
        <w:rPr>
          <w:sz w:val="20"/>
          <w:szCs w:val="20"/>
          <w:color w:val="auto"/>
        </w:rPr>
      </w:pPr>
      <w:r>
        <w:rPr>
          <w:rFonts w:ascii="Arial" w:cs="Arial" w:eastAsia="Arial" w:hAnsi="Arial"/>
          <w:sz w:val="14"/>
          <w:szCs w:val="14"/>
          <w:i w:val="1"/>
          <w:iCs w:val="1"/>
          <w:color w:val="auto"/>
        </w:rPr>
        <w:t xml:space="preserve">Affinity. </w:t>
      </w:r>
      <w:r>
        <w:rPr>
          <w:rFonts w:ascii="Arial" w:cs="Arial" w:eastAsia="Arial" w:hAnsi="Arial"/>
          <w:sz w:val="14"/>
          <w:szCs w:val="14"/>
          <w:color w:val="auto"/>
        </w:rPr>
        <w:t>On October 25, 2021, we closed on our acquisition of substantially all of the assets of Affinity Health Plan, Inc., a Medicaid health plan in New York, for initial purchase</w:t>
      </w:r>
      <w:r>
        <w:rPr>
          <w:rFonts w:ascii="Arial" w:cs="Arial" w:eastAsia="Arial" w:hAnsi="Arial"/>
          <w:sz w:val="14"/>
          <w:szCs w:val="14"/>
          <w:i w:val="1"/>
          <w:iCs w:val="1"/>
          <w:color w:val="auto"/>
        </w:rPr>
        <w:t xml:space="preserve"> </w:t>
      </w:r>
      <w:r>
        <w:rPr>
          <w:rFonts w:ascii="Arial" w:cs="Arial" w:eastAsia="Arial" w:hAnsi="Arial"/>
          <w:sz w:val="14"/>
          <w:szCs w:val="14"/>
          <w:color w:val="auto"/>
        </w:rPr>
        <w:t>consideration of approximately $176 million. In the nine months ended September 30, 2022, we recorded various measurement period adjustments, including an increase of</w:t>
      </w:r>
    </w:p>
    <w:p>
      <w:pPr>
        <w:spacing w:after="0" w:line="1"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$8 million to “Medical claims and benefits payable,” and an increase of $1 million to “Receivables” net of “Amounts due government agencies.” In the aggregate, we recorded a net increase of $7 million to goodwill for these measurement period adjustments and various purchase price adjustments.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828282"/>
        </w:rPr>
        <w:t>5. Fair Value Measurements</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hierarchy for each financial instrument, refer to our 2021 Annual Report on Form 10-K, Note 5, “Fair Value Measurements.”</w:t>
      </w:r>
    </w:p>
    <w:p>
      <w:pPr>
        <w:spacing w:after="0" w:line="94"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The net changes in fair value of Level 3 financial instruments are reported in “Other” operating expenses in our consolidated statements of income. In the nine months ended September 30, 2022 and 2021, we recognized a loss of $4 million and $3 million, respectively, for the increase in the fair value of the contingent consideration liabilities described below.</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September 30, 2022,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Observable Inputs</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Directly or Indirectly</w:t>
            </w:r>
          </w:p>
        </w:tc>
        <w:tc>
          <w:tcPr>
            <w:tcW w:w="140" w:type="dxa"/>
            <w:vAlign w:val="bottom"/>
          </w:tcPr>
          <w:p>
            <w:pPr>
              <w:spacing w:after="0"/>
              <w:rPr>
                <w:sz w:val="10"/>
                <w:szCs w:val="10"/>
                <w:color w:val="auto"/>
              </w:rPr>
            </w:pPr>
          </w:p>
        </w:tc>
        <w:tc>
          <w:tcPr>
            <w:tcW w:w="1380" w:type="dxa"/>
            <w:vAlign w:val="bottom"/>
            <w:vMerge w:val="restart"/>
          </w:tcPr>
          <w:p>
            <w:pPr>
              <w:jc w:val="center"/>
              <w:ind w:right="78"/>
              <w:spacing w:after="0"/>
              <w:rPr>
                <w:sz w:val="20"/>
                <w:szCs w:val="20"/>
                <w:color w:val="auto"/>
              </w:rPr>
            </w:pPr>
            <w:r>
              <w:rPr>
                <w:rFonts w:ascii="Arial" w:cs="Arial" w:eastAsia="Arial" w:hAnsi="Arial"/>
                <w:sz w:val="11"/>
                <w:szCs w:val="11"/>
                <w:b w:val="1"/>
                <w:bCs w:val="1"/>
                <w:color w:val="auto"/>
              </w:rPr>
              <w:t>Unobservable Inputs</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Observable Inputs</w:t>
            </w: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Total</w:t>
            </w: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(Level 2)</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0" w:type="dxa"/>
            <w:vAlign w:val="bottom"/>
            <w:gridSpan w:val="8"/>
          </w:tcPr>
          <w:p>
            <w:pPr>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4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c>
          <w:tcPr>
            <w:tcW w:w="4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101"/>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743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743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Municipal securities</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104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4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101"/>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liabilities</w:t>
            </w:r>
          </w:p>
        </w:tc>
        <w:tc>
          <w:tcPr>
            <w:tcW w:w="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2"/>
        </w:trPr>
        <w:tc>
          <w:tcPr>
            <w:tcW w:w="4860" w:type="dxa"/>
            <w:vAlign w:val="bottom"/>
          </w:tcPr>
          <w:p>
            <w:pPr>
              <w:ind w:left="180"/>
              <w:spacing w:after="0"/>
              <w:rPr>
                <w:sz w:val="20"/>
                <w:szCs w:val="20"/>
                <w:color w:val="auto"/>
              </w:rPr>
            </w:pPr>
            <w:r>
              <w:rPr>
                <w:rFonts w:ascii="Arial" w:cs="Arial" w:eastAsia="Arial" w:hAnsi="Arial"/>
                <w:sz w:val="13"/>
                <w:szCs w:val="13"/>
                <w:color w:val="auto"/>
              </w:rPr>
              <w:t>Total liabilities</w:t>
            </w:r>
          </w:p>
        </w:tc>
        <w:tc>
          <w:tcPr>
            <w:tcW w:w="20" w:type="dxa"/>
            <w:vAlign w:val="bottom"/>
          </w:tcPr>
          <w:p>
            <w:pPr>
              <w:spacing w:after="0"/>
              <w:rPr>
                <w:sz w:val="14"/>
                <w:szCs w:val="14"/>
                <w:color w:val="auto"/>
              </w:rPr>
            </w:pPr>
          </w:p>
        </w:tc>
        <w:tc>
          <w:tcPr>
            <w:tcW w:w="1020" w:type="dxa"/>
            <w:vAlign w:val="bottom"/>
            <w:tcBorders>
              <w:bottom w:val="single" w:sz="8" w:color="auto"/>
            </w:tcBorders>
          </w:tcPr>
          <w:p>
            <w:pPr>
              <w:jc w:val="right"/>
              <w:ind w:right="86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40" w:type="dxa"/>
            <w:vAlign w:val="bottom"/>
            <w:tcBorders>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260" w:type="dxa"/>
            <w:vAlign w:val="bottom"/>
            <w:tcBorders>
              <w:bottom w:val="single" w:sz="8" w:color="auto"/>
            </w:tcBorders>
          </w:tcPr>
          <w:p>
            <w:pPr>
              <w:jc w:val="right"/>
              <w:ind w:right="1101"/>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gridSpan w:val="2"/>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760" w:type="dxa"/>
            <w:vAlign w:val="bottom"/>
            <w:gridSpan w:val="8"/>
          </w:tcPr>
          <w:p>
            <w:pPr>
              <w:spacing w:after="0"/>
              <w:rPr>
                <w:sz w:val="20"/>
                <w:szCs w:val="20"/>
                <w:color w:val="auto"/>
              </w:rPr>
            </w:pPr>
            <w:r>
              <w:rPr>
                <w:rFonts w:ascii="Arial" w:cs="Arial" w:eastAsia="Arial" w:hAnsi="Arial"/>
                <w:sz w:val="14"/>
                <w:szCs w:val="14"/>
                <w:color w:val="auto"/>
              </w:rPr>
              <w:t>Our financial instruments measured at fair value on a recurring basis at December 31, 2021, were as follows:</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Observable Inputs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Directly or Indirectly</w:t>
            </w:r>
          </w:p>
        </w:tc>
        <w:tc>
          <w:tcPr>
            <w:tcW w:w="140" w:type="dxa"/>
            <w:vAlign w:val="bottom"/>
          </w:tcPr>
          <w:p>
            <w:pPr>
              <w:spacing w:after="0"/>
              <w:rPr>
                <w:sz w:val="19"/>
                <w:szCs w:val="19"/>
                <w:color w:val="auto"/>
              </w:rPr>
            </w:pPr>
          </w:p>
        </w:tc>
        <w:tc>
          <w:tcPr>
            <w:tcW w:w="1380" w:type="dxa"/>
            <w:vAlign w:val="bottom"/>
            <w:vMerge w:val="restart"/>
          </w:tcPr>
          <w:p>
            <w:pPr>
              <w:jc w:val="center"/>
              <w:ind w:right="78"/>
              <w:spacing w:after="0"/>
              <w:rPr>
                <w:sz w:val="20"/>
                <w:szCs w:val="20"/>
                <w:color w:val="auto"/>
              </w:rPr>
            </w:pPr>
            <w:r>
              <w:rPr>
                <w:rFonts w:ascii="Arial" w:cs="Arial" w:eastAsia="Arial" w:hAnsi="Arial"/>
                <w:sz w:val="11"/>
                <w:szCs w:val="11"/>
                <w:b w:val="1"/>
                <w:bCs w:val="1"/>
                <w:color w:val="auto"/>
              </w:rPr>
              <w:t>Unobservable Inputs</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Observable Inputs</w:t>
            </w: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auto"/>
              </w:rPr>
              <w:t>Total</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(Level 2)</w:t>
            </w:r>
          </w:p>
        </w:tc>
        <w:tc>
          <w:tcPr>
            <w:tcW w:w="14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8"/>
              </w:rPr>
              <w:t>(Level 3)</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gridSpan w:val="9"/>
          </w:tcPr>
          <w:p>
            <w:pPr>
              <w:ind w:left="126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40" w:type="dxa"/>
            <w:vAlign w:val="bottom"/>
            <w:gridSpan w:val="2"/>
            <w:shd w:val="clear" w:color="auto" w:fill="CCEEFF"/>
          </w:tcPr>
          <w:p>
            <w:pPr>
              <w:jc w:val="right"/>
              <w:ind w:right="90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4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141"/>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1040" w:type="dxa"/>
            <w:vAlign w:val="bottom"/>
            <w:gridSpan w:val="2"/>
            <w:shd w:val="clear" w:color="auto" w:fill="CCEEFF"/>
          </w:tcPr>
          <w:p>
            <w:pPr>
              <w:jc w:val="right"/>
              <w:ind w:right="90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4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141"/>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Contingent consideration liabilities</w:t>
            </w:r>
          </w:p>
        </w:tc>
        <w:tc>
          <w:tcPr>
            <w:tcW w:w="1040" w:type="dxa"/>
            <w:vAlign w:val="bottom"/>
            <w:tcBorders>
              <w:bottom w:val="single" w:sz="8" w:color="auto"/>
            </w:tcBorders>
            <w:gridSpan w:val="2"/>
            <w:shd w:val="clear" w:color="auto" w:fill="CCEEFF"/>
          </w:tcPr>
          <w:p>
            <w:pPr>
              <w:jc w:val="right"/>
              <w:ind w:right="900"/>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jc w:val="right"/>
              <w:ind w:right="1141"/>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9"/>
        </w:trPr>
        <w:tc>
          <w:tcPr>
            <w:tcW w:w="4860" w:type="dxa"/>
            <w:vAlign w:val="bottom"/>
          </w:tcPr>
          <w:p>
            <w:pPr>
              <w:ind w:left="180"/>
              <w:spacing w:after="0" w:line="148" w:lineRule="exact"/>
              <w:rPr>
                <w:sz w:val="20"/>
                <w:szCs w:val="20"/>
                <w:color w:val="auto"/>
              </w:rPr>
            </w:pPr>
            <w:r>
              <w:rPr>
                <w:rFonts w:ascii="Arial" w:cs="Arial" w:eastAsia="Arial" w:hAnsi="Arial"/>
                <w:sz w:val="13"/>
                <w:szCs w:val="13"/>
                <w:color w:val="auto"/>
              </w:rPr>
              <w:t>Total liabilities</w:t>
            </w:r>
          </w:p>
        </w:tc>
        <w:tc>
          <w:tcPr>
            <w:tcW w:w="1040" w:type="dxa"/>
            <w:vAlign w:val="bottom"/>
            <w:gridSpan w:val="2"/>
          </w:tcPr>
          <w:p>
            <w:pPr>
              <w:jc w:val="right"/>
              <w:ind w:right="90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47</w:t>
            </w:r>
          </w:p>
        </w:tc>
        <w:tc>
          <w:tcPr>
            <w:tcW w:w="40" w:type="dxa"/>
            <w:vAlign w:val="bottom"/>
          </w:tcPr>
          <w:p>
            <w:pPr>
              <w:spacing w:after="0"/>
              <w:rPr>
                <w:sz w:val="13"/>
                <w:szCs w:val="13"/>
                <w:color w:val="auto"/>
              </w:rPr>
            </w:pPr>
          </w:p>
        </w:tc>
        <w:tc>
          <w:tcPr>
            <w:tcW w:w="1340" w:type="dxa"/>
            <w:vAlign w:val="bottom"/>
            <w:gridSpan w:val="3"/>
          </w:tcPr>
          <w:p>
            <w:pPr>
              <w:jc w:val="right"/>
              <w:ind w:right="1141"/>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15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Contingent Consideration Liabilities</w:t>
      </w:r>
    </w:p>
    <w:p>
      <w:pPr>
        <w:spacing w:after="0" w:line="9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Our Level 3 financial instruments at September 30, 2022 are comprised solely of contingent consideration liabilities of $8 million, in connection with our 2020 acquisition of certain assets of Passport Health Plan, Inc., a Medicaid health plan in Kentucky. Such liabilities are recorded at fair value on a recurring basis. In the nine months ended September 30, 2022, the estimated fair value of contingent purchase consideration increased by approximately $4 million, relating to an operating income guarantee.</w:t>
      </w:r>
    </w:p>
    <w:p>
      <w:pPr>
        <w:spacing w:after="0" w:line="4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the nine months ended September 30, 2022, we paid the seller $43 million, of which $23 million was for the remaining half of the consideration due for minimum member enrollment targets and $20 million was for the first payment of the consideration due for the operating income guarantee. For the amounts paid in the nine months ended September 30, 2022, $20 million has been presented in “Financing activities” in the accompanying consolidated statements of cash flows, with the balance reflected in “Operating activities.” The remaining balance of</w:t>
      </w:r>
    </w:p>
    <w:p>
      <w:pPr>
        <w:spacing w:after="0" w:line="200" w:lineRule="exact"/>
        <w:rPr>
          <w:sz w:val="20"/>
          <w:szCs w:val="20"/>
          <w:color w:val="auto"/>
        </w:rPr>
      </w:pPr>
    </w:p>
    <w:p>
      <w:pPr>
        <w:spacing w:after="0" w:line="203" w:lineRule="exact"/>
        <w:rPr>
          <w:sz w:val="20"/>
          <w:szCs w:val="20"/>
          <w:color w:val="auto"/>
        </w:rPr>
      </w:pPr>
    </w:p>
    <w:p>
      <w:pPr>
        <w:ind w:left="7520"/>
        <w:spacing w:after="0"/>
        <w:rPr>
          <w:sz w:val="20"/>
          <w:szCs w:val="20"/>
          <w:color w:val="auto"/>
        </w:rPr>
      </w:pPr>
      <w:r>
        <w:rPr>
          <w:rFonts w:ascii="Arial" w:cs="Arial" w:eastAsia="Arial" w:hAnsi="Arial"/>
          <w:sz w:val="14"/>
          <w:szCs w:val="14"/>
          <w:color w:val="auto"/>
        </w:rPr>
        <w:t>Molina Healthcare, Inc. September 30, 2022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the liabilities is reported in “Accounts payable, accrued liabilities and other” in the accompanying consolidated balance sheets.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 Disclosure Only</w:t>
      </w:r>
    </w:p>
    <w:p>
      <w:pPr>
        <w:spacing w:after="0" w:line="92"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 2022</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2021</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880" w:type="dxa"/>
            <w:vAlign w:val="bottom"/>
          </w:tcPr>
          <w:p>
            <w:pPr>
              <w:spacing w:after="0"/>
              <w:rPr>
                <w:sz w:val="9"/>
                <w:szCs w:val="9"/>
                <w:color w:val="auto"/>
              </w:rPr>
            </w:pPr>
          </w:p>
        </w:tc>
        <w:tc>
          <w:tcPr>
            <w:tcW w:w="1020" w:type="dxa"/>
            <w:vAlign w:val="bottom"/>
          </w:tcPr>
          <w:p>
            <w:pPr>
              <w:jc w:val="right"/>
              <w:spacing w:after="0" w:line="112" w:lineRule="exact"/>
              <w:rPr>
                <w:sz w:val="20"/>
                <w:szCs w:val="20"/>
                <w:color w:val="auto"/>
              </w:rPr>
            </w:pPr>
            <w:r>
              <w:rPr>
                <w:rFonts w:ascii="Arial" w:cs="Arial" w:eastAsia="Arial" w:hAnsi="Arial"/>
                <w:sz w:val="11"/>
                <w:szCs w:val="11"/>
                <w:b w:val="1"/>
                <w:bCs w:val="1"/>
                <w:color w:val="auto"/>
              </w:rPr>
              <w:t>Carrying</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1"/>
                <w:szCs w:val="11"/>
                <w:b w:val="1"/>
                <w:bCs w:val="1"/>
                <w:color w:val="auto"/>
                <w:w w:val="98"/>
              </w:rPr>
              <w:t>Fair Value</w:t>
            </w:r>
          </w:p>
        </w:tc>
        <w:tc>
          <w:tcPr>
            <w:tcW w:w="10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gridSpan w:val="2"/>
          </w:tcPr>
          <w:p>
            <w:pPr>
              <w:ind w:left="120"/>
              <w:spacing w:after="0" w:line="112" w:lineRule="exact"/>
              <w:rPr>
                <w:sz w:val="20"/>
                <w:szCs w:val="20"/>
                <w:color w:val="auto"/>
              </w:rPr>
            </w:pPr>
            <w:r>
              <w:rPr>
                <w:rFonts w:ascii="Arial" w:cs="Arial" w:eastAsia="Arial" w:hAnsi="Arial"/>
                <w:sz w:val="11"/>
                <w:szCs w:val="11"/>
                <w:b w:val="1"/>
                <w:bCs w:val="1"/>
                <w:color w:val="auto"/>
              </w:rPr>
              <w:t>Carrying</w:t>
            </w:r>
          </w:p>
        </w:tc>
        <w:tc>
          <w:tcPr>
            <w:tcW w:w="480" w:type="dxa"/>
            <w:vAlign w:val="bottom"/>
          </w:tcPr>
          <w:p>
            <w:pPr>
              <w:spacing w:after="0"/>
              <w:rPr>
                <w:sz w:val="9"/>
                <w:szCs w:val="9"/>
                <w:color w:val="auto"/>
              </w:rPr>
            </w:pPr>
          </w:p>
        </w:tc>
        <w:tc>
          <w:tcPr>
            <w:tcW w:w="1040" w:type="dxa"/>
            <w:vAlign w:val="bottom"/>
            <w:vMerge w:val="restart"/>
          </w:tcPr>
          <w:p>
            <w:pPr>
              <w:jc w:val="right"/>
              <w:ind w:right="438"/>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gridSpan w:val="3"/>
          </w:tcPr>
          <w:p>
            <w:pPr>
              <w:jc w:val="right"/>
              <w:ind w:right="76"/>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4.375% Notes due 2028</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3.875% Notes due 2030</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642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3.875% Notes due 2032</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62"/>
        </w:trPr>
        <w:tc>
          <w:tcPr>
            <w:tcW w:w="4880" w:type="dxa"/>
            <w:vAlign w:val="bottom"/>
          </w:tcPr>
          <w:p>
            <w:pPr>
              <w:ind w:left="120"/>
              <w:spacing w:after="0"/>
              <w:rPr>
                <w:sz w:val="20"/>
                <w:szCs w:val="20"/>
                <w:color w:val="auto"/>
              </w:rPr>
            </w:pPr>
            <w:r>
              <w:rPr>
                <w:rFonts w:ascii="Arial" w:cs="Arial" w:eastAsia="Arial" w:hAnsi="Arial"/>
                <w:sz w:val="13"/>
                <w:szCs w:val="13"/>
                <w:color w:val="auto"/>
              </w:rPr>
              <w:t>Total</w:t>
            </w:r>
          </w:p>
        </w:tc>
        <w:tc>
          <w:tcPr>
            <w:tcW w:w="1020" w:type="dxa"/>
            <w:vAlign w:val="bottom"/>
            <w:tcBorders>
              <w:bottom w:val="single" w:sz="8" w:color="auto"/>
            </w:tcBorders>
          </w:tcPr>
          <w:p>
            <w:pPr>
              <w:jc w:val="right"/>
              <w:ind w:right="86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160" w:hanging="155"/>
        <w:spacing w:after="0"/>
        <w:tabs>
          <w:tab w:leader="none" w:pos="160" w:val="left"/>
        </w:tabs>
        <w:numPr>
          <w:ilvl w:val="0"/>
          <w:numId w:val="6"/>
        </w:numPr>
        <w:rPr>
          <w:rFonts w:ascii="Arial" w:cs="Arial" w:eastAsia="Arial" w:hAnsi="Arial"/>
          <w:sz w:val="14"/>
          <w:szCs w:val="14"/>
          <w:color w:val="828282"/>
        </w:rPr>
      </w:pPr>
      <w:r>
        <w:rPr>
          <w:rFonts w:ascii="Arial" w:cs="Arial" w:eastAsia="Arial" w:hAnsi="Arial"/>
          <w:sz w:val="14"/>
          <w:szCs w:val="14"/>
          <w:color w:val="828282"/>
        </w:rPr>
        <w:t>Investments</w:t>
      </w:r>
    </w:p>
    <w:p>
      <w:pPr>
        <w:spacing w:after="0" w:line="95" w:lineRule="exact"/>
        <w:rPr>
          <w:rFonts w:ascii="Arial" w:cs="Arial" w:eastAsia="Arial" w:hAnsi="Arial"/>
          <w:sz w:val="14"/>
          <w:szCs w:val="14"/>
          <w:color w:val="828282"/>
        </w:rPr>
      </w:pPr>
    </w:p>
    <w:p>
      <w:pPr>
        <w:spacing w:after="0"/>
        <w:rPr>
          <w:rFonts w:ascii="Arial" w:cs="Arial" w:eastAsia="Arial" w:hAnsi="Arial"/>
          <w:sz w:val="14"/>
          <w:szCs w:val="14"/>
          <w:color w:val="828282"/>
        </w:rPr>
      </w:pPr>
      <w:r>
        <w:rPr>
          <w:rFonts w:ascii="Arial" w:cs="Arial" w:eastAsia="Arial" w:hAnsi="Arial"/>
          <w:sz w:val="14"/>
          <w:szCs w:val="14"/>
          <w:b w:val="1"/>
          <w:bCs w:val="1"/>
          <w:i w:val="1"/>
          <w:iCs w:val="1"/>
          <w:color w:val="auto"/>
        </w:rPr>
        <w:t>Available-for-Sale</w:t>
      </w:r>
    </w:p>
    <w:p>
      <w:pPr>
        <w:spacing w:after="0" w:line="91" w:lineRule="exact"/>
        <w:rPr>
          <w:rFonts w:ascii="Arial" w:cs="Arial" w:eastAsia="Arial" w:hAnsi="Arial"/>
          <w:sz w:val="14"/>
          <w:szCs w:val="14"/>
          <w:color w:val="828282"/>
        </w:rPr>
      </w:pPr>
    </w:p>
    <w:p>
      <w:pPr>
        <w:spacing w:after="0"/>
        <w:rPr>
          <w:rFonts w:ascii="Arial" w:cs="Arial" w:eastAsia="Arial" w:hAnsi="Arial"/>
          <w:sz w:val="14"/>
          <w:szCs w:val="14"/>
          <w:color w:val="828282"/>
        </w:rPr>
      </w:pPr>
      <w:r>
        <w:rPr>
          <w:rFonts w:ascii="Arial" w:cs="Arial" w:eastAsia="Arial" w:hAnsi="Arial"/>
          <w:sz w:val="14"/>
          <w:szCs w:val="14"/>
          <w:color w:val="auto"/>
        </w:rPr>
        <w:t>We consider all of our investments classified as current assets to be available-for-sale. The following tables summarize our current investments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1"/>
                <w:szCs w:val="11"/>
                <w:b w:val="1"/>
                <w:bCs w:val="1"/>
                <w:color w:val="auto"/>
              </w:rPr>
              <w:t>September 30, 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81"/>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Gross Unrealized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50"/>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Amortized Cost</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Losses</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Estimated Fair Value</w:t>
            </w:r>
          </w:p>
        </w:tc>
      </w:tr>
      <w:tr>
        <w:trPr>
          <w:trHeight w:val="182"/>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gridSpan w:val="3"/>
          </w:tcPr>
          <w:p>
            <w:pPr>
              <w:jc w:val="center"/>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95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743</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6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r>
      <w:tr>
        <w:trPr>
          <w:trHeight w:val="182"/>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3,639</w:t>
            </w: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2"/>
        </w:trPr>
        <w:tc>
          <w:tcPr>
            <w:tcW w:w="4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1"/>
                <w:szCs w:val="11"/>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81"/>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Gross Unrealized</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50"/>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Amortized Cost</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Losses</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Estimated Fair Value</w:t>
            </w:r>
          </w:p>
        </w:tc>
      </w:tr>
      <w:tr>
        <w:trPr>
          <w:trHeight w:val="182"/>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gridSpan w:val="3"/>
          </w:tcPr>
          <w:p>
            <w:pPr>
              <w:jc w:val="center"/>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59"/>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616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614</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87"/>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The contractual maturities of our current investments as of September 30, 2022 are summarized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vMerge w:val="restart"/>
          </w:tcPr>
          <w:p>
            <w:pPr>
              <w:jc w:val="right"/>
              <w:ind w:right="278"/>
              <w:spacing w:after="0"/>
              <w:rPr>
                <w:sz w:val="20"/>
                <w:szCs w:val="20"/>
                <w:color w:val="auto"/>
              </w:rPr>
            </w:pPr>
            <w:r>
              <w:rPr>
                <w:rFonts w:ascii="Arial" w:cs="Arial" w:eastAsia="Arial" w:hAnsi="Arial"/>
                <w:sz w:val="11"/>
                <w:szCs w:val="11"/>
                <w:b w:val="1"/>
                <w:bCs w:val="1"/>
                <w:color w:val="auto"/>
              </w:rPr>
              <w:t>Amortized Cost</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jc w:val="right"/>
              <w:ind w:right="438"/>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81"/>
        </w:trPr>
        <w:tc>
          <w:tcPr>
            <w:tcW w:w="8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2,186</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ten years</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187"/>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Gross realized gains and losses from sales of available-for-sale securities are calculated under the specific identification method and are included in investment income. Gross realized investment gains were insignificant for the three and nine months ended September 30, 2022, respectively. Gross realized investment gains amounted to $6 million and $7 million for the three and nine months ended September 30, 2021, respectively. Gross realized investment losses were insignificant for the three and nine months ended September 30, 2022, and 2021.</w:t>
      </w:r>
    </w:p>
    <w:p>
      <w:pPr>
        <w:spacing w:after="0" w:line="53" w:lineRule="exact"/>
        <w:rPr>
          <w:sz w:val="20"/>
          <w:szCs w:val="20"/>
          <w:color w:val="auto"/>
        </w:rPr>
      </w:pPr>
    </w:p>
    <w:p>
      <w:pPr>
        <w:ind w:right="380"/>
        <w:spacing w:after="0" w:line="265" w:lineRule="auto"/>
        <w:rPr>
          <w:sz w:val="20"/>
          <w:szCs w:val="20"/>
          <w:color w:val="auto"/>
        </w:rPr>
      </w:pPr>
      <w:r>
        <w:rPr>
          <w:rFonts w:ascii="Arial" w:cs="Arial" w:eastAsia="Arial" w:hAnsi="Arial"/>
          <w:sz w:val="14"/>
          <w:szCs w:val="14"/>
          <w:color w:val="auto"/>
        </w:rPr>
        <w:t>We have determined that unrealized losses at September 30, 2022, and December 31, 2021,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5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September 30,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60" w:type="dxa"/>
            <w:vAlign w:val="bottom"/>
            <w:gridSpan w:val="6"/>
          </w:tcPr>
          <w:p>
            <w:pPr>
              <w:jc w:val="center"/>
              <w:ind w:left="117"/>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940" w:type="dxa"/>
            <w:vAlign w:val="bottom"/>
          </w:tcPr>
          <w:p>
            <w:pPr>
              <w:jc w:val="center"/>
              <w:ind w:left="341"/>
              <w:spacing w:after="0" w:line="112" w:lineRule="exact"/>
              <w:rPr>
                <w:sz w:val="20"/>
                <w:szCs w:val="20"/>
                <w:color w:val="auto"/>
              </w:rPr>
            </w:pPr>
            <w:r>
              <w:rPr>
                <w:rFonts w:ascii="Arial" w:cs="Arial" w:eastAsia="Arial" w:hAnsi="Arial"/>
                <w:sz w:val="11"/>
                <w:szCs w:val="11"/>
                <w:b w:val="1"/>
                <w:bCs w:val="1"/>
                <w:color w:val="auto"/>
              </w:rPr>
              <w:t>Estimated</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3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Total Number of</w:t>
            </w:r>
          </w:p>
        </w:tc>
        <w:tc>
          <w:tcPr>
            <w:tcW w:w="1000" w:type="dxa"/>
            <w:vAlign w:val="bottom"/>
          </w:tcPr>
          <w:p>
            <w:pPr>
              <w:jc w:val="center"/>
              <w:ind w:left="281"/>
              <w:spacing w:after="0" w:line="112" w:lineRule="exact"/>
              <w:rPr>
                <w:sz w:val="20"/>
                <w:szCs w:val="20"/>
                <w:color w:val="auto"/>
              </w:rPr>
            </w:pPr>
            <w:r>
              <w:rPr>
                <w:rFonts w:ascii="Arial" w:cs="Arial" w:eastAsia="Arial" w:hAnsi="Arial"/>
                <w:sz w:val="11"/>
                <w:szCs w:val="11"/>
                <w:b w:val="1"/>
                <w:bCs w:val="1"/>
                <w:color w:val="auto"/>
              </w:rPr>
              <w:t>Estimated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940" w:type="dxa"/>
            <w:vAlign w:val="bottom"/>
          </w:tcPr>
          <w:p>
            <w:pPr>
              <w:jc w:val="center"/>
              <w:ind w:left="321"/>
              <w:spacing w:after="0" w:line="117" w:lineRule="exact"/>
              <w:rPr>
                <w:sz w:val="20"/>
                <w:szCs w:val="20"/>
                <w:color w:val="auto"/>
              </w:rPr>
            </w:pPr>
            <w:r>
              <w:rPr>
                <w:rFonts w:ascii="Arial" w:cs="Arial" w:eastAsia="Arial" w:hAnsi="Arial"/>
                <w:sz w:val="11"/>
                <w:szCs w:val="11"/>
                <w:b w:val="1"/>
                <w:bCs w:val="1"/>
                <w:color w:val="auto"/>
                <w:w w:val="98"/>
              </w:rPr>
              <w:t>Fair</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000" w:type="dxa"/>
            <w:vAlign w:val="bottom"/>
          </w:tcPr>
          <w:p>
            <w:pPr>
              <w:jc w:val="center"/>
              <w:ind w:left="261"/>
              <w:spacing w:after="0" w:line="117" w:lineRule="exact"/>
              <w:rPr>
                <w:sz w:val="20"/>
                <w:szCs w:val="20"/>
                <w:color w:val="auto"/>
              </w:rPr>
            </w:pPr>
            <w:r>
              <w:rPr>
                <w:rFonts w:ascii="Arial" w:cs="Arial" w:eastAsia="Arial" w:hAnsi="Arial"/>
                <w:sz w:val="11"/>
                <w:szCs w:val="11"/>
                <w:b w:val="1"/>
                <w:bCs w:val="1"/>
                <w:color w:val="auto"/>
                <w:w w:val="98"/>
              </w:rPr>
              <w:t>Fair</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94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w w:val="95"/>
              </w:rPr>
              <w:t>Value</w:t>
            </w: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Positions</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center"/>
              <w:ind w:left="261"/>
              <w:spacing w:after="0"/>
              <w:rPr>
                <w:sz w:val="20"/>
                <w:szCs w:val="20"/>
                <w:color w:val="auto"/>
              </w:rPr>
            </w:pPr>
            <w:r>
              <w:rPr>
                <w:rFonts w:ascii="Arial" w:cs="Arial" w:eastAsia="Arial" w:hAnsi="Arial"/>
                <w:sz w:val="11"/>
                <w:szCs w:val="11"/>
                <w:b w:val="1"/>
                <w:bCs w:val="1"/>
                <w:color w:val="auto"/>
                <w:w w:val="95"/>
              </w:rPr>
              <w:t>Value</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3"/>
          </w:tcPr>
          <w:p>
            <w:pPr>
              <w:jc w:val="right"/>
              <w:ind w:right="481"/>
              <w:spacing w:after="0"/>
              <w:rPr>
                <w:sz w:val="20"/>
                <w:szCs w:val="20"/>
                <w:color w:val="auto"/>
              </w:rPr>
            </w:pPr>
            <w:r>
              <w:rPr>
                <w:rFonts w:ascii="Arial" w:cs="Arial" w:eastAsia="Arial" w:hAnsi="Arial"/>
                <w:sz w:val="11"/>
                <w:szCs w:val="11"/>
                <w:b w:val="1"/>
                <w:bCs w:val="1"/>
                <w:color w:val="auto"/>
              </w:rPr>
              <w:t>(Dollars in millions)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1,764</w:t>
            </w:r>
          </w:p>
        </w:tc>
        <w:tc>
          <w:tcPr>
            <w:tcW w:w="380" w:type="dxa"/>
            <w:vAlign w:val="bottom"/>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1"/>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106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2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94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2,815</w:t>
            </w:r>
          </w:p>
        </w:tc>
        <w:tc>
          <w:tcPr>
            <w:tcW w:w="380" w:type="dxa"/>
            <w:vAlign w:val="bottom"/>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61"/>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right="100"/>
        <w:spacing w:after="0" w:line="290"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December 31, 2021: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20" w:type="dxa"/>
            <w:vAlign w:val="bottom"/>
            <w:gridSpan w:val="6"/>
          </w:tcPr>
          <w:p>
            <w:pPr>
              <w:jc w:val="center"/>
              <w:ind w:left="178"/>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940" w:type="dxa"/>
            <w:vAlign w:val="bottom"/>
            <w:gridSpan w:val="6"/>
          </w:tcPr>
          <w:p>
            <w:pPr>
              <w:jc w:val="center"/>
              <w:ind w:left="78"/>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940" w:type="dxa"/>
            <w:vAlign w:val="bottom"/>
          </w:tcPr>
          <w:p>
            <w:pPr>
              <w:jc w:val="center"/>
              <w:ind w:left="301"/>
              <w:spacing w:after="0" w:line="112" w:lineRule="exact"/>
              <w:rPr>
                <w:sz w:val="20"/>
                <w:szCs w:val="20"/>
                <w:color w:val="auto"/>
              </w:rPr>
            </w:pPr>
            <w:r>
              <w:rPr>
                <w:rFonts w:ascii="Arial" w:cs="Arial" w:eastAsia="Arial" w:hAnsi="Arial"/>
                <w:sz w:val="11"/>
                <w:szCs w:val="11"/>
                <w:b w:val="1"/>
                <w:bCs w:val="1"/>
                <w:color w:val="auto"/>
              </w:rPr>
              <w:t>Estimated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2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Total Number of</w:t>
            </w:r>
          </w:p>
        </w:tc>
        <w:tc>
          <w:tcPr>
            <w:tcW w:w="1020" w:type="dxa"/>
            <w:vAlign w:val="bottom"/>
          </w:tcPr>
          <w:p>
            <w:pPr>
              <w:jc w:val="center"/>
              <w:ind w:left="221"/>
              <w:spacing w:after="0" w:line="112" w:lineRule="exact"/>
              <w:rPr>
                <w:sz w:val="20"/>
                <w:szCs w:val="20"/>
                <w:color w:val="auto"/>
              </w:rPr>
            </w:pPr>
            <w:r>
              <w:rPr>
                <w:rFonts w:ascii="Arial" w:cs="Arial" w:eastAsia="Arial" w:hAnsi="Arial"/>
                <w:sz w:val="11"/>
                <w:szCs w:val="11"/>
                <w:b w:val="1"/>
                <w:bCs w:val="1"/>
                <w:color w:val="auto"/>
              </w:rPr>
              <w:t>Estimated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8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940" w:type="dxa"/>
            <w:vAlign w:val="bottom"/>
          </w:tcPr>
          <w:p>
            <w:pPr>
              <w:jc w:val="center"/>
              <w:ind w:left="321"/>
              <w:spacing w:after="0" w:line="117" w:lineRule="exact"/>
              <w:rPr>
                <w:sz w:val="20"/>
                <w:szCs w:val="20"/>
                <w:color w:val="auto"/>
              </w:rPr>
            </w:pPr>
            <w:r>
              <w:rPr>
                <w:rFonts w:ascii="Arial" w:cs="Arial" w:eastAsia="Arial" w:hAnsi="Arial"/>
                <w:sz w:val="11"/>
                <w:szCs w:val="11"/>
                <w:b w:val="1"/>
                <w:bCs w:val="1"/>
                <w:color w:val="auto"/>
                <w:w w:val="98"/>
              </w:rPr>
              <w:t>Fair</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20" w:type="dxa"/>
            <w:vAlign w:val="bottom"/>
          </w:tcPr>
          <w:p>
            <w:pPr>
              <w:jc w:val="center"/>
              <w:ind w:left="221"/>
              <w:spacing w:after="0" w:line="117" w:lineRule="exact"/>
              <w:rPr>
                <w:sz w:val="20"/>
                <w:szCs w:val="20"/>
                <w:color w:val="auto"/>
              </w:rPr>
            </w:pPr>
            <w:r>
              <w:rPr>
                <w:rFonts w:ascii="Arial" w:cs="Arial" w:eastAsia="Arial" w:hAnsi="Arial"/>
                <w:sz w:val="11"/>
                <w:szCs w:val="11"/>
                <w:b w:val="1"/>
                <w:bCs w:val="1"/>
                <w:color w:val="auto"/>
              </w:rPr>
              <w:t>Fair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940" w:type="dxa"/>
            <w:vAlign w:val="bottom"/>
            <w:tcBorders>
              <w:bottom w:val="single" w:sz="8" w:color="auto"/>
            </w:tcBorders>
          </w:tcPr>
          <w:p>
            <w:pPr>
              <w:jc w:val="center"/>
              <w:ind w:left="301"/>
              <w:spacing w:after="0"/>
              <w:rPr>
                <w:sz w:val="20"/>
                <w:szCs w:val="20"/>
                <w:color w:val="auto"/>
              </w:rPr>
            </w:pPr>
            <w:r>
              <w:rPr>
                <w:rFonts w:ascii="Arial" w:cs="Arial" w:eastAsia="Arial" w:hAnsi="Arial"/>
                <w:sz w:val="11"/>
                <w:szCs w:val="11"/>
                <w:b w:val="1"/>
                <w:bCs w:val="1"/>
                <w:color w:val="auto"/>
              </w:rPr>
              <w:t>Value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center"/>
              <w:ind w:left="221"/>
              <w:spacing w:after="0"/>
              <w:rPr>
                <w:sz w:val="20"/>
                <w:szCs w:val="20"/>
                <w:color w:val="auto"/>
              </w:rPr>
            </w:pPr>
            <w:r>
              <w:rPr>
                <w:rFonts w:ascii="Arial" w:cs="Arial" w:eastAsia="Arial" w:hAnsi="Arial"/>
                <w:sz w:val="11"/>
                <w:szCs w:val="11"/>
                <w:b w:val="1"/>
                <w:bCs w:val="1"/>
                <w:color w:val="auto"/>
              </w:rPr>
              <w:t>Value</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3"/>
          </w:tcPr>
          <w:p>
            <w:pPr>
              <w:jc w:val="right"/>
              <w:ind w:right="501"/>
              <w:spacing w:after="0"/>
              <w:rPr>
                <w:sz w:val="20"/>
                <w:szCs w:val="20"/>
                <w:color w:val="auto"/>
              </w:rPr>
            </w:pPr>
            <w:r>
              <w:rPr>
                <w:rFonts w:ascii="Arial" w:cs="Arial" w:eastAsia="Arial" w:hAnsi="Arial"/>
                <w:sz w:val="11"/>
                <w:szCs w:val="11"/>
                <w:b w:val="1"/>
                <w:bCs w:val="1"/>
                <w:color w:val="auto"/>
              </w:rPr>
              <w:t>(Dollars 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1"/>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1320" w:type="dxa"/>
            <w:vAlign w:val="bottom"/>
            <w:gridSpan w:val="3"/>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ind w:left="900"/>
              <w:spacing w:after="0"/>
              <w:rPr>
                <w:sz w:val="20"/>
                <w:szCs w:val="20"/>
                <w:color w:val="auto"/>
              </w:rPr>
            </w:pPr>
            <w:r>
              <w:rPr>
                <w:rFonts w:ascii="Arial" w:cs="Arial" w:eastAsia="Arial" w:hAnsi="Arial"/>
                <w:sz w:val="13"/>
                <w:szCs w:val="13"/>
                <w:color w:val="auto"/>
              </w:rPr>
              <w:t>—</w:t>
            </w:r>
          </w:p>
        </w:tc>
        <w:tc>
          <w:tcPr>
            <w:tcW w:w="1180" w:type="dxa"/>
            <w:vAlign w:val="bottom"/>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Municipal securities</w:t>
            </w: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81"/>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1320" w:type="dxa"/>
            <w:vAlign w:val="bottom"/>
            <w:gridSpan w:val="3"/>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Investments Held-to-Maturity</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$242 million at September 30, 2022, of which $201 million will mature in one year or less, $37 million will mature in one through five years, and $4 million will mature after five years.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828282"/>
        </w:rPr>
        <w:t>7. Medical Claims and Benefits Payable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details of our medical claims and benefits payable as of the dates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8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jc w:val="right"/>
              <w:ind w:right="338"/>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8080" w:type="dxa"/>
            <w:vAlign w:val="bottom"/>
          </w:tcPr>
          <w:p>
            <w:pPr>
              <w:spacing w:after="0"/>
              <w:rPr>
                <w:sz w:val="12"/>
                <w:szCs w:val="12"/>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r>
      <w:tr>
        <w:trPr>
          <w:trHeight w:val="181"/>
        </w:trPr>
        <w:tc>
          <w:tcPr>
            <w:tcW w:w="8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Pr>
          <w:p>
            <w:pPr>
              <w:spacing w:after="0"/>
              <w:rPr>
                <w:sz w:val="15"/>
                <w:szCs w:val="15"/>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Claims incurred but not paid (“IBNP”)</w:t>
            </w:r>
          </w:p>
        </w:tc>
        <w:tc>
          <w:tcPr>
            <w:tcW w:w="1160" w:type="dxa"/>
            <w:vAlign w:val="bottom"/>
            <w:shd w:val="clear" w:color="auto" w:fill="CCEEFF"/>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2,553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w:t>
            </w:r>
          </w:p>
        </w:tc>
      </w:tr>
      <w:tr>
        <w:trPr>
          <w:trHeight w:val="169"/>
        </w:trPr>
        <w:tc>
          <w:tcPr>
            <w:tcW w:w="8080" w:type="dxa"/>
            <w:vAlign w:val="bottom"/>
          </w:tcPr>
          <w:p>
            <w:pPr>
              <w:ind w:left="20"/>
              <w:spacing w:after="0"/>
              <w:rPr>
                <w:sz w:val="20"/>
                <w:szCs w:val="20"/>
                <w:color w:val="auto"/>
              </w:rPr>
            </w:pPr>
            <w:r>
              <w:rPr>
                <w:rFonts w:ascii="Arial" w:cs="Arial" w:eastAsia="Arial" w:hAnsi="Arial"/>
                <w:sz w:val="13"/>
                <w:szCs w:val="13"/>
                <w:color w:val="auto"/>
              </w:rPr>
              <w:t>Pharmacy payable</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Capitation payable</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6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r>
      <w:tr>
        <w:trPr>
          <w:trHeight w:val="187"/>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1160" w:type="dxa"/>
            <w:vAlign w:val="bottom"/>
            <w:tcBorders>
              <w:bottom w:val="single" w:sz="8" w:color="auto"/>
            </w:tcBorders>
            <w:shd w:val="clear" w:color="auto" w:fill="CCEEFF"/>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3,622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$317 million and $226 million as of September 30, 2022, and December 31, 2021, respectively.</w:t>
      </w:r>
    </w:p>
    <w:p>
      <w:pPr>
        <w:spacing w:after="0" w:line="49"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Nine Months Ended September 30, 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52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82"/>
        </w:trPr>
        <w:tc>
          <w:tcPr>
            <w:tcW w:w="5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3"/>
          </w:tcPr>
          <w:p>
            <w:pPr>
              <w:jc w:val="right"/>
              <w:ind w:right="71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3,363</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16,520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20,521</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16,238</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2,487</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1,458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20,183</w:t>
            </w:r>
          </w:p>
        </w:tc>
      </w:tr>
      <w:tr>
        <w:trPr>
          <w:trHeight w:val="149"/>
        </w:trPr>
        <w:tc>
          <w:tcPr>
            <w:tcW w:w="5260" w:type="dxa"/>
            <w:vAlign w:val="bottom"/>
          </w:tcPr>
          <w:p>
            <w:pPr>
              <w:ind w:left="20"/>
              <w:spacing w:after="0" w:line="148" w:lineRule="exact"/>
              <w:rPr>
                <w:sz w:val="20"/>
                <w:szCs w:val="20"/>
                <w:color w:val="auto"/>
              </w:rPr>
            </w:pPr>
            <w:r>
              <w:rPr>
                <w:rFonts w:ascii="Arial" w:cs="Arial" w:eastAsia="Arial" w:hAnsi="Arial"/>
                <w:sz w:val="13"/>
                <w:szCs w:val="13"/>
                <w:color w:val="auto"/>
              </w:rPr>
              <w:t>Payments for medical care costs related to:</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14,133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17,538</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1,861</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2,481</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15,994</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2,440</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1,585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20,019</w:t>
            </w:r>
          </w:p>
        </w:tc>
      </w:tr>
      <w:tr>
        <w:trPr>
          <w:trHeight w:val="159"/>
        </w:trPr>
        <w:tc>
          <w:tcPr>
            <w:tcW w:w="526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r>
      <w:tr>
        <w:trPr>
          <w:trHeight w:val="162"/>
        </w:trPr>
        <w:tc>
          <w:tcPr>
            <w:tcW w:w="526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2,923</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447</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3,622</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7520"/>
        <w:spacing w:after="0"/>
        <w:rPr>
          <w:sz w:val="20"/>
          <w:szCs w:val="20"/>
          <w:color w:val="auto"/>
        </w:rPr>
      </w:pPr>
      <w:r>
        <w:rPr>
          <w:rFonts w:ascii="Arial" w:cs="Arial" w:eastAsia="Arial" w:hAnsi="Arial"/>
          <w:sz w:val="14"/>
          <w:szCs w:val="14"/>
          <w:color w:val="auto"/>
        </w:rPr>
        <w:t>Molina Healthcare, Inc. September 30, 2022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Nine Months Ended September 30, 2021</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52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Marketplace</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Consolidated</w:t>
            </w:r>
          </w:p>
        </w:tc>
      </w:tr>
      <w:tr>
        <w:trPr>
          <w:trHeight w:val="182"/>
        </w:trPr>
        <w:tc>
          <w:tcPr>
            <w:tcW w:w="5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3"/>
          </w:tcPr>
          <w:p>
            <w:pPr>
              <w:jc w:val="right"/>
              <w:ind w:right="719"/>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r>
      <w:tr>
        <w:trPr>
          <w:trHeight w:val="169"/>
        </w:trPr>
        <w:tc>
          <w:tcPr>
            <w:tcW w:w="526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13,491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1,872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17,558</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13,333</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1,850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17,342</w:t>
            </w:r>
          </w:p>
        </w:tc>
      </w:tr>
      <w:tr>
        <w:trPr>
          <w:trHeight w:val="149"/>
        </w:trPr>
        <w:tc>
          <w:tcPr>
            <w:tcW w:w="5260" w:type="dxa"/>
            <w:vAlign w:val="bottom"/>
          </w:tcPr>
          <w:p>
            <w:pPr>
              <w:ind w:left="20"/>
              <w:spacing w:after="0" w:line="148" w:lineRule="exact"/>
              <w:rPr>
                <w:sz w:val="20"/>
                <w:szCs w:val="20"/>
                <w:color w:val="auto"/>
              </w:rPr>
            </w:pPr>
            <w:r>
              <w:rPr>
                <w:rFonts w:ascii="Arial" w:cs="Arial" w:eastAsia="Arial" w:hAnsi="Arial"/>
                <w:sz w:val="13"/>
                <w:szCs w:val="13"/>
                <w:color w:val="auto"/>
              </w:rPr>
              <w:t>Payments for medical care costs related to:</w:t>
            </w: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11,530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1,534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14,880</w:t>
            </w:r>
          </w:p>
        </w:tc>
      </w:tr>
      <w:tr>
        <w:trPr>
          <w:trHeight w:val="169"/>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w:t>
            </w:r>
          </w:p>
        </w:tc>
      </w:tr>
      <w:tr>
        <w:trPr>
          <w:trHeight w:val="162"/>
        </w:trPr>
        <w:tc>
          <w:tcPr>
            <w:tcW w:w="52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13,068</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2,156</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1,664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16,888</w:t>
            </w:r>
          </w:p>
        </w:tc>
      </w:tr>
      <w:tr>
        <w:trPr>
          <w:trHeight w:val="159"/>
        </w:trPr>
        <w:tc>
          <w:tcPr>
            <w:tcW w:w="526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provider payables</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2"/>
        </w:trPr>
        <w:tc>
          <w:tcPr>
            <w:tcW w:w="526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2,443</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3,191</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color w:val="auto"/>
        </w:rPr>
        <w:t>Our estimates of medical claims and benefits payable recorded at December 31, 2021, and 2020 developed favorably by approximately $338 million and $216 million as of September 30, 2022, and 2021, respectively.</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favorable prior year development recognized in the nine months ended September 30, 2022 was primarily due to lower than expected utilization of medical services by our members and improved operating performance. Consequently, the ultimate costs recognized in 2022, as claims payments were processed, were lower than our estimates in 2021.</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828282"/>
        </w:rPr>
        <w:t>8. Debt</w:t>
      </w:r>
    </w:p>
    <w:p>
      <w:pPr>
        <w:spacing w:after="0" w:line="94"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All our debt is held at the parent, which is reported in the Other segment. The following table summarizes our outstanding debt obligations, all of which are non-current as of the dates reported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8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jc w:val="right"/>
              <w:ind w:right="338"/>
              <w:spacing w:after="0"/>
              <w:rPr>
                <w:sz w:val="20"/>
                <w:szCs w:val="20"/>
                <w:color w:val="auto"/>
              </w:rPr>
            </w:pPr>
            <w:r>
              <w:rPr>
                <w:rFonts w:ascii="Arial" w:cs="Arial" w:eastAsia="Arial" w:hAnsi="Arial"/>
                <w:sz w:val="11"/>
                <w:szCs w:val="11"/>
                <w:b w:val="1"/>
                <w:bCs w:val="1"/>
                <w:color w:val="auto"/>
              </w:rPr>
              <w:t>December 31,</w:t>
            </w:r>
          </w:p>
        </w:tc>
      </w:tr>
      <w:tr>
        <w:trPr>
          <w:trHeight w:val="149"/>
        </w:trPr>
        <w:tc>
          <w:tcPr>
            <w:tcW w:w="8080" w:type="dxa"/>
            <w:vAlign w:val="bottom"/>
          </w:tcPr>
          <w:p>
            <w:pPr>
              <w:spacing w:after="0"/>
              <w:rPr>
                <w:sz w:val="12"/>
                <w:szCs w:val="12"/>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r>
      <w:tr>
        <w:trPr>
          <w:trHeight w:val="181"/>
        </w:trPr>
        <w:tc>
          <w:tcPr>
            <w:tcW w:w="8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Pr>
          <w:p>
            <w:pPr>
              <w:spacing w:after="0"/>
              <w:rPr>
                <w:sz w:val="15"/>
                <w:szCs w:val="15"/>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long-term debt:</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4.375% Notes due 2028</w:t>
            </w:r>
          </w:p>
        </w:tc>
        <w:tc>
          <w:tcPr>
            <w:tcW w:w="1160" w:type="dxa"/>
            <w:vAlign w:val="bottom"/>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3.875% Notes due 2030</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3.875% Notes due 2032</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70"/>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debt issuance costs</w:t>
            </w:r>
          </w:p>
        </w:tc>
        <w:tc>
          <w:tcPr>
            <w:tcW w:w="11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2"/>
        </w:trPr>
        <w:tc>
          <w:tcPr>
            <w:tcW w:w="8080" w:type="dxa"/>
            <w:vAlign w:val="bottom"/>
          </w:tcPr>
          <w:p>
            <w:pPr>
              <w:ind w:left="280"/>
              <w:spacing w:after="0"/>
              <w:rPr>
                <w:sz w:val="20"/>
                <w:szCs w:val="20"/>
                <w:color w:val="auto"/>
              </w:rPr>
            </w:pPr>
            <w:r>
              <w:rPr>
                <w:rFonts w:ascii="Arial" w:cs="Arial" w:eastAsia="Arial" w:hAnsi="Arial"/>
                <w:sz w:val="13"/>
                <w:szCs w:val="13"/>
                <w:color w:val="auto"/>
              </w:rPr>
              <w:t>Total</w:t>
            </w:r>
          </w:p>
        </w:tc>
        <w:tc>
          <w:tcPr>
            <w:tcW w:w="1160" w:type="dxa"/>
            <w:vAlign w:val="bottom"/>
            <w:tcBorders>
              <w:bottom w:val="single" w:sz="8" w:color="auto"/>
            </w:tcBorders>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2,175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2,173</w:t>
            </w:r>
          </w:p>
        </w:tc>
      </w:tr>
      <w:tr>
        <w:trPr>
          <w:trHeight w:val="20"/>
        </w:trPr>
        <w:tc>
          <w:tcPr>
            <w:tcW w:w="8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53"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The Credit Agreement contains customary non-financial and financial covenants. As of September 30, 2022, we were in compliance with all financial and non-financial covenants under the Credit Agreement. As of September 30, 2022, no amounts were outstanding under the Credit Facility.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92"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Our senior notes are described below. Each of these notes are senior unsecured obligations of Molina and rank equally in right of payment with all existing and future senior debt, and senior to all existing and future subordinated</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debt of Molina. In addition, each of the indentures governing the senior notes contain customary non-financial covenants and change of control provisions. As of September 30, 2022, we were in compliance with all non-financial covenants in the indentures governing the senior notes.</w:t>
      </w:r>
    </w:p>
    <w:p>
      <w:pPr>
        <w:spacing w:after="0" w:line="35"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4.375% Notes due 2028. </w:t>
      </w:r>
      <w:r>
        <w:rPr>
          <w:rFonts w:ascii="Arial" w:cs="Arial" w:eastAsia="Arial" w:hAnsi="Arial"/>
          <w:sz w:val="14"/>
          <w:szCs w:val="14"/>
          <w:color w:val="auto"/>
        </w:rPr>
        <w:t>We had $800 million aggregate principal amount of senior notes (the “4.375% Notes”) outstanding as of September 30, 2022, which are due June 15,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2028, unless earlier redeemed. Interest, at a rate of 4.375% per annum, is payable semiannually in arrears on June 15 and December 15.</w:t>
      </w:r>
    </w:p>
    <w:p>
      <w:pPr>
        <w:spacing w:after="0" w:line="80"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i w:val="1"/>
          <w:iCs w:val="1"/>
          <w:color w:val="auto"/>
        </w:rPr>
        <w:t xml:space="preserve">3.875% Notes due 2030. </w:t>
      </w:r>
      <w:r>
        <w:rPr>
          <w:rFonts w:ascii="Arial" w:cs="Arial" w:eastAsia="Arial" w:hAnsi="Arial"/>
          <w:sz w:val="14"/>
          <w:szCs w:val="14"/>
          <w:color w:val="auto"/>
        </w:rPr>
        <w:t>We had $ 650 million aggregate principal amount of senior notes (the “3.875% Notes due 2030”) outstanding as of September 30, 2022, which are due</w:t>
      </w:r>
      <w:r>
        <w:rPr>
          <w:rFonts w:ascii="Arial" w:cs="Arial" w:eastAsia="Arial" w:hAnsi="Arial"/>
          <w:sz w:val="14"/>
          <w:szCs w:val="14"/>
          <w:i w:val="1"/>
          <w:iCs w:val="1"/>
          <w:color w:val="auto"/>
        </w:rPr>
        <w:t xml:space="preserve"> </w:t>
      </w:r>
      <w:r>
        <w:rPr>
          <w:rFonts w:ascii="Arial" w:cs="Arial" w:eastAsia="Arial" w:hAnsi="Arial"/>
          <w:sz w:val="14"/>
          <w:szCs w:val="14"/>
          <w:color w:val="auto"/>
        </w:rPr>
        <w:t>November 15, 2030, unless earlier redeemed. Interest, at a rate of 3.875% per annum, is payable semiannually in arrears on May 15 and November 15.</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3.875% Notes due 2032. </w:t>
      </w:r>
      <w:r>
        <w:rPr>
          <w:rFonts w:ascii="Arial" w:cs="Arial" w:eastAsia="Arial" w:hAnsi="Arial"/>
          <w:sz w:val="14"/>
          <w:szCs w:val="14"/>
          <w:color w:val="auto"/>
        </w:rPr>
        <w:t>We had $750 million aggregate principal amount of senior notes (the “3.875% Notes due 2032”) outstanding as of September 30, 2022, which are due May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15, 2032, unless earlier redeemed. Interest, at a rate of 3.875% per annum, is payable semiannually in arrears on May 15 and November 15.</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828282"/>
        </w:rPr>
        <w:t>9. Stockholders' Equity</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September 2021, our board of directors authorized the purchase of up to $500 million, in the aggregate, of our common stock. This new program, which superseded the stock purchase program approved by our board of directors in September 2020, is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658,000 shares for $200 million in the second quarter of 2022 (average cost of $304.13 per share).</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828282"/>
        </w:rPr>
        <w:t>10. Segments</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currently have four reportable segments consisting of: 1) Medicaid; 2) Medicare; 3) Marketplace; and 4) Other. Our reportable segments are consistent with how we currently manage the business and view the markets we serve.</w:t>
      </w:r>
    </w:p>
    <w:p>
      <w:pPr>
        <w:spacing w:after="0" w:line="35"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provide in Wisconsin.</w:t>
      </w:r>
    </w:p>
    <w:p>
      <w:pPr>
        <w:spacing w:after="0" w:line="5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total revenue by segment. Inter-segment revenue was insignificant for all periods presented.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860" w:type="dxa"/>
            <w:vAlign w:val="bottom"/>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2021</w:t>
            </w:r>
          </w:p>
        </w:tc>
      </w:tr>
      <w:tr>
        <w:trPr>
          <w:trHeight w:val="182"/>
        </w:trPr>
        <w:tc>
          <w:tcPr>
            <w:tcW w:w="4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860" w:type="dxa"/>
            <w:vAlign w:val="bottom"/>
          </w:tcPr>
          <w:p>
            <w:pPr>
              <w:ind w:left="180"/>
              <w:spacing w:after="0"/>
              <w:rPr>
                <w:sz w:val="20"/>
                <w:szCs w:val="20"/>
                <w:color w:val="auto"/>
              </w:rPr>
            </w:pPr>
            <w:r>
              <w:rPr>
                <w:rFonts w:ascii="Arial" w:cs="Arial" w:eastAsia="Arial" w:hAnsi="Arial"/>
                <w:sz w:val="13"/>
                <w:szCs w:val="13"/>
                <w:color w:val="auto"/>
              </w:rPr>
              <w:t>Medicaid</w:t>
            </w:r>
          </w:p>
        </w:tc>
        <w:tc>
          <w:tcPr>
            <w:tcW w:w="1020" w:type="dxa"/>
            <w:vAlign w:val="bottom"/>
          </w:tcPr>
          <w:p>
            <w:pPr>
              <w:jc w:val="right"/>
              <w:ind w:right="88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6,380</w:t>
            </w:r>
          </w:p>
        </w:tc>
        <w:tc>
          <w:tcPr>
            <w:tcW w:w="100" w:type="dxa"/>
            <w:vAlign w:val="bottom"/>
          </w:tcPr>
          <w:p>
            <w:pPr>
              <w:spacing w:after="0"/>
              <w:rPr>
                <w:sz w:val="14"/>
                <w:szCs w:val="14"/>
                <w:color w:val="auto"/>
              </w:rPr>
            </w:pPr>
          </w:p>
        </w:tc>
        <w:tc>
          <w:tcPr>
            <w:tcW w:w="1040" w:type="dxa"/>
            <w:vAlign w:val="bottom"/>
          </w:tcPr>
          <w:p>
            <w:pPr>
              <w:jc w:val="right"/>
              <w:ind w:right="89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5,354</w:t>
            </w:r>
          </w:p>
        </w:tc>
        <w:tc>
          <w:tcPr>
            <w:tcW w:w="8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19,091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15,583</w:t>
            </w:r>
          </w:p>
        </w:tc>
      </w:tr>
      <w:tr>
        <w:trPr>
          <w:trHeight w:val="171"/>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Medicare</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2,502</w:t>
            </w:r>
          </w:p>
        </w:tc>
      </w:tr>
      <w:tr>
        <w:trPr>
          <w:trHeight w:val="169"/>
        </w:trPr>
        <w:tc>
          <w:tcPr>
            <w:tcW w:w="4860" w:type="dxa"/>
            <w:vAlign w:val="bottom"/>
          </w:tcPr>
          <w:p>
            <w:pPr>
              <w:ind w:left="180"/>
              <w:spacing w:after="0"/>
              <w:rPr>
                <w:sz w:val="20"/>
                <w:szCs w:val="20"/>
                <w:color w:val="auto"/>
              </w:rPr>
            </w:pPr>
            <w:r>
              <w:rPr>
                <w:rFonts w:ascii="Arial" w:cs="Arial" w:eastAsia="Arial" w:hAnsi="Arial"/>
                <w:sz w:val="13"/>
                <w:szCs w:val="13"/>
                <w:color w:val="auto"/>
              </w:rPr>
              <w:t>Marketplace</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793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2,224</w:t>
            </w:r>
          </w:p>
        </w:tc>
      </w:tr>
      <w:tr>
        <w:trPr>
          <w:trHeight w:val="170"/>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62"/>
        </w:trPr>
        <w:tc>
          <w:tcPr>
            <w:tcW w:w="4860" w:type="dxa"/>
            <w:vAlign w:val="bottom"/>
          </w:tcPr>
          <w:p>
            <w:pPr>
              <w:ind w:left="360"/>
              <w:spacing w:after="0"/>
              <w:rPr>
                <w:sz w:val="20"/>
                <w:szCs w:val="20"/>
                <w:color w:val="auto"/>
              </w:rPr>
            </w:pPr>
            <w:r>
              <w:rPr>
                <w:rFonts w:ascii="Arial" w:cs="Arial" w:eastAsia="Arial" w:hAnsi="Arial"/>
                <w:sz w:val="13"/>
                <w:szCs w:val="13"/>
                <w:color w:val="auto"/>
              </w:rPr>
              <w:t>Total</w:t>
            </w:r>
          </w:p>
        </w:tc>
        <w:tc>
          <w:tcPr>
            <w:tcW w:w="1020" w:type="dxa"/>
            <w:vAlign w:val="bottom"/>
            <w:tcBorders>
              <w:bottom w:val="single" w:sz="8" w:color="auto"/>
            </w:tcBorders>
          </w:tcPr>
          <w:p>
            <w:pPr>
              <w:jc w:val="right"/>
              <w:ind w:right="880"/>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7,927</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8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7,040</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23,751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20,362</w:t>
            </w:r>
          </w:p>
        </w:tc>
      </w:tr>
      <w:tr>
        <w:trPr>
          <w:trHeight w:val="20"/>
        </w:trPr>
        <w:tc>
          <w:tcPr>
            <w:tcW w:w="4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margin by segment to consolidated income before income taxes.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1"/>
                <w:szCs w:val="11"/>
                <w:b w:val="1"/>
                <w:bCs w:val="1"/>
                <w:color w:val="auto"/>
              </w:rPr>
              <w:t>Three Months Ended September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860" w:type="dxa"/>
            <w:vAlign w:val="bottom"/>
          </w:tcPr>
          <w:p>
            <w:pPr>
              <w:spacing w:after="0"/>
              <w:rPr>
                <w:sz w:val="13"/>
                <w:szCs w:val="13"/>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2021</w:t>
            </w:r>
          </w:p>
        </w:tc>
      </w:tr>
      <w:tr>
        <w:trPr>
          <w:trHeight w:val="182"/>
        </w:trPr>
        <w:tc>
          <w:tcPr>
            <w:tcW w:w="4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Margin:</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860" w:type="dxa"/>
            <w:vAlign w:val="bottom"/>
          </w:tcPr>
          <w:p>
            <w:pPr>
              <w:ind w:left="180"/>
              <w:spacing w:after="0"/>
              <w:rPr>
                <w:sz w:val="20"/>
                <w:szCs w:val="20"/>
                <w:color w:val="auto"/>
              </w:rPr>
            </w:pPr>
            <w:r>
              <w:rPr>
                <w:rFonts w:ascii="Arial" w:cs="Arial" w:eastAsia="Arial" w:hAnsi="Arial"/>
                <w:sz w:val="13"/>
                <w:szCs w:val="13"/>
                <w:color w:val="auto"/>
              </w:rPr>
              <w:t>Medicaid</w:t>
            </w:r>
          </w:p>
        </w:tc>
        <w:tc>
          <w:tcPr>
            <w:tcW w:w="1060" w:type="dxa"/>
            <w:vAlign w:val="bottom"/>
          </w:tcPr>
          <w:p>
            <w:pPr>
              <w:jc w:val="right"/>
              <w:ind w:right="92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703</w:t>
            </w:r>
          </w:p>
        </w:tc>
        <w:tc>
          <w:tcPr>
            <w:tcW w:w="80" w:type="dxa"/>
            <w:vAlign w:val="bottom"/>
          </w:tcPr>
          <w:p>
            <w:pPr>
              <w:spacing w:after="0"/>
              <w:rPr>
                <w:sz w:val="14"/>
                <w:szCs w:val="14"/>
                <w:color w:val="auto"/>
              </w:rPr>
            </w:pPr>
          </w:p>
        </w:tc>
        <w:tc>
          <w:tcPr>
            <w:tcW w:w="1060" w:type="dxa"/>
            <w:vAlign w:val="bottom"/>
          </w:tcPr>
          <w:p>
            <w:pPr>
              <w:jc w:val="right"/>
              <w:ind w:right="899"/>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2,168</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1,687</w:t>
            </w:r>
          </w:p>
        </w:tc>
      </w:tr>
      <w:tr>
        <w:trPr>
          <w:trHeight w:val="171"/>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Medicare</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69"/>
        </w:trPr>
        <w:tc>
          <w:tcPr>
            <w:tcW w:w="4860" w:type="dxa"/>
            <w:vAlign w:val="bottom"/>
          </w:tcPr>
          <w:p>
            <w:pPr>
              <w:ind w:left="180"/>
              <w:spacing w:after="0"/>
              <w:rPr>
                <w:sz w:val="20"/>
                <w:szCs w:val="20"/>
                <w:color w:val="auto"/>
              </w:rPr>
            </w:pPr>
            <w:r>
              <w:rPr>
                <w:rFonts w:ascii="Arial" w:cs="Arial" w:eastAsia="Arial" w:hAnsi="Arial"/>
                <w:sz w:val="13"/>
                <w:szCs w:val="13"/>
                <w:color w:val="auto"/>
              </w:rPr>
              <w:t>Marketplace</w:t>
            </w: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331</w:t>
            </w:r>
          </w:p>
        </w:tc>
      </w:tr>
      <w:tr>
        <w:trPr>
          <w:trHeight w:val="171"/>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0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9"/>
        </w:trPr>
        <w:tc>
          <w:tcPr>
            <w:tcW w:w="4860" w:type="dxa"/>
            <w:vAlign w:val="bottom"/>
          </w:tcPr>
          <w:p>
            <w:pPr>
              <w:ind w:left="280"/>
              <w:spacing w:after="0"/>
              <w:rPr>
                <w:sz w:val="20"/>
                <w:szCs w:val="20"/>
                <w:color w:val="auto"/>
              </w:rPr>
            </w:pPr>
            <w:r>
              <w:rPr>
                <w:rFonts w:ascii="Arial" w:cs="Arial" w:eastAsia="Arial" w:hAnsi="Arial"/>
                <w:sz w:val="13"/>
                <w:szCs w:val="13"/>
                <w:color w:val="auto"/>
              </w:rPr>
              <w:t>Total margin</w:t>
            </w:r>
          </w:p>
        </w:tc>
        <w:tc>
          <w:tcPr>
            <w:tcW w:w="10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890</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2,791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2,358</w:t>
            </w:r>
          </w:p>
        </w:tc>
      </w:tr>
      <w:tr>
        <w:trPr>
          <w:trHeight w:val="171"/>
        </w:trPr>
        <w:tc>
          <w:tcPr>
            <w:tcW w:w="486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Add: other operating revenues </w:t>
            </w:r>
            <w:r>
              <w:rPr>
                <w:rFonts w:ascii="Arial" w:cs="Arial" w:eastAsia="Arial" w:hAnsi="Arial"/>
                <w:sz w:val="16"/>
                <w:szCs w:val="16"/>
                <w:color w:val="auto"/>
                <w:vertAlign w:val="superscript"/>
              </w:rPr>
              <w:t>(1)</w:t>
            </w: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r>
      <w:tr>
        <w:trPr>
          <w:trHeight w:val="170"/>
        </w:trPr>
        <w:tc>
          <w:tcPr>
            <w:tcW w:w="486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Less: other operating expenses </w:t>
            </w:r>
            <w:r>
              <w:rPr>
                <w:rFonts w:ascii="Arial" w:cs="Arial" w:eastAsia="Arial" w:hAnsi="Arial"/>
                <w:sz w:val="16"/>
                <w:szCs w:val="16"/>
                <w:color w:val="auto"/>
                <w:vertAlign w:val="superscript"/>
              </w:rPr>
              <w:t>(2)</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(2,149)</w:t>
            </w:r>
          </w:p>
        </w:tc>
      </w:tr>
      <w:tr>
        <w:trPr>
          <w:trHeight w:val="160"/>
        </w:trPr>
        <w:tc>
          <w:tcPr>
            <w:tcW w:w="4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income</w:t>
            </w: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r>
      <w:tr>
        <w:trPr>
          <w:trHeight w:val="16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expenses, net</w:t>
            </w: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r>
      <w:tr>
        <w:trPr>
          <w:trHeight w:val="18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55"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operating revenues include premium tax revenue, investment income, and other revenue.</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operating expenses include general and administrative expenses, premium tax expenses, depreciation and amortization, and other operating expenses.</w:t>
      </w:r>
    </w:p>
    <w:p>
      <w:pPr>
        <w:spacing w:after="0" w:line="68" w:lineRule="exact"/>
        <w:rPr>
          <w:sz w:val="20"/>
          <w:szCs w:val="20"/>
          <w:color w:val="auto"/>
        </w:rPr>
      </w:pPr>
    </w:p>
    <w:p>
      <w:pPr>
        <w:ind w:left="240" w:hanging="235"/>
        <w:spacing w:after="0"/>
        <w:tabs>
          <w:tab w:leader="none" w:pos="240" w:val="left"/>
        </w:tabs>
        <w:numPr>
          <w:ilvl w:val="0"/>
          <w:numId w:val="8"/>
        </w:numPr>
        <w:rPr>
          <w:rFonts w:ascii="Arial" w:cs="Arial" w:eastAsia="Arial" w:hAnsi="Arial"/>
          <w:sz w:val="14"/>
          <w:szCs w:val="14"/>
          <w:color w:val="828282"/>
        </w:rPr>
      </w:pPr>
      <w:r>
        <w:rPr>
          <w:rFonts w:ascii="Arial" w:cs="Arial" w:eastAsia="Arial" w:hAnsi="Arial"/>
          <w:sz w:val="14"/>
          <w:szCs w:val="14"/>
          <w:color w:val="828282"/>
        </w:rPr>
        <w:t>Commitments and Contingencies</w:t>
      </w:r>
    </w:p>
    <w:p>
      <w:pPr>
        <w:spacing w:after="0" w:line="95" w:lineRule="exact"/>
        <w:rPr>
          <w:rFonts w:ascii="Arial" w:cs="Arial" w:eastAsia="Arial" w:hAnsi="Arial"/>
          <w:sz w:val="14"/>
          <w:szCs w:val="14"/>
          <w:color w:val="828282"/>
        </w:rPr>
      </w:pPr>
    </w:p>
    <w:p>
      <w:pPr>
        <w:spacing w:after="0"/>
        <w:rPr>
          <w:rFonts w:ascii="Arial" w:cs="Arial" w:eastAsia="Arial" w:hAnsi="Arial"/>
          <w:sz w:val="14"/>
          <w:szCs w:val="14"/>
          <w:color w:val="828282"/>
        </w:rPr>
      </w:pPr>
      <w:r>
        <w:rPr>
          <w:rFonts w:ascii="Arial" w:cs="Arial" w:eastAsia="Arial" w:hAnsi="Arial"/>
          <w:sz w:val="14"/>
          <w:szCs w:val="14"/>
          <w:b w:val="1"/>
          <w:bCs w:val="1"/>
          <w:i w:val="1"/>
          <w:iCs w:val="1"/>
          <w:color w:val="auto"/>
        </w:rPr>
        <w:t>COVID-19 Pandemic</w:t>
      </w:r>
    </w:p>
    <w:p>
      <w:pPr>
        <w:spacing w:after="0" w:line="9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We continue to monitor and assess the estimated operating and financial impact of the COVID-19 pandemic on our business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the repayment of previously billed and collected revenues and reputational damage.</w:t>
      </w:r>
    </w:p>
    <w:p>
      <w:pPr>
        <w:spacing w:after="0" w:line="49"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49"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i w:val="1"/>
          <w:iCs w:val="1"/>
          <w:color w:val="auto"/>
        </w:rPr>
        <w:t>Kentucky RFP</w:t>
      </w:r>
      <w:r>
        <w:rPr>
          <w:rFonts w:ascii="Arial" w:cs="Arial" w:eastAsia="Arial" w:hAnsi="Arial"/>
          <w:sz w:val="14"/>
          <w:szCs w:val="14"/>
          <w:color w:val="auto"/>
        </w:rPr>
        <w:t>. On September 4, 2020, Anthem Kentucky Managed Care Plan, Inc. brought an action in Franklin County Circuit Court against the Kentucky Finance and</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Administration Cabinet, the Kentucky Cabinet for Health and Family Services, and all of the five winning bidder health plans, including our Kentucky health plan. On September 9, 2022, the Court of Appeal ruled, among other things, that the Circuit Court should not have invalidated the 2020 procurement and thus should not have awarded a contract to Anthem. Anthem filed a petition for rehearing with the Kentucky Court of Appeals and will likely seek review by the Kentucky Supreme Court. Pending further Court order, our Kentucky health plan will continue to operate for the foreseeable future under its current Medicaid contract.</w:t>
      </w:r>
    </w:p>
    <w:p>
      <w:pPr>
        <w:spacing w:after="0" w:line="55"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i w:val="1"/>
          <w:iCs w:val="1"/>
          <w:color w:val="auto"/>
        </w:rPr>
        <w:t xml:space="preserve">Puerto Rico. </w:t>
      </w:r>
      <w:r>
        <w:rPr>
          <w:rFonts w:ascii="Arial" w:cs="Arial" w:eastAsia="Arial" w:hAnsi="Arial"/>
          <w:sz w:val="14"/>
          <w:szCs w:val="14"/>
          <w:color w:val="auto"/>
        </w:rPr>
        <w:t>On August 13, 2021, Molina Healthcare of Puerto Rico, Inc. (“MHPR”) filed a complaint against the Puerto Rico Health Insurance Administration (“ASES”), asserting,</w:t>
      </w:r>
      <w:r>
        <w:rPr>
          <w:rFonts w:ascii="Arial" w:cs="Arial" w:eastAsia="Arial" w:hAnsi="Arial"/>
          <w:sz w:val="14"/>
          <w:szCs w:val="14"/>
          <w:i w:val="1"/>
          <w:iCs w:val="1"/>
          <w:color w:val="auto"/>
        </w:rPr>
        <w:t xml:space="preserve"> </w:t>
      </w:r>
      <w:r>
        <w:rPr>
          <w:rFonts w:ascii="Arial" w:cs="Arial" w:eastAsia="Arial" w:hAnsi="Arial"/>
          <w:sz w:val="14"/>
          <w:szCs w:val="14"/>
          <w:color w:val="auto"/>
        </w:rPr>
        <w:t>among other claims, breach of contract. On September 13, 2021, ASES filed a counterclaim and a third-party complaint against MHPR and the Company. This matter remains subject to significant additional proceedings, and no prediction can be made as to the outcome.</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MANAGEMENT’S DISCUSSION AND ANALYSIS OF FINANCIAL CONDITION AND RESULTS OF OPERATIONS (“MD&amp;A”)</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828282"/>
        </w:rPr>
        <w:t>FORWARD-LOOKING STATEMENTS</w:t>
      </w:r>
    </w:p>
    <w:p>
      <w:pPr>
        <w:spacing w:after="0" w:line="94"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2021 Annual Report on Form 10-K, including without limitation the following:</w:t>
      </w:r>
    </w:p>
    <w:p>
      <w:pPr>
        <w:spacing w:after="0" w:line="60" w:lineRule="exact"/>
        <w:rPr>
          <w:sz w:val="20"/>
          <w:szCs w:val="20"/>
          <w:color w:val="auto"/>
        </w:rPr>
      </w:pPr>
    </w:p>
    <w:p>
      <w:pPr>
        <w:ind w:left="260" w:right="340" w:hanging="255"/>
        <w:spacing w:after="0" w:line="258" w:lineRule="auto"/>
        <w:tabs>
          <w:tab w:leader="none" w:pos="256" w:val="left"/>
        </w:tabs>
        <w:numPr>
          <w:ilvl w:val="0"/>
          <w:numId w:val="9"/>
        </w:numPr>
        <w:rPr>
          <w:rFonts w:ascii="Times New Roman" w:cs="Times New Roman" w:eastAsia="Times New Roman" w:hAnsi="Times New Roman"/>
          <w:sz w:val="14"/>
          <w:szCs w:val="14"/>
          <w:i w:val="1"/>
          <w:iCs w:val="1"/>
          <w:color w:val="auto"/>
        </w:rPr>
      </w:pPr>
      <w:r>
        <w:rPr>
          <w:rFonts w:ascii="Arial" w:cs="Arial" w:eastAsia="Arial" w:hAnsi="Arial"/>
          <w:sz w:val="14"/>
          <w:szCs w:val="14"/>
          <w:i w:val="1"/>
          <w:iCs w:val="1"/>
          <w:color w:val="auto"/>
        </w:rPr>
        <w:t>the impact of the COVID-19 pandemic and its associated or indirect effects on our business, operations, and financial results, including without limitation the duration of the Public Health Emergency Declaration (“PHE”) and associated suspension in redeterminations, and the potential impact on our workforce or contractors of federal or state vaccine mandates;</w:t>
      </w:r>
    </w:p>
    <w:p>
      <w:pPr>
        <w:spacing w:after="0" w:line="1" w:lineRule="exact"/>
        <w:rPr>
          <w:rFonts w:ascii="Times New Roman" w:cs="Times New Roman" w:eastAsia="Times New Roman" w:hAnsi="Times New Roman"/>
          <w:sz w:val="14"/>
          <w:szCs w:val="14"/>
          <w:i w:val="1"/>
          <w:iCs w:val="1"/>
          <w:color w:val="auto"/>
        </w:rPr>
      </w:pPr>
    </w:p>
    <w:p>
      <w:pPr>
        <w:ind w:left="260" w:right="2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numerous political, judicial, and market-based uncertainties associated with the Affordable Care Act (the “ACA”);</w:t>
      </w:r>
    </w:p>
    <w:p>
      <w:pPr>
        <w:spacing w:after="0" w:line="8" w:lineRule="exact"/>
        <w:rPr>
          <w:rFonts w:ascii="Arial" w:cs="Arial" w:eastAsia="Arial" w:hAnsi="Arial"/>
          <w:sz w:val="14"/>
          <w:szCs w:val="14"/>
          <w:i w:val="1"/>
          <w:iCs w:val="1"/>
          <w:color w:val="auto"/>
        </w:rPr>
      </w:pPr>
    </w:p>
    <w:p>
      <w:pPr>
        <w:ind w:left="260" w:right="56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outcome of the legal proceedings in Kentucky with regard to the Medicaid contract award to our Kentucky health plan and our acquisition of certain assets of Passport;</w:t>
      </w:r>
    </w:p>
    <w:p>
      <w:pPr>
        <w:spacing w:after="0" w:line="8" w:lineRule="exact"/>
        <w:rPr>
          <w:rFonts w:ascii="Arial" w:cs="Arial" w:eastAsia="Arial" w:hAnsi="Arial"/>
          <w:sz w:val="14"/>
          <w:szCs w:val="14"/>
          <w:i w:val="1"/>
          <w:iCs w:val="1"/>
          <w:color w:val="auto"/>
        </w:rPr>
      </w:pPr>
    </w:p>
    <w:p>
      <w:pPr>
        <w:ind w:left="260" w:right="28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success of our efforts to retain existing or awarded government contracts, including our awarded contracts in California, Iowa, and Nebraska, and the success of any bid submissions in response to requests for proposal, including our contracts in Texas;</w:t>
      </w:r>
    </w:p>
    <w:p>
      <w:pPr>
        <w:ind w:left="260" w:right="66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subsequent adjustments to reported premium revenue based upon subsequent developments or new information, including changes to estimated amounts payable or receivable related to Marketplace risk adjustment;</w:t>
      </w:r>
    </w:p>
    <w:p>
      <w:pPr>
        <w:ind w:left="260" w:right="26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consummate, integrate, and realize benefits from acquisitions, including the completed acquisitions of Magellan Complete Care, Passport, Affinity, the Medicaid assets of Cigna in Texas, AgeWell New York and the announced acquisition of My Choice Wisconsin;</w:t>
      </w: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management of our medical costs;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predict with a reasonable degree of accuracy utilization rates, including utilization rates associated with COVID-19;</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cyber-attacks, ransomware attacks, or other privacy or data security incidents resulting in an inadvertent unauthorized disclosure of protected information;</w:t>
      </w:r>
    </w:p>
    <w:p>
      <w:pPr>
        <w:spacing w:after="0" w:line="8" w:lineRule="exact"/>
        <w:rPr>
          <w:rFonts w:ascii="Arial" w:cs="Arial" w:eastAsia="Arial" w:hAnsi="Arial"/>
          <w:sz w:val="14"/>
          <w:szCs w:val="14"/>
          <w:i w:val="1"/>
          <w:iCs w:val="1"/>
          <w:color w:val="auto"/>
        </w:rPr>
      </w:pPr>
    </w:p>
    <w:p>
      <w:pPr>
        <w:ind w:left="260" w:right="24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260" w:right="24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operate profitably in an environment where the trend in premium rate increases lags behind the trend in increasing medical costs;</w:t>
      </w:r>
    </w:p>
    <w:p>
      <w:pPr>
        <w:spacing w:after="0" w:line="8" w:lineRule="exact"/>
        <w:rPr>
          <w:rFonts w:ascii="Arial" w:cs="Arial" w:eastAsia="Arial" w:hAnsi="Arial"/>
          <w:sz w:val="14"/>
          <w:szCs w:val="14"/>
          <w:i w:val="1"/>
          <w:iCs w:val="1"/>
          <w:color w:val="auto"/>
        </w:rPr>
      </w:pPr>
    </w:p>
    <w:p>
      <w:pPr>
        <w:ind w:left="260" w:right="22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260" w:right="240" w:hanging="255"/>
        <w:spacing w:after="0" w:line="269"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estimates of amounts owed for such cost expenditure floors, administrative cost and profit ceilings, premium stabilization programs, profit-sharing arrangements, and risk adjustment provisions and requirements;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ind w:left="260" w:right="80" w:hanging="255"/>
        <w:spacing w:after="0" w:line="262" w:lineRule="auto"/>
        <w:tabs>
          <w:tab w:leader="none" w:pos="25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260" w:right="320" w:hanging="255"/>
        <w:spacing w:after="0" w:line="253" w:lineRule="auto"/>
        <w:tabs>
          <w:tab w:leader="none" w:pos="25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success and renewal of our duals demonstration programs in California, Illinois, Michigan, Ohio, South Carolina, and Texas;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accurate estimation of incurred but not reported or paid medical costs across our health plans;</w:t>
      </w:r>
    </w:p>
    <w:p>
      <w:pPr>
        <w:spacing w:after="0" w:line="8" w:lineRule="exact"/>
        <w:rPr>
          <w:rFonts w:ascii="Arial" w:cs="Arial" w:eastAsia="Arial" w:hAnsi="Arial"/>
          <w:sz w:val="14"/>
          <w:szCs w:val="14"/>
          <w:i w:val="1"/>
          <w:iCs w:val="1"/>
          <w:color w:val="auto"/>
        </w:rPr>
      </w:pPr>
    </w:p>
    <w:p>
      <w:pPr>
        <w:ind w:left="260" w:hanging="255"/>
        <w:spacing w:after="0" w:line="237" w:lineRule="auto"/>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efforts by states to recoup previously paid and recognized premium amounts;</w:t>
      </w: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changes in our annual effective tax rate, due to federal and/or state legislation, or changes in our mix of earnings and other factors;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complications, member confusion, eligibility redeterminations, or enrollment backlogs related to the renewal of Medicaid coverage;</w:t>
      </w:r>
    </w:p>
    <w:p>
      <w:pPr>
        <w:spacing w:after="0" w:line="8" w:lineRule="exact"/>
        <w:rPr>
          <w:rFonts w:ascii="Arial" w:cs="Arial" w:eastAsia="Arial" w:hAnsi="Arial"/>
          <w:sz w:val="14"/>
          <w:szCs w:val="14"/>
          <w:i w:val="1"/>
          <w:iCs w:val="1"/>
          <w:color w:val="auto"/>
        </w:rPr>
      </w:pPr>
    </w:p>
    <w:p>
      <w:pPr>
        <w:ind w:left="260" w:right="280" w:hanging="255"/>
        <w:spacing w:after="0" w:line="245" w:lineRule="auto"/>
        <w:tabs>
          <w:tab w:leader="none" w:pos="25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260" w:right="200" w:hanging="255"/>
        <w:spacing w:after="0" w:line="244" w:lineRule="auto"/>
        <w:tabs>
          <w:tab w:leader="none" w:pos="256"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our exit from Puerto Rico, including the payment in full of our outstanding accounts receivable, the effective run-out of claims, the return of our capital, and the outcome of the claims filed against our Puerto Rico health plan and us by the Puerto Rico Health Insurance Administration, or ASES;</w:t>
      </w: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changes with respect to our provider contracts and the loss of providers;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approval by state regulators of dividends and distributions by our health plan subsidiaries;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changes in funding under our contracts as a result of regulatory changes, programmatic adjustments, or other reforms;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high dollar claims related to catastrophic illness;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resolution, favorable or unfavorable, of litigation, arbitration, or administrative proceedings;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relatively small number of states in which we operate health plans, including the greater scale and revenues of our California, Ohio, Texas, and Washington health plans;</w:t>
      </w:r>
    </w:p>
    <w:p>
      <w:pPr>
        <w:spacing w:after="0" w:line="8" w:lineRule="exact"/>
        <w:rPr>
          <w:rFonts w:ascii="Arial" w:cs="Arial" w:eastAsia="Arial" w:hAnsi="Arial"/>
          <w:sz w:val="14"/>
          <w:szCs w:val="14"/>
          <w:i w:val="1"/>
          <w:iCs w:val="1"/>
          <w:color w:val="auto"/>
        </w:rPr>
      </w:pPr>
    </w:p>
    <w:p>
      <w:pPr>
        <w:ind w:left="260" w:hanging="255"/>
        <w:spacing w:after="0" w:line="237" w:lineRule="auto"/>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failure to comply with the financial or other covenants in our credit agreement or the indentures governing our outstanding notes;</w:t>
      </w:r>
    </w:p>
    <w:p>
      <w:pPr>
        <w:ind w:left="260" w:hanging="255"/>
        <w:spacing w:after="0" w:line="245" w:lineRule="auto"/>
        <w:tabs>
          <w:tab w:leader="none" w:pos="25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availability of adequate financing on acceptable terms to fund and capitalize our expansion and growth, repay our outstanding indebtedness at maturity, and meet our general liquidity needs;</w:t>
      </w: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sufficiency of funds on hand to pay the amounts due upon maturity of our outstanding notes;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failure of a state in which we operate to renew its federal Medicaid waiver;</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changes generally affecting the managed care industry;</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increases in government surcharges, taxes, and assessments;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unexpected loss of the leadership of one or more of our senior executives; and</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increasing competition and consolidation in the Medicaid industry.</w:t>
      </w:r>
    </w:p>
    <w:p>
      <w:pPr>
        <w:spacing w:after="0" w:line="8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35"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Readers should refer to the section entitled “Risk Factors” in our 2021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49"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This Quarterly Report on Form 10 -Q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2021 Annual Report on Form 10-K.</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OVERVIEW</w:t>
      </w:r>
    </w:p>
    <w:p>
      <w:pPr>
        <w:spacing w:after="0" w:line="87"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Molina Healthcare, Inc., a FORTUNE 500 company (currently ranked 125), provides managed healthcare services under the Medicaid and Medicare programs, and through the state insurance marketplaces (the “Marketplace”). We served approximately 5.2 million members as of September 30, 2022, located across 19 states.</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THIRD QUARTER 2022 HIGHLIGHTS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reported net income of $230 million, or $3.95 per diluted share, for the third quarter of 2022, which reflected the following:</w:t>
      </w:r>
    </w:p>
    <w:p>
      <w:pPr>
        <w:spacing w:after="0" w:line="94"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Membership increase of 337,000, or 7%, compared with September 30, 2021, and a 57,000 sequential increase compared to June 30, 2022;</w:t>
      </w:r>
    </w:p>
    <w:p>
      <w:pPr>
        <w:spacing w:after="0" w:line="22" w:lineRule="exact"/>
        <w:rPr>
          <w:rFonts w:ascii="Arial" w:cs="Arial" w:eastAsia="Arial" w:hAnsi="Arial"/>
          <w:sz w:val="14"/>
          <w:szCs w:val="14"/>
          <w:color w:val="auto"/>
        </w:rPr>
      </w:pPr>
    </w:p>
    <w:p>
      <w:pPr>
        <w:ind w:left="520" w:right="260" w:hanging="260"/>
        <w:spacing w:after="0" w:line="253"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Premium revenue of $7.6 billion increased 12% compared with the third quarter of 2021, reflecting the impact of acquisitions, increased organic membership in Medicaid and Medicare, partially offset by the impact of expected attrition in Marketplace membership;</w:t>
      </w: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Consolidated medical care ratio (“MCR”) was 88.4%, compared with 88.9% for the third quarter of 2021;</w:t>
      </w:r>
    </w:p>
    <w:p>
      <w:pPr>
        <w:spacing w:after="0" w:line="8" w:lineRule="exact"/>
        <w:rPr>
          <w:rFonts w:ascii="Arial" w:cs="Arial" w:eastAsia="Arial" w:hAnsi="Arial"/>
          <w:sz w:val="14"/>
          <w:szCs w:val="14"/>
          <w:color w:val="auto"/>
        </w:rPr>
      </w:pPr>
    </w:p>
    <w:p>
      <w:pPr>
        <w:ind w:left="520" w:right="100" w:hanging="260"/>
        <w:spacing w:after="0" w:line="253"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and administrative expense (“G&amp;A”) ratio of 7.1%, which compared with 7.5% in the third quarter of 2021, reflecting the benefits of scale produced by our increase in revenue and disciplined cost management; and</w:t>
      </w: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After-tax margin of 2.9%, which was in line with our expectations.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We note the following factors impacting the 2022 third quarter financial results:</w:t>
      </w:r>
    </w:p>
    <w:p>
      <w:pPr>
        <w:spacing w:after="0" w:line="94" w:lineRule="exact"/>
        <w:rPr>
          <w:sz w:val="20"/>
          <w:szCs w:val="20"/>
          <w:color w:val="auto"/>
        </w:rPr>
      </w:pPr>
    </w:p>
    <w:p>
      <w:pPr>
        <w:ind w:left="520" w:right="280" w:hanging="260"/>
        <w:spacing w:after="0" w:line="263"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net effect of COVID decreased net income by approximately $0.59 per diluted share and increased the MCR by 60 basis points in the third quarter of 2022. The net effect of COVID decreased net income by approximately $1.00 per diluted share and increased the MCR by 110 basis points in the third quarter of 2021; and</w:t>
      </w: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Higher net investment income that was mainly driven by recent Federal Reserve interest rate increases.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FINANCIAL SUMMARY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60" w:type="dxa"/>
            <w:vAlign w:val="bottom"/>
          </w:tcPr>
          <w:p>
            <w:pPr>
              <w:spacing w:after="0"/>
              <w:rPr>
                <w:sz w:val="13"/>
                <w:szCs w:val="13"/>
                <w:color w:val="auto"/>
              </w:rPr>
            </w:pPr>
          </w:p>
        </w:tc>
        <w:tc>
          <w:tcPr>
            <w:tcW w:w="3340" w:type="dxa"/>
            <w:vAlign w:val="bottom"/>
            <w:gridSpan w:val="6"/>
          </w:tcPr>
          <w:p>
            <w:pPr>
              <w:ind w:left="660"/>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3"/>
                <w:szCs w:val="13"/>
                <w:color w:val="auto"/>
              </w:rPr>
            </w:pPr>
          </w:p>
        </w:tc>
        <w:tc>
          <w:tcPr>
            <w:tcW w:w="2900" w:type="dxa"/>
            <w:vAlign w:val="bottom"/>
            <w:gridSpan w:val="4"/>
          </w:tcPr>
          <w:p>
            <w:pPr>
              <w:jc w:val="right"/>
              <w:ind w:right="637"/>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660" w:type="dxa"/>
            <w:vAlign w:val="bottom"/>
          </w:tcPr>
          <w:p>
            <w:pPr>
              <w:spacing w:after="0"/>
              <w:rPr>
                <w:sz w:val="13"/>
                <w:szCs w:val="13"/>
                <w:color w:val="auto"/>
              </w:rPr>
            </w:pPr>
          </w:p>
        </w:tc>
        <w:tc>
          <w:tcPr>
            <w:tcW w:w="10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2021</w:t>
            </w:r>
          </w:p>
        </w:tc>
      </w:tr>
      <w:tr>
        <w:trPr>
          <w:trHeight w:val="192"/>
        </w:trPr>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260"/>
              <w:spacing w:after="0"/>
              <w:rPr>
                <w:sz w:val="20"/>
                <w:szCs w:val="20"/>
                <w:color w:val="auto"/>
              </w:rPr>
            </w:pPr>
            <w:r>
              <w:rPr>
                <w:rFonts w:ascii="Arial" w:cs="Arial" w:eastAsia="Arial" w:hAnsi="Arial"/>
                <w:sz w:val="11"/>
                <w:szCs w:val="11"/>
                <w:b w:val="1"/>
                <w:bCs w:val="1"/>
                <w:color w:val="auto"/>
              </w:rPr>
              <w:t>(In millions, except per-share amounts)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revenue</w:t>
            </w: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7,636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6,800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22,966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19,689</w:t>
            </w:r>
          </w:p>
        </w:tc>
      </w:tr>
      <w:tr>
        <w:trPr>
          <w:trHeight w:val="16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medical care costs</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6,748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6,049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20,183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17,342</w:t>
            </w: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margin</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888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2,347</w:t>
            </w:r>
          </w:p>
        </w:tc>
      </w:tr>
      <w:tr>
        <w:trPr>
          <w:trHeight w:val="170"/>
        </w:trPr>
        <w:tc>
          <w:tcPr>
            <w:tcW w:w="4660" w:type="dxa"/>
            <w:vAlign w:val="bottom"/>
          </w:tcPr>
          <w:p>
            <w:pPr>
              <w:ind w:left="100"/>
              <w:spacing w:after="0" w:line="170" w:lineRule="exact"/>
              <w:rPr>
                <w:sz w:val="20"/>
                <w:szCs w:val="20"/>
                <w:color w:val="auto"/>
              </w:rPr>
            </w:pPr>
            <w:r>
              <w:rPr>
                <w:rFonts w:ascii="Arial" w:cs="Arial" w:eastAsia="Arial" w:hAnsi="Arial"/>
                <w:sz w:val="13"/>
                <w:szCs w:val="13"/>
                <w:i w:val="1"/>
                <w:iCs w:val="1"/>
                <w:color w:val="auto"/>
              </w:rPr>
              <w:t xml:space="preserve">MCR </w:t>
            </w:r>
            <w:r>
              <w:rPr>
                <w:rFonts w:ascii="Arial" w:cs="Arial" w:eastAsia="Arial" w:hAnsi="Arial"/>
                <w:sz w:val="16"/>
                <w:szCs w:val="16"/>
                <w:i w:val="1"/>
                <w:iCs w:val="1"/>
                <w:color w:val="auto"/>
                <w:vertAlign w:val="superscript"/>
              </w:rPr>
              <w:t>(1)</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i w:val="1"/>
                <w:iCs w:val="1"/>
                <w:color w:val="auto"/>
              </w:rPr>
              <w:t>88.4 %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88.9 %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87.9 %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88.1 %</w:t>
            </w:r>
          </w:p>
        </w:tc>
      </w:tr>
      <w:tr>
        <w:trPr>
          <w:trHeight w:val="170"/>
        </w:trPr>
        <w:tc>
          <w:tcPr>
            <w:tcW w:w="4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Other revenues: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tax revenue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576</w:t>
            </w: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Investment income</w:t>
            </w:r>
          </w:p>
        </w:tc>
        <w:tc>
          <w:tcPr>
            <w:tcW w:w="100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39</w:t>
            </w:r>
          </w:p>
        </w:tc>
      </w:tr>
      <w:tr>
        <w:trPr>
          <w:trHeight w:val="171"/>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58</w:t>
            </w:r>
          </w:p>
        </w:tc>
      </w:tr>
      <w:tr>
        <w:trPr>
          <w:trHeight w:val="170"/>
        </w:trPr>
        <w:tc>
          <w:tcPr>
            <w:tcW w:w="4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1,682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1,489</w:t>
            </w:r>
          </w:p>
        </w:tc>
      </w:tr>
      <w:tr>
        <w:trPr>
          <w:trHeight w:val="170"/>
        </w:trPr>
        <w:tc>
          <w:tcPr>
            <w:tcW w:w="4660" w:type="dxa"/>
            <w:vAlign w:val="bottom"/>
          </w:tcPr>
          <w:p>
            <w:pPr>
              <w:ind w:left="100"/>
              <w:spacing w:after="0" w:line="170" w:lineRule="exact"/>
              <w:rPr>
                <w:sz w:val="20"/>
                <w:szCs w:val="20"/>
                <w:color w:val="auto"/>
              </w:rPr>
            </w:pPr>
            <w:r>
              <w:rPr>
                <w:rFonts w:ascii="Arial" w:cs="Arial" w:eastAsia="Arial" w:hAnsi="Arial"/>
                <w:sz w:val="13"/>
                <w:szCs w:val="13"/>
                <w:i w:val="1"/>
                <w:iCs w:val="1"/>
                <w:color w:val="auto"/>
              </w:rPr>
              <w:t xml:space="preserve">G&amp;A ratio </w:t>
            </w:r>
            <w:r>
              <w:rPr>
                <w:rFonts w:ascii="Arial" w:cs="Arial" w:eastAsia="Arial" w:hAnsi="Arial"/>
                <w:sz w:val="16"/>
                <w:szCs w:val="16"/>
                <w:i w:val="1"/>
                <w:iCs w:val="1"/>
                <w:color w:val="auto"/>
                <w:vertAlign w:val="superscript"/>
              </w:rPr>
              <w:t>(2)</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i w:val="1"/>
                <w:iCs w:val="1"/>
                <w:color w:val="auto"/>
              </w:rPr>
              <w:t>7.1 %</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7.5 %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7.1 %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7.3 %</w:t>
            </w:r>
          </w:p>
        </w:tc>
      </w:tr>
      <w:tr>
        <w:trPr>
          <w:trHeight w:val="170"/>
        </w:trPr>
        <w:tc>
          <w:tcPr>
            <w:tcW w:w="4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Premium tax expenses</w:t>
            </w:r>
          </w:p>
        </w:tc>
        <w:tc>
          <w:tcPr>
            <w:tcW w:w="100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576</w:t>
            </w:r>
          </w:p>
        </w:tc>
      </w:tr>
      <w:tr>
        <w:trPr>
          <w:trHeight w:val="171"/>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w:t>
            </w:r>
          </w:p>
        </w:tc>
      </w:tr>
      <w:tr>
        <w:trPr>
          <w:trHeight w:val="16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30</w:t>
            </w: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335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1,068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829</w:t>
            </w:r>
          </w:p>
        </w:tc>
      </w:tr>
      <w:tr>
        <w:trPr>
          <w:trHeight w:val="15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90</w:t>
            </w: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739</w:t>
            </w:r>
          </w:p>
        </w:tc>
      </w:tr>
      <w:tr>
        <w:trPr>
          <w:trHeight w:val="16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249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183</w:t>
            </w:r>
          </w:p>
        </w:tc>
      </w:tr>
      <w:tr>
        <w:trPr>
          <w:trHeight w:val="18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230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143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736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556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4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9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per share – Diluted</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3.95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12.58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9.51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4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9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weighted average shares outstanding</w:t>
            </w:r>
          </w:p>
        </w:tc>
        <w:tc>
          <w:tcPr>
            <w:tcW w:w="10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58.3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58.5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58.5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58.5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4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Key Statistics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660" w:type="dxa"/>
            <w:vAlign w:val="bottom"/>
          </w:tcPr>
          <w:p>
            <w:pPr>
              <w:ind w:left="20"/>
              <w:spacing w:after="0"/>
              <w:rPr>
                <w:sz w:val="20"/>
                <w:szCs w:val="20"/>
                <w:color w:val="auto"/>
              </w:rPr>
            </w:pPr>
            <w:r>
              <w:rPr>
                <w:rFonts w:ascii="Arial" w:cs="Arial" w:eastAsia="Arial" w:hAnsi="Arial"/>
                <w:sz w:val="13"/>
                <w:szCs w:val="13"/>
                <w:color w:val="auto"/>
              </w:rPr>
              <w:t>Ending membership</w:t>
            </w:r>
          </w:p>
        </w:tc>
        <w:tc>
          <w:tcPr>
            <w:tcW w:w="100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4.8</w:t>
            </w:r>
          </w:p>
        </w:tc>
      </w:tr>
      <w:tr>
        <w:trPr>
          <w:trHeight w:val="171"/>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25.2 %</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24.7 %</w:t>
            </w:r>
          </w:p>
        </w:tc>
      </w:tr>
      <w:tr>
        <w:trPr>
          <w:trHeight w:val="223"/>
        </w:trPr>
        <w:tc>
          <w:tcPr>
            <w:tcW w:w="4660" w:type="dxa"/>
            <w:vAlign w:val="bottom"/>
          </w:tcPr>
          <w:p>
            <w:pPr>
              <w:ind w:left="20"/>
              <w:spacing w:after="0"/>
              <w:rPr>
                <w:sz w:val="20"/>
                <w:szCs w:val="20"/>
                <w:color w:val="auto"/>
              </w:rPr>
            </w:pPr>
            <w:r>
              <w:rPr>
                <w:rFonts w:ascii="Arial" w:cs="Arial" w:eastAsia="Arial" w:hAnsi="Arial"/>
                <w:sz w:val="13"/>
                <w:szCs w:val="13"/>
                <w:color w:val="auto"/>
              </w:rPr>
              <w:t xml:space="preserve">After-tax margin </w:t>
            </w:r>
            <w:r>
              <w:rPr>
                <w:rFonts w:ascii="Arial" w:cs="Arial" w:eastAsia="Arial" w:hAnsi="Arial"/>
                <w:sz w:val="16"/>
                <w:szCs w:val="16"/>
                <w:color w:val="auto"/>
                <w:vertAlign w:val="superscript"/>
              </w:rPr>
              <w:t>(3)</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2.7 %</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55" w:lineRule="exact"/>
        <w:rPr>
          <w:sz w:val="20"/>
          <w:szCs w:val="20"/>
          <w:color w:val="auto"/>
        </w:rPr>
      </w:pPr>
    </w:p>
    <w:p>
      <w:pPr>
        <w:ind w:left="300" w:hanging="295"/>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MCR represents medical care costs as a percentage of premium revenue.</w:t>
      </w:r>
    </w:p>
    <w:p>
      <w:pPr>
        <w:spacing w:after="0" w:line="11" w:lineRule="exact"/>
        <w:rPr>
          <w:rFonts w:ascii="Arial" w:cs="Arial" w:eastAsia="Arial" w:hAnsi="Arial"/>
          <w:sz w:val="13"/>
          <w:szCs w:val="13"/>
          <w:color w:val="auto"/>
        </w:rPr>
      </w:pPr>
    </w:p>
    <w:p>
      <w:pPr>
        <w:ind w:left="300" w:hanging="295"/>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G&amp;A ratio represents general and administrative expenses as a percentage of total revenue.</w:t>
      </w:r>
    </w:p>
    <w:p>
      <w:pPr>
        <w:spacing w:after="0" w:line="5" w:lineRule="exact"/>
        <w:rPr>
          <w:rFonts w:ascii="Arial" w:cs="Arial" w:eastAsia="Arial" w:hAnsi="Arial"/>
          <w:sz w:val="13"/>
          <w:szCs w:val="13"/>
          <w:color w:val="auto"/>
        </w:rPr>
      </w:pPr>
    </w:p>
    <w:p>
      <w:pPr>
        <w:ind w:left="300" w:hanging="295"/>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After-tax margin represents net income as a percentage of total revenue.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RESULTS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828282"/>
        </w:rPr>
        <w:t>NET INCOME AND OPERATING INCOME</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Net income in the third quarter of 2022 amounted to $230 million, or $3.95 per diluted share, compared with $ 143 million, or $2.46 per diluted share, in the third quarter of 2021. The 61% increase in net income is consistent with the improvement in operating income, which increased to $335 million in the third quarter of 2022, compared with $221 million in the third quarter of 2021.</w:t>
      </w:r>
    </w:p>
    <w:p>
      <w:pPr>
        <w:spacing w:after="0" w:line="4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Net income in the nine months ended September 30, 2022 amounted to $736 million, or $12.58 per diluted share, compared with $556 million, or $9.51 per diluted share, in the nine months ended September 30, 2021. The 32% increase in net income is consistent with the improvement in operating income of $1,068 million in the nine months ended September 30, 2022, compared with $829 million in the nine months ended September 30, 2021.</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The improvement in operating income for both periods was mainly due to membership growth and higher premium revenues, and a decrease in MCR for the three and nine months ended September 30, 2022 compared to the prior year periods.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Net income per share in the third quarter and nine months ended September 30, 2022 was favorably impacted by the reduction in common shares outstanding as a result of our share repurchases in the second quarter of 2022. See further discussion in “Liquidity and Financial Condition,” below.</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828282"/>
        </w:rPr>
        <w:t>PREMIUM REVENUE</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Premium revenue increased $836 million, or 12%, in the third quarter of 2022, when compared with the third quarter of 2021, and increased $3.3 billion, or 17%, in the nine months ended September 30, 2022, when compared with the nine months ended September 30, 2021. The higher premium revenue reflects the impact of acquisitions, increased organic membership in the Medicaid and Medicare segments partially offset by a decline in the Marketplace segment.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828282"/>
        </w:rPr>
        <w:t>MEDICAL CARE RATIO</w:t>
      </w:r>
    </w:p>
    <w:p>
      <w:pPr>
        <w:spacing w:after="0" w:line="83"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consolidated MCR in the third quarter of 2022 decreased to 88.4%, compared with 88.9% in the third quarter of 2021, or 50 basis points. The improvement mainly relates to our Medicaid and Marketplace segments, partially offset by an increase in the Medicare segment. The results reflect a favorable year-over-year change in the net effect of COVID, which impacted all of our segments and increased the consolidated MCR by approximately 60 basis points in the third quarter of 2022, compared to approximately 110 basis points in the third quarter of 2021. The year-over-year change in the net effect of COVID mainly reflects lower COVID inpatient costs, partially offset by lower COVID-related utilization curtailment.</w:t>
      </w:r>
    </w:p>
    <w:p>
      <w:pPr>
        <w:spacing w:after="0" w:line="228"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The consolidated MCR in the nine months ended September 30, 2022 decreased to 87.9%, compared with 88.1% MCR for the nine months ended September 30, 2021, or 20 basis points. Similar to the quarter-to-date consolidated MCR, net effect of COVID impacted each period; however, the results were varied by segment. See further explanation in “Segment Financial Performance,” below.</w:t>
      </w:r>
    </w:p>
    <w:p>
      <w:pPr>
        <w:spacing w:after="0" w:line="49"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prior year reserve development in the third quarter and nine months ended September 30, 2022 was favorable, and its impact on earnings was partially absorbed by the COVID-related risk corridors.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828282"/>
        </w:rPr>
        <w:t>PREMIUM TAX REVENUE AND EXPENSES</w:t>
      </w:r>
    </w:p>
    <w:p>
      <w:pPr>
        <w:spacing w:after="0" w:line="94"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The premium tax ratio (premium tax expense as a percentage of premium revenue plus premium tax revenue) was 2.8% and 2.9% for the third quarter of 2022 and 2021, respectively, and 2.7% and 2.8% for the nine months ended September 30, 2022 and 2021, respectively. The current year ratio decrease was mainly due to changes in business mix.</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828282"/>
        </w:rPr>
        <w:t>INVESTMENT INCOME</w:t>
      </w:r>
    </w:p>
    <w:p>
      <w:pPr>
        <w:spacing w:after="0" w:line="9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Investment income increased to $49 million in the third quarter of 2022, compared with $20 million in the third quarter of 2021, and increased to $82 million in the nine months ended September 30, 2022, compared with $39 million in the nine months ended September 30, 2021.The improvement in both periods was driven by recent increases in market interest rates and higher invested assets. Additionally, investment yields were lower in the first half of 2021 due to a temporary allocation in shorter-term invested assets due to the COVID-19 pandemic, which was rescinded in the second quarter of 2021.</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828282"/>
        </w:rPr>
        <w:t>OTHER REVENUE</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Other revenue increased to $19 million in the third quarter of 2022, compared with $16 million in the third quarter of 2021, and decreased to $57 million in the nine months ended September 30, 2022, compared with $ 58 million in the nine months ended September 30, 2021. Other revenue mainly includes service revenue associated with long-term services and supports consultative services we provide in Wisconsin.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828282"/>
        </w:rPr>
        <w:t>G&amp;A EXPENSES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G&amp;A expense ratio decreased to 7.1% in the third quarter of 2022, compared with 7.5% in the third quarter of 2021. The G&amp;A expense ratio was 7.1% in the nine months ended September 30, 2022, compared with 7.3% in the nine months ended September 30, 2021, which reflects the benefits of scale produced by our increase in revenue and disciplined cost management.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828282"/>
        </w:rPr>
        <w:t>DEPRECIATION AND AMORTIZATION</w:t>
      </w:r>
    </w:p>
    <w:p>
      <w:pPr>
        <w:spacing w:after="0" w:line="94"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Depreciation and amortization increased to $45 million in the third quarter of 2022, compared with $32 million in the third quarter of 2021, and increased to $129 million in the nine months ended September 30, 2022, compared with $96 million in the nine months ended September 30, 2021. The increases in both periods were due primarily to amortization associated with acquisitions completed in the fourth quarter of 2021 and the first quarter of 2022.</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828282"/>
        </w:rPr>
        <w:t>OTHER OPERATING EXPENSES</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Other operating expenses increased to $16 million in the third quarter of 2022, compared with $2 million in the third quarter of 2021, and increased to $43 million in the nine months ended September 30, 2022, compared with $ 30 million in the nine months ended September 30, 2021. Other operating expenses mainly includes service costs associated with long-term services and supports consultative services we provide in Wisconsin, as noted above.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828282"/>
        </w:rPr>
        <w:t>INTEREST EXPENSE</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expense decreased to $28 million in the third quarter of 2022, compared with $30 million in the third quarter of 2021, and to $83 million in the nine months ended September 30, 2022, compared with $90 million in the nine months ended September 30, 2021. The decrease resulted from our early redemption of $700 million aggregate principal amount of our 5.375% senior notes due 2022 in the fourth quarter of 2021, partially offset by interest related to the private offering of the 3.875% Notes due 2032 in the same period.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828282"/>
        </w:rPr>
        <w:t>INCOME TAXES</w:t>
      </w:r>
    </w:p>
    <w:p>
      <w:pPr>
        <w:spacing w:after="0" w:line="9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Income tax expense amounted to $ 77 million in the third quarter of 2022, or 24.9% of pretax income, compared with income tax expense of $48 million, or 24.8% of pretax income in the third quarter of 2021. Income tax expense amounted to $249 million in the nine months ended September 30, 2022, or 25.2% of pretax income, compared with income tax expense of $183 million, or 24.7% of pretax income in the nine months ended September 30, 2021. The difference in the effective tax rate is primarily due to an increase in nondeductible expenses and differences in discrete tax benefits recognized in the respective periods.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TRENDS AND UNCERTAINTIES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828282"/>
        </w:rPr>
        <w:t>COVID-19 PANDEMIC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 the COVID-19 pandemic continues to evolve, its ongoing impact to our business, results of operations, financial condition, and cash flows is uncertain and difficult to predict.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Specific trends and uncertainties related to our Medicaid, Medicare, and Marketplace segments follow.</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Economic Stabilization and Other Programs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Effective October 13, 2022, the Biden Administration extended the PHE for another 90 days and it will remain in effect until January 11, 2023, unless extended.</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Due to the uncertainty as to the duration and breadth of the pandemic, we are unable to reasonably estimate the ultimate impact of the economic stabilization and other programs to our business, financial condition, and operating results.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Enrollment and Premium Revenue</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Excluding acquisitions and our exit from Puerto Rico, we added over 750,000 new 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mid-January 2023.</w:t>
      </w:r>
    </w:p>
    <w:p>
      <w:pPr>
        <w:spacing w:after="0" w:line="4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Beginning in 2020, various states enacted temporary risk corridors in response to the reduced demand for medical services stemming from COVID-19, which have resulted in a reduction of our medical margin. 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In the three and nine months ended September 30, 2022, we recognized approximately $34 million and $156 million, respectively, for the impact of these risk corridors, compared to $17 million and $183 million, respectively, recognized in the three and nine months ended September 30, 2021. The decrease in 2022 is due to the elimination of most of the COVID-19 risk corridors.</w:t>
      </w:r>
    </w:p>
    <w:p>
      <w:pPr>
        <w:spacing w:after="0" w:line="57"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Medical Care Costs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expect continued uncertainty regarding utilization trends as the pandemic continues. The speed and extent to which utilization rebounds will be greatly impacted by the economy and consumer behavior, provider capacity, and the potential resurgence of COVID-19 infection rates. We believe that some portion of the utilization curtailment experienced in the nine months ended September 30, 2022 is likely the result of service deferrals, and so these services will likely be provided to members over the remainder of the year.</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Capital and Financial Resources</w:t>
      </w:r>
    </w:p>
    <w:p>
      <w:pPr>
        <w:spacing w:after="0" w:line="9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We continue to monitor and assess the estimated operating and financial impact of the COVID-19 pandemic on our business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 Refer to “Liquidity and Financial Condition” below for further discussion of our capital and financial resources.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828282"/>
        </w:rPr>
        <w:t>OTHER RECENT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New York Acquisition—Medicaid. </w:t>
      </w:r>
      <w:r>
        <w:rPr>
          <w:rFonts w:ascii="Arial" w:cs="Arial" w:eastAsia="Arial" w:hAnsi="Arial"/>
          <w:sz w:val="14"/>
          <w:szCs w:val="14"/>
          <w:color w:val="auto"/>
        </w:rPr>
        <w:t>On October 1, 2022, we closed on our acquisition of the Medicaid Managed Long Term Care business of AgeWell New York.</w:t>
      </w:r>
    </w:p>
    <w:p>
      <w:pPr>
        <w:spacing w:after="0" w:line="94"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i w:val="1"/>
          <w:iCs w:val="1"/>
          <w:color w:val="auto"/>
        </w:rPr>
        <w:t xml:space="preserve">Nebraska Procurement—Medicaid. </w:t>
      </w:r>
      <w:r>
        <w:rPr>
          <w:rFonts w:ascii="Arial" w:cs="Arial" w:eastAsia="Arial" w:hAnsi="Arial"/>
          <w:sz w:val="14"/>
          <w:szCs w:val="14"/>
          <w:color w:val="auto"/>
        </w:rPr>
        <w:t>In September 2022, we announced that our Nebraska health plan had been selected by the Nebraska Department of Health and Human</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(DHHS) to provide health care services to Nebraskans under the state’s Medicaid managed care program. The new five-year contract is expected to begin on January 1, 2024, and may be extended for an additional two-years.</w:t>
      </w:r>
    </w:p>
    <w:p>
      <w:pPr>
        <w:spacing w:after="0" w:line="49"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i w:val="1"/>
          <w:iCs w:val="1"/>
          <w:color w:val="auto"/>
        </w:rPr>
        <w:t xml:space="preserve">Iowa Procurement—Medicaid. </w:t>
      </w:r>
      <w:r>
        <w:rPr>
          <w:rFonts w:ascii="Arial" w:cs="Arial" w:eastAsia="Arial" w:hAnsi="Arial"/>
          <w:sz w:val="14"/>
          <w:szCs w:val="14"/>
          <w:color w:val="auto"/>
        </w:rPr>
        <w:t>In August 2022, we announced that our Iowa health plan had been notified by the Iowa Department of Health and Human Services (HHS) of its intent</w:t>
      </w:r>
      <w:r>
        <w:rPr>
          <w:rFonts w:ascii="Arial" w:cs="Arial" w:eastAsia="Arial" w:hAnsi="Arial"/>
          <w:sz w:val="14"/>
          <w:szCs w:val="14"/>
          <w:i w:val="1"/>
          <w:iCs w:val="1"/>
          <w:color w:val="auto"/>
        </w:rPr>
        <w:t xml:space="preserve"> </w:t>
      </w:r>
      <w:r>
        <w:rPr>
          <w:rFonts w:ascii="Arial" w:cs="Arial" w:eastAsia="Arial" w:hAnsi="Arial"/>
          <w:sz w:val="14"/>
          <w:szCs w:val="14"/>
          <w:color w:val="auto"/>
        </w:rPr>
        <w:t>to award a Medicaid managed care contract pursuant to the Request for Proposal issued by HHS on February 17, 2022. The new four-year contract is expected to begin on July 1, 2023, and may be extended for an additional four years.</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i w:val="1"/>
          <w:iCs w:val="1"/>
          <w:color w:val="auto"/>
        </w:rPr>
        <w:t xml:space="preserve">California Procurement—Medicaid. </w:t>
      </w:r>
      <w:r>
        <w:rPr>
          <w:rFonts w:ascii="Arial" w:cs="Arial" w:eastAsia="Arial" w:hAnsi="Arial"/>
          <w:sz w:val="14"/>
          <w:szCs w:val="14"/>
          <w:color w:val="auto"/>
        </w:rPr>
        <w:t>In August 2022, we announced that our California health plan had been notified by the California Department of Health Care Services of its</w:t>
      </w:r>
      <w:r>
        <w:rPr>
          <w:rFonts w:ascii="Arial" w:cs="Arial" w:eastAsia="Arial" w:hAnsi="Arial"/>
          <w:sz w:val="14"/>
          <w:szCs w:val="14"/>
          <w:i w:val="1"/>
          <w:iCs w:val="1"/>
          <w:color w:val="auto"/>
        </w:rPr>
        <w:t xml:space="preserve"> </w:t>
      </w:r>
      <w:r>
        <w:rPr>
          <w:rFonts w:ascii="Arial" w:cs="Arial" w:eastAsia="Arial" w:hAnsi="Arial"/>
          <w:sz w:val="14"/>
          <w:szCs w:val="14"/>
          <w:color w:val="auto"/>
        </w:rPr>
        <w:t>intent to award a Medi-Cal contract in each of Los Angeles, Riverside, San Bernardino, Sacramento, and San Diego Counties. The 5 Medi-Cal contracts are expected to commence on January 1, 2024, which enables us to continue serving Medi-Cal members in our existing counties and expand footprint with the addition of the Los Angeles County contract.</w:t>
      </w:r>
    </w:p>
    <w:p>
      <w:pPr>
        <w:spacing w:after="0" w:line="49"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i w:val="1"/>
          <w:iCs w:val="1"/>
          <w:color w:val="auto"/>
        </w:rPr>
        <w:t xml:space="preserve">Wisconsin Acquisition — Medicaid and Medicare. </w:t>
      </w:r>
      <w:r>
        <w:rPr>
          <w:rFonts w:ascii="Arial" w:cs="Arial" w:eastAsia="Arial" w:hAnsi="Arial"/>
          <w:sz w:val="14"/>
          <w:szCs w:val="14"/>
          <w:color w:val="auto"/>
        </w:rPr>
        <w:t>On July 13, 2022, we announced a definitive agreement to acquire substantially all the assets of My Choice Wisconsin (“MCW”).</w:t>
      </w:r>
      <w:r>
        <w:rPr>
          <w:rFonts w:ascii="Arial" w:cs="Arial" w:eastAsia="Arial" w:hAnsi="Arial"/>
          <w:sz w:val="14"/>
          <w:szCs w:val="14"/>
          <w:i w:val="1"/>
          <w:iCs w:val="1"/>
          <w:color w:val="auto"/>
        </w:rPr>
        <w:t xml:space="preserve"> </w:t>
      </w:r>
      <w:r>
        <w:rPr>
          <w:rFonts w:ascii="Arial" w:cs="Arial" w:eastAsia="Arial" w:hAnsi="Arial"/>
          <w:sz w:val="14"/>
          <w:szCs w:val="14"/>
          <w:color w:val="auto"/>
        </w:rPr>
        <w:t>The purchase price for the transaction is approximately $ 150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early 2023.</w:t>
      </w:r>
    </w:p>
    <w:p>
      <w:pPr>
        <w:spacing w:after="0" w:line="5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i w:val="1"/>
          <w:iCs w:val="1"/>
          <w:color w:val="auto"/>
        </w:rPr>
        <w:t xml:space="preserve">Mississippi Procurement—Medicaid. </w:t>
      </w:r>
      <w:r>
        <w:rPr>
          <w:rFonts w:ascii="Arial" w:cs="Arial" w:eastAsia="Arial" w:hAnsi="Arial"/>
          <w:sz w:val="14"/>
          <w:szCs w:val="14"/>
          <w:color w:val="auto"/>
        </w:rPr>
        <w:t>In August 2022, we announced that our Mississippi health plan had been notified by the Mississippi Division of Medicaid (DOM) of its intent to</w:t>
      </w:r>
      <w:r>
        <w:rPr>
          <w:rFonts w:ascii="Arial" w:cs="Arial" w:eastAsia="Arial" w:hAnsi="Arial"/>
          <w:sz w:val="14"/>
          <w:szCs w:val="14"/>
          <w:i w:val="1"/>
          <w:iCs w:val="1"/>
          <w:color w:val="auto"/>
        </w:rPr>
        <w:t xml:space="preserve"> </w:t>
      </w:r>
      <w:r>
        <w:rPr>
          <w:rFonts w:ascii="Arial" w:cs="Arial" w:eastAsia="Arial" w:hAnsi="Arial"/>
          <w:sz w:val="14"/>
          <w:szCs w:val="14"/>
          <w:color w:val="auto"/>
        </w:rPr>
        <w:t>award a Medicaid Coordinated Care Contract for its Mississippi Coordinated Access Program and Mississippi Children’s Health Insurance Program pursuant to the Request for Qualifications issued by DOM on December 10, 2021. The four-year contract is expected to begin on July 1, 2023, and may be extended for an additional two years. The award enables us to continue serving Medicaid members across the state.</w:t>
      </w:r>
    </w:p>
    <w:p>
      <w:pPr>
        <w:spacing w:after="0" w:line="5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i w:val="1"/>
          <w:iCs w:val="1"/>
          <w:color w:val="auto"/>
        </w:rPr>
        <w:t xml:space="preserve">Texas Procurement—Medicaid. </w:t>
      </w:r>
      <w:r>
        <w:rPr>
          <w:rFonts w:ascii="Arial" w:cs="Arial" w:eastAsia="Arial" w:hAnsi="Arial"/>
          <w:sz w:val="14"/>
          <w:szCs w:val="14"/>
          <w:color w:val="auto"/>
        </w:rPr>
        <w:t>In March 2022, the Texas Health and Human Services Commission posted the ABD program (known in Texas as STAR+PLUS) RFP. We submitted</w:t>
      </w:r>
      <w:r>
        <w:rPr>
          <w:rFonts w:ascii="Arial" w:cs="Arial" w:eastAsia="Arial" w:hAnsi="Arial"/>
          <w:sz w:val="14"/>
          <w:szCs w:val="14"/>
          <w:i w:val="1"/>
          <w:iCs w:val="1"/>
          <w:color w:val="auto"/>
        </w:rPr>
        <w:t xml:space="preserve"> </w:t>
      </w:r>
      <w:r>
        <w:rPr>
          <w:rFonts w:ascii="Arial" w:cs="Arial" w:eastAsia="Arial" w:hAnsi="Arial"/>
          <w:sz w:val="14"/>
          <w:szCs w:val="14"/>
          <w:color w:val="auto"/>
        </w:rPr>
        <w:t>our proposal in June 2022 to continue serving STAR+PLUS members, with awards estimated to be announced in the first quarter of 2023, and start of operations in February 2024. Further, in October 2022, the draft RFP was posted for the TANF and CHIP programs (known as the STAR &amp; CHIP programs, and both existing contracts for us), with awards expected in late Q4 2023 or early Q1 2024 and the start of operations in late Q4 2024 or early Q1 2025.</w:t>
      </w:r>
    </w:p>
    <w:p>
      <w:pPr>
        <w:spacing w:after="0" w:line="53"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i w:val="1"/>
          <w:iCs w:val="1"/>
          <w:color w:val="auto"/>
        </w:rPr>
        <w:t xml:space="preserve">Nevada Procurement—Medicaid. </w:t>
      </w:r>
      <w:r>
        <w:rPr>
          <w:rFonts w:ascii="Arial" w:cs="Arial" w:eastAsia="Arial" w:hAnsi="Arial"/>
          <w:sz w:val="14"/>
          <w:szCs w:val="14"/>
          <w:color w:val="auto"/>
        </w:rPr>
        <w:t>Our new contract in Clark and Washoe Counties commenced on January 1, 2022, and offers health coverage to TANF, CHIP and Medicaid</w:t>
      </w:r>
      <w:r>
        <w:rPr>
          <w:rFonts w:ascii="Arial" w:cs="Arial" w:eastAsia="Arial" w:hAnsi="Arial"/>
          <w:sz w:val="14"/>
          <w:szCs w:val="14"/>
          <w:i w:val="1"/>
          <w:iCs w:val="1"/>
          <w:color w:val="auto"/>
        </w:rPr>
        <w:t xml:space="preserve"> </w:t>
      </w:r>
      <w:r>
        <w:rPr>
          <w:rFonts w:ascii="Arial" w:cs="Arial" w:eastAsia="Arial" w:hAnsi="Arial"/>
          <w:sz w:val="14"/>
          <w:szCs w:val="14"/>
          <w:color w:val="auto"/>
        </w:rPr>
        <w:t>Expansion beneficiaries. This new contract is four years with a potential two-year extension.</w:t>
      </w:r>
    </w:p>
    <w:p>
      <w:pPr>
        <w:spacing w:after="0" w:line="35"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i w:val="1"/>
          <w:iCs w:val="1"/>
          <w:color w:val="auto"/>
        </w:rPr>
        <w:t xml:space="preserve">Texas Acquisition—Medicaid and Medicare. </w:t>
      </w:r>
      <w:r>
        <w:rPr>
          <w:rFonts w:ascii="Arial" w:cs="Arial" w:eastAsia="Arial" w:hAnsi="Arial"/>
          <w:sz w:val="14"/>
          <w:szCs w:val="14"/>
          <w:color w:val="auto"/>
        </w:rPr>
        <w:t>On January 1, 2022, we closed on our acquisition of Cigna Corporation’s Texas Medicaid and Medicare-Medicaid Plan (“MMP”)</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contracts, along with certain operating assets.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i w:val="1"/>
          <w:iCs w:val="1"/>
          <w:color w:val="auto"/>
        </w:rPr>
        <w:t xml:space="preserve">Marketplace Enrollment. </w:t>
      </w:r>
      <w:r>
        <w:rPr>
          <w:rFonts w:ascii="Arial" w:cs="Arial" w:eastAsia="Arial" w:hAnsi="Arial"/>
          <w:sz w:val="14"/>
          <w:szCs w:val="14"/>
          <w:color w:val="auto"/>
        </w:rPr>
        <w:t>We expect to end 2022 with approximately 315,000 members, reflecting normal attrition over the remainder of the year and limited special enrollment</w:t>
      </w:r>
      <w:r>
        <w:rPr>
          <w:rFonts w:ascii="Arial" w:cs="Arial" w:eastAsia="Arial" w:hAnsi="Arial"/>
          <w:sz w:val="14"/>
          <w:szCs w:val="14"/>
          <w:i w:val="1"/>
          <w:iCs w:val="1"/>
          <w:color w:val="auto"/>
        </w:rPr>
        <w:t xml:space="preserve"> </w:t>
      </w:r>
      <w:r>
        <w:rPr>
          <w:rFonts w:ascii="Arial" w:cs="Arial" w:eastAsia="Arial" w:hAnsi="Arial"/>
          <w:sz w:val="14"/>
          <w:szCs w:val="14"/>
          <w:color w:val="auto"/>
        </w:rPr>
        <w:t>period growth based on revised eligibility rules and our product design and distribution strategy.</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i w:val="1"/>
          <w:iCs w:val="1"/>
          <w:color w:val="auto"/>
        </w:rPr>
        <w:t xml:space="preserve">Infosys. </w:t>
      </w:r>
      <w:r>
        <w:rPr>
          <w:rFonts w:ascii="Arial" w:cs="Arial" w:eastAsia="Arial" w:hAnsi="Arial"/>
          <w:sz w:val="14"/>
          <w:szCs w:val="14"/>
          <w:color w:val="auto"/>
        </w:rPr>
        <w:t>On September 29, 2022, we amended each of the master service agreements governing our relationship with our managed information technology (“IT”) services provider,</w:t>
      </w:r>
      <w:r>
        <w:rPr>
          <w:rFonts w:ascii="Arial" w:cs="Arial" w:eastAsia="Arial" w:hAnsi="Arial"/>
          <w:sz w:val="14"/>
          <w:szCs w:val="14"/>
          <w:i w:val="1"/>
          <w:iCs w:val="1"/>
          <w:color w:val="auto"/>
        </w:rPr>
        <w:t xml:space="preserve"> </w:t>
      </w:r>
      <w:r>
        <w:rPr>
          <w:rFonts w:ascii="Arial" w:cs="Arial" w:eastAsia="Arial" w:hAnsi="Arial"/>
          <w:sz w:val="14"/>
          <w:szCs w:val="14"/>
          <w:color w:val="auto"/>
        </w:rPr>
        <w:t>Infosys Limited (collectively, the “Infosys Agreements”). Significant changes to the Infosys Agreements include (i) the extension of the expiration date of each Infosys Agreement to September 30, 2029 (extended from prior expiration dates in 2024), (ii) expansions in the scope of certain support services, and (iii) changes to the pricing model for certain services. As a result of these changes, we expect improvements in certain service level objectives, as well as a reduction in our IT spend.</w:t>
      </w:r>
    </w:p>
    <w:p>
      <w:pPr>
        <w:spacing w:after="0" w:line="64"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i w:val="1"/>
          <w:iCs w:val="1"/>
          <w:color w:val="auto"/>
        </w:rPr>
        <w:t xml:space="preserve">Pharmacy. </w:t>
      </w:r>
      <w:r>
        <w:rPr>
          <w:rFonts w:ascii="Arial" w:cs="Arial" w:eastAsia="Arial" w:hAnsi="Arial"/>
          <w:sz w:val="14"/>
          <w:szCs w:val="14"/>
          <w:color w:val="auto"/>
        </w:rPr>
        <w:t>We have entered into an early renewal of our long-standing pharmacy benefit management (“PBM”) agreement with CVS Caremark (“Caremark”). Under the renewal,</w:t>
      </w:r>
      <w:r>
        <w:rPr>
          <w:rFonts w:ascii="Arial" w:cs="Arial" w:eastAsia="Arial" w:hAnsi="Arial"/>
          <w:sz w:val="14"/>
          <w:szCs w:val="14"/>
          <w:i w:val="1"/>
          <w:iCs w:val="1"/>
          <w:color w:val="auto"/>
        </w:rPr>
        <w:t xml:space="preserve"> </w:t>
      </w:r>
      <w:r>
        <w:rPr>
          <w:rFonts w:ascii="Arial" w:cs="Arial" w:eastAsia="Arial" w:hAnsi="Arial"/>
          <w:sz w:val="14"/>
          <w:szCs w:val="14"/>
          <w:color w:val="auto"/>
        </w:rPr>
        <w:t>Caremark will continue to be the exclusive PBM provider to us and our health plan subsidiaries through December 31, 2026. The renewal includes improvements to network rates and administrative costs as well as improved terms around performance standards. Caremark’s services to Molina include, among other things, pharmacy network management, mail order, specialty pharmacy, pharmacy claims processing, and pharmaceutical rebate management.</w:t>
      </w:r>
    </w:p>
    <w:p>
      <w:pPr>
        <w:spacing w:after="0" w:line="53"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i w:val="1"/>
          <w:iCs w:val="1"/>
          <w:color w:val="auto"/>
        </w:rPr>
        <w:t xml:space="preserve">Real Estate. </w:t>
      </w:r>
      <w:r>
        <w:rPr>
          <w:rFonts w:ascii="Arial" w:cs="Arial" w:eastAsia="Arial" w:hAnsi="Arial"/>
          <w:sz w:val="14"/>
          <w:szCs w:val="14"/>
          <w:color w:val="auto"/>
        </w:rPr>
        <w:t>We intend to move permanently to a remote work environment, a model we have been working under successfully for over two years. As a result, we expect to</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 a plan to reduce our real estate footprint by the end of the year, which we expect will yield substantial and sustainable G&amp;A expense savings.</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For a discussion of additional segment trends, uncertainties and other developments, refer to our 2021 Annual Report on Form 10-K, “Item 1. Business—Our Business,” and “— Legislative and Political Environment.”</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REPORTABLE SEGMENTS</w:t>
      </w:r>
    </w:p>
    <w:p>
      <w:pPr>
        <w:spacing w:after="0" w:line="87"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As of September 30, 2022, we served approximately 5.2 million members eligible for Medicaid, Medicare, and other government-sponsored healthcare programs for low-income families and individuals, including Marketplace members, most of whom receive government premium subsidies.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currently have four reportable segments consisting of: 1) Medicaid; 2) Medicare; 3) Marketplace; and 4) Other.</w:t>
      </w:r>
    </w:p>
    <w:p>
      <w:pPr>
        <w:spacing w:after="0" w:line="9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provide in Wisconsin.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828282"/>
        </w:rPr>
        <w:t>HOW WE ASSESS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derive our revenues primarily from health insurance premiums. Our primary customers are state Medicaid agencies and the federal government.</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55" w:lineRule="exact"/>
        <w:rPr>
          <w:sz w:val="20"/>
          <w:szCs w:val="20"/>
          <w:color w:val="auto"/>
        </w:rPr>
      </w:pPr>
    </w:p>
    <w:p>
      <w:pPr>
        <w:ind w:right="740"/>
        <w:spacing w:after="0" w:line="290" w:lineRule="auto"/>
        <w:rPr>
          <w:sz w:val="20"/>
          <w:szCs w:val="20"/>
          <w:color w:val="auto"/>
        </w:rPr>
      </w:pPr>
      <w:r>
        <w:rPr>
          <w:rFonts w:ascii="Arial" w:cs="Arial" w:eastAsia="Arial" w:hAnsi="Arial"/>
          <w:sz w:val="14"/>
          <w:szCs w:val="14"/>
          <w:color w:val="auto"/>
        </w:rPr>
        <w:t>Management’s discussion and analysis of the change in medical margin is discussed below under “Segment Financial Performance.” For more information, see Notes to Consolidated Financial Statements, Note 10, “Segments.”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828282"/>
        </w:rPr>
        <w:t>SEGMENT MEMBERSHIP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membership by segment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1520" w:type="dxa"/>
            <w:vAlign w:val="bottom"/>
            <w:gridSpan w:val="2"/>
          </w:tcPr>
          <w:p>
            <w:pPr>
              <w:ind w:left="320"/>
              <w:spacing w:after="0"/>
              <w:rPr>
                <w:sz w:val="20"/>
                <w:szCs w:val="20"/>
                <w:color w:val="auto"/>
              </w:rPr>
            </w:pPr>
            <w:r>
              <w:rPr>
                <w:rFonts w:ascii="Arial" w:cs="Arial" w:eastAsia="Arial" w:hAnsi="Arial"/>
                <w:sz w:val="11"/>
                <w:szCs w:val="11"/>
                <w:b w:val="1"/>
                <w:bCs w:val="1"/>
                <w:color w:val="auto"/>
              </w:rPr>
              <w:t>September 30,</w:t>
            </w:r>
          </w:p>
        </w:tc>
        <w:tc>
          <w:tcPr>
            <w:tcW w:w="1520" w:type="dxa"/>
            <w:vAlign w:val="bottom"/>
            <w:gridSpan w:val="2"/>
          </w:tcPr>
          <w:p>
            <w:pPr>
              <w:ind w:left="360"/>
              <w:spacing w:after="0"/>
              <w:rPr>
                <w:sz w:val="20"/>
                <w:szCs w:val="20"/>
                <w:color w:val="auto"/>
              </w:rPr>
            </w:pPr>
            <w:r>
              <w:rPr>
                <w:rFonts w:ascii="Arial" w:cs="Arial" w:eastAsia="Arial" w:hAnsi="Arial"/>
                <w:sz w:val="11"/>
                <w:szCs w:val="11"/>
                <w:b w:val="1"/>
                <w:bCs w:val="1"/>
                <w:color w:val="auto"/>
              </w:rPr>
              <w:t>December 31,</w:t>
            </w:r>
          </w:p>
        </w:tc>
        <w:tc>
          <w:tcPr>
            <w:tcW w:w="1440" w:type="dxa"/>
            <w:vAlign w:val="bottom"/>
          </w:tcPr>
          <w:p>
            <w:pPr>
              <w:jc w:val="right"/>
              <w:ind w:right="259"/>
              <w:spacing w:after="0"/>
              <w:rPr>
                <w:sz w:val="20"/>
                <w:szCs w:val="20"/>
                <w:color w:val="auto"/>
              </w:rPr>
            </w:pPr>
            <w:r>
              <w:rPr>
                <w:rFonts w:ascii="Arial" w:cs="Arial" w:eastAsia="Arial" w:hAnsi="Arial"/>
                <w:sz w:val="11"/>
                <w:szCs w:val="11"/>
                <w:b w:val="1"/>
                <w:bCs w:val="1"/>
                <w:color w:val="auto"/>
              </w:rPr>
              <w:t>September 30,</w:t>
            </w:r>
          </w:p>
        </w:tc>
      </w:tr>
      <w:tr>
        <w:trPr>
          <w:trHeight w:val="159"/>
        </w:trPr>
        <w:tc>
          <w:tcPr>
            <w:tcW w:w="67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2021</w:t>
            </w:r>
          </w:p>
        </w:tc>
      </w:tr>
      <w:tr>
        <w:trPr>
          <w:trHeight w:val="161"/>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4,667,000</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4,329,000</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3,981,000</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Medicare</w:t>
            </w:r>
          </w:p>
        </w:tc>
        <w:tc>
          <w:tcPr>
            <w:tcW w:w="1420" w:type="dxa"/>
            <w:vAlign w:val="bottom"/>
          </w:tcPr>
          <w:p>
            <w:pPr>
              <w:jc w:val="right"/>
              <w:spacing w:after="0"/>
              <w:rPr>
                <w:sz w:val="20"/>
                <w:szCs w:val="20"/>
                <w:color w:val="auto"/>
              </w:rPr>
            </w:pPr>
            <w:r>
              <w:rPr>
                <w:rFonts w:ascii="Arial" w:cs="Arial" w:eastAsia="Arial" w:hAnsi="Arial"/>
                <w:sz w:val="13"/>
                <w:szCs w:val="13"/>
                <w:color w:val="auto"/>
              </w:rPr>
              <w:t>155,000</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142,000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138,000</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353,000</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728,000</w:t>
            </w:r>
          </w:p>
        </w:tc>
        <w:tc>
          <w:tcPr>
            <w:tcW w:w="8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719,000</w:t>
            </w:r>
          </w:p>
        </w:tc>
      </w:tr>
      <w:tr>
        <w:trPr>
          <w:trHeight w:val="162"/>
        </w:trPr>
        <w:tc>
          <w:tcPr>
            <w:tcW w:w="6780" w:type="dxa"/>
            <w:vAlign w:val="bottom"/>
          </w:tcPr>
          <w:p>
            <w:pPr>
              <w:ind w:left="120"/>
              <w:spacing w:after="0"/>
              <w:rPr>
                <w:sz w:val="20"/>
                <w:szCs w:val="20"/>
                <w:color w:val="auto"/>
              </w:rPr>
            </w:pPr>
            <w:r>
              <w:rPr>
                <w:rFonts w:ascii="Arial" w:cs="Arial" w:eastAsia="Arial" w:hAnsi="Arial"/>
                <w:sz w:val="13"/>
                <w:szCs w:val="13"/>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5,175,000</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5,199,000</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4,838,000</w:t>
            </w:r>
          </w:p>
        </w:tc>
      </w:tr>
      <w:tr>
        <w:trPr>
          <w:trHeight w:val="20"/>
        </w:trPr>
        <w:tc>
          <w:tcPr>
            <w:tcW w:w="67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828282"/>
        </w:rPr>
        <w:t>SEGMENT FINANCIAL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premium revenue, medical margin, and MCR by segment for the periods indicated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8"/>
          </w:tcPr>
          <w:p>
            <w:pPr>
              <w:jc w:val="center"/>
              <w:spacing w:after="0"/>
              <w:rPr>
                <w:sz w:val="20"/>
                <w:szCs w:val="20"/>
                <w:color w:val="auto"/>
              </w:rPr>
            </w:pPr>
            <w:r>
              <w:rPr>
                <w:rFonts w:ascii="Arial" w:cs="Arial" w:eastAsia="Arial" w:hAnsi="Arial"/>
                <w:sz w:val="11"/>
                <w:szCs w:val="11"/>
                <w:b w:val="1"/>
                <w:bCs w:val="1"/>
                <w:color w:val="auto"/>
              </w:rPr>
              <w:t>Three Months Ended September 30,</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Premium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139"/>
              <w:spacing w:after="0" w:line="119" w:lineRule="exact"/>
              <w:rPr>
                <w:sz w:val="20"/>
                <w:szCs w:val="20"/>
                <w:color w:val="auto"/>
              </w:rPr>
            </w:pPr>
            <w:r>
              <w:rPr>
                <w:rFonts w:ascii="Arial" w:cs="Arial" w:eastAsia="Arial" w:hAnsi="Arial"/>
                <w:sz w:val="11"/>
                <w:szCs w:val="11"/>
                <w:b w:val="1"/>
                <w:bCs w:val="1"/>
                <w:color w:val="auto"/>
              </w:rPr>
              <w:t>Medical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MCR</w:t>
            </w:r>
          </w:p>
        </w:tc>
        <w:tc>
          <w:tcPr>
            <w:tcW w:w="10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Premium</w:t>
            </w:r>
          </w:p>
        </w:tc>
        <w:tc>
          <w:tcPr>
            <w:tcW w:w="200" w:type="dxa"/>
            <w:vAlign w:val="bottom"/>
          </w:tcPr>
          <w:p>
            <w:pPr>
              <w:spacing w:after="0"/>
              <w:rPr>
                <w:sz w:val="10"/>
                <w:szCs w:val="10"/>
                <w:color w:val="auto"/>
              </w:rPr>
            </w:pPr>
          </w:p>
        </w:tc>
        <w:tc>
          <w:tcPr>
            <w:tcW w:w="820" w:type="dxa"/>
            <w:vAlign w:val="bottom"/>
          </w:tcPr>
          <w:p>
            <w:pPr>
              <w:jc w:val="right"/>
              <w:ind w:right="239"/>
              <w:spacing w:after="0" w:line="119" w:lineRule="exact"/>
              <w:rPr>
                <w:sz w:val="20"/>
                <w:szCs w:val="20"/>
                <w:color w:val="auto"/>
              </w:rPr>
            </w:pPr>
            <w:r>
              <w:rPr>
                <w:rFonts w:ascii="Arial" w:cs="Arial" w:eastAsia="Arial" w:hAnsi="Arial"/>
                <w:sz w:val="11"/>
                <w:szCs w:val="11"/>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MCR</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Revenue</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39"/>
              <w:spacing w:after="0"/>
              <w:rPr>
                <w:sz w:val="20"/>
                <w:szCs w:val="20"/>
                <w:color w:val="auto"/>
              </w:rPr>
            </w:pPr>
            <w:r>
              <w:rPr>
                <w:rFonts w:ascii="Arial" w:cs="Arial" w:eastAsia="Arial" w:hAnsi="Arial"/>
                <w:sz w:val="11"/>
                <w:szCs w:val="11"/>
                <w:b w:val="1"/>
                <w:bCs w:val="1"/>
                <w:color w:val="auto"/>
              </w:rPr>
              <w:t>Margin</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Revenue</w:t>
            </w:r>
          </w:p>
        </w:tc>
        <w:tc>
          <w:tcPr>
            <w:tcW w:w="10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Margin</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6,125</w:t>
            </w:r>
          </w:p>
        </w:tc>
        <w:tc>
          <w:tcPr>
            <w:tcW w:w="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1220" w:type="dxa"/>
            <w:vAlign w:val="bottom"/>
            <w:gridSpan w:val="4"/>
            <w:shd w:val="clear" w:color="auto" w:fill="CCEEFF"/>
          </w:tcPr>
          <w:p>
            <w:pPr>
              <w:ind w:left="820"/>
              <w:spacing w:after="0"/>
              <w:rPr>
                <w:sz w:val="20"/>
                <w:szCs w:val="20"/>
                <w:color w:val="auto"/>
              </w:rPr>
            </w:pPr>
            <w:r>
              <w:rPr>
                <w:rFonts w:ascii="Arial" w:cs="Arial" w:eastAsia="Arial" w:hAnsi="Arial"/>
                <w:sz w:val="13"/>
                <w:szCs w:val="13"/>
                <w:color w:val="auto"/>
                <w:w w:val="93"/>
              </w:rPr>
              <w:t>88.5 %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w w:val="93"/>
              </w:rPr>
              <w:t>89.6 %</w:t>
            </w:r>
          </w:p>
        </w:tc>
        <w:tc>
          <w:tcPr>
            <w:tcW w:w="0" w:type="dxa"/>
            <w:vAlign w:val="bottom"/>
          </w:tcPr>
          <w:p>
            <w:pPr>
              <w:spacing w:after="0"/>
              <w:rPr>
                <w:sz w:val="1"/>
                <w:szCs w:val="1"/>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3"/>
                <w:szCs w:val="13"/>
                <w:color w:val="auto"/>
              </w:rPr>
              <w:t>Medicare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108</w:t>
            </w:r>
          </w:p>
        </w:tc>
        <w:tc>
          <w:tcPr>
            <w:tcW w:w="1220" w:type="dxa"/>
            <w:vAlign w:val="bottom"/>
            <w:gridSpan w:val="4"/>
          </w:tcPr>
          <w:p>
            <w:pPr>
              <w:ind w:left="820"/>
              <w:spacing w:after="0"/>
              <w:rPr>
                <w:sz w:val="20"/>
                <w:szCs w:val="20"/>
                <w:color w:val="auto"/>
              </w:rPr>
            </w:pPr>
            <w:r>
              <w:rPr>
                <w:rFonts w:ascii="Arial" w:cs="Arial" w:eastAsia="Arial" w:hAnsi="Arial"/>
                <w:sz w:val="13"/>
                <w:szCs w:val="13"/>
                <w:color w:val="auto"/>
              </w:rPr>
              <w:t>88.7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151</w:t>
            </w:r>
          </w:p>
        </w:tc>
        <w:tc>
          <w:tcPr>
            <w:tcW w:w="1220" w:type="dxa"/>
            <w:vAlign w:val="bottom"/>
            <w:gridSpan w:val="2"/>
          </w:tcPr>
          <w:p>
            <w:pPr>
              <w:ind w:left="820"/>
              <w:spacing w:after="0"/>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17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220" w:type="dxa"/>
            <w:vAlign w:val="bottom"/>
            <w:gridSpan w:val="4"/>
            <w:shd w:val="clear" w:color="auto" w:fill="CCEEFF"/>
          </w:tcPr>
          <w:p>
            <w:pPr>
              <w:ind w:left="820"/>
              <w:spacing w:after="0"/>
              <w:rPr>
                <w:sz w:val="20"/>
                <w:szCs w:val="20"/>
                <w:color w:val="auto"/>
              </w:rPr>
            </w:pPr>
            <w:r>
              <w:rPr>
                <w:rFonts w:ascii="Arial" w:cs="Arial" w:eastAsia="Arial" w:hAnsi="Arial"/>
                <w:sz w:val="13"/>
                <w:szCs w:val="13"/>
                <w:color w:val="auto"/>
              </w:rPr>
              <w:t>86.3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91.3</w:t>
            </w:r>
          </w:p>
        </w:tc>
        <w:tc>
          <w:tcPr>
            <w:tcW w:w="0" w:type="dxa"/>
            <w:vAlign w:val="bottom"/>
          </w:tcPr>
          <w:p>
            <w:pPr>
              <w:spacing w:after="0"/>
              <w:rPr>
                <w:sz w:val="1"/>
                <w:szCs w:val="1"/>
                <w:color w:val="auto"/>
              </w:rPr>
            </w:pPr>
          </w:p>
        </w:tc>
      </w:tr>
      <w:tr>
        <w:trPr>
          <w:trHeight w:val="162"/>
        </w:trPr>
        <w:tc>
          <w:tcPr>
            <w:tcW w:w="4460" w:type="dxa"/>
            <w:vAlign w:val="bottom"/>
          </w:tcPr>
          <w:p>
            <w:pPr>
              <w:ind w:left="12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7,636</w:t>
            </w:r>
          </w:p>
        </w:tc>
        <w:tc>
          <w:tcPr>
            <w:tcW w:w="80" w:type="dxa"/>
            <w:vAlign w:val="bottom"/>
          </w:tcPr>
          <w:p>
            <w:pPr>
              <w:spacing w:after="0"/>
              <w:rPr>
                <w:sz w:val="14"/>
                <w:szCs w:val="14"/>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888</w:t>
            </w:r>
          </w:p>
        </w:tc>
        <w:tc>
          <w:tcPr>
            <w:tcW w:w="1220" w:type="dxa"/>
            <w:vAlign w:val="bottom"/>
            <w:gridSpan w:val="4"/>
          </w:tcPr>
          <w:p>
            <w:pPr>
              <w:ind w:left="820"/>
              <w:spacing w:after="0"/>
              <w:rPr>
                <w:sz w:val="20"/>
                <w:szCs w:val="20"/>
                <w:color w:val="auto"/>
              </w:rPr>
            </w:pPr>
            <w:r>
              <w:rPr>
                <w:rFonts w:ascii="Arial" w:cs="Arial" w:eastAsia="Arial" w:hAnsi="Arial"/>
                <w:sz w:val="13"/>
                <w:szCs w:val="13"/>
                <w:color w:val="auto"/>
                <w:w w:val="93"/>
              </w:rPr>
              <w:t>88.4 %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w:t>
            </w:r>
          </w:p>
        </w:tc>
        <w:tc>
          <w:tcPr>
            <w:tcW w:w="1220" w:type="dxa"/>
            <w:vAlign w:val="bottom"/>
            <w:gridSpan w:val="2"/>
          </w:tcPr>
          <w:p>
            <w:pPr>
              <w:ind w:left="820"/>
              <w:spacing w:after="0"/>
              <w:rPr>
                <w:sz w:val="20"/>
                <w:szCs w:val="20"/>
                <w:color w:val="auto"/>
              </w:rPr>
            </w:pPr>
            <w:r>
              <w:rPr>
                <w:rFonts w:ascii="Arial" w:cs="Arial" w:eastAsia="Arial" w:hAnsi="Arial"/>
                <w:sz w:val="13"/>
                <w:szCs w:val="13"/>
                <w:color w:val="auto"/>
                <w:w w:val="93"/>
              </w:rPr>
              <w:t>88.9 %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1"/>
                <w:szCs w:val="11"/>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Premium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center"/>
              <w:ind w:right="99"/>
              <w:spacing w:after="0" w:line="123" w:lineRule="exact"/>
              <w:rPr>
                <w:sz w:val="20"/>
                <w:szCs w:val="20"/>
                <w:color w:val="auto"/>
              </w:rPr>
            </w:pPr>
            <w:r>
              <w:rPr>
                <w:rFonts w:ascii="Arial" w:cs="Arial" w:eastAsia="Arial" w:hAnsi="Arial"/>
                <w:sz w:val="11"/>
                <w:szCs w:val="11"/>
                <w:b w:val="1"/>
                <w:bCs w:val="1"/>
                <w:color w:val="auto"/>
              </w:rPr>
              <w:t>Medical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MCR</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Premium</w:t>
            </w:r>
          </w:p>
        </w:tc>
        <w:tc>
          <w:tcPr>
            <w:tcW w:w="200" w:type="dxa"/>
            <w:vAlign w:val="bottom"/>
          </w:tcPr>
          <w:p>
            <w:pPr>
              <w:spacing w:after="0"/>
              <w:rPr>
                <w:sz w:val="10"/>
                <w:szCs w:val="10"/>
                <w:color w:val="auto"/>
              </w:rPr>
            </w:pPr>
          </w:p>
        </w:tc>
        <w:tc>
          <w:tcPr>
            <w:tcW w:w="820" w:type="dxa"/>
            <w:vAlign w:val="bottom"/>
          </w:tcPr>
          <w:p>
            <w:pPr>
              <w:jc w:val="right"/>
              <w:ind w:right="239"/>
              <w:spacing w:after="0" w:line="123" w:lineRule="exact"/>
              <w:rPr>
                <w:sz w:val="20"/>
                <w:szCs w:val="20"/>
                <w:color w:val="auto"/>
              </w:rPr>
            </w:pPr>
            <w:r>
              <w:rPr>
                <w:rFonts w:ascii="Arial" w:cs="Arial" w:eastAsia="Arial" w:hAnsi="Arial"/>
                <w:sz w:val="11"/>
                <w:szCs w:val="11"/>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MCR</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Revenue</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rPr>
              <w:t>Margin</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Revenue</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Margin</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18,406</w:t>
            </w:r>
          </w:p>
        </w:tc>
        <w:tc>
          <w:tcPr>
            <w:tcW w:w="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2,168</w:t>
            </w:r>
          </w:p>
        </w:tc>
        <w:tc>
          <w:tcPr>
            <w:tcW w:w="1220" w:type="dxa"/>
            <w:vAlign w:val="bottom"/>
            <w:gridSpan w:val="4"/>
            <w:shd w:val="clear" w:color="auto" w:fill="CCEEFF"/>
          </w:tcPr>
          <w:p>
            <w:pPr>
              <w:ind w:left="820"/>
              <w:spacing w:after="0"/>
              <w:rPr>
                <w:sz w:val="20"/>
                <w:szCs w:val="20"/>
                <w:color w:val="auto"/>
              </w:rPr>
            </w:pPr>
            <w:r>
              <w:rPr>
                <w:rFonts w:ascii="Arial" w:cs="Arial" w:eastAsia="Arial" w:hAnsi="Arial"/>
                <w:sz w:val="13"/>
                <w:szCs w:val="13"/>
                <w:color w:val="auto"/>
                <w:w w:val="93"/>
              </w:rPr>
              <w:t>88.2 %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w w:val="93"/>
              </w:rPr>
              <w:t>88.8 %</w:t>
            </w:r>
          </w:p>
        </w:tc>
        <w:tc>
          <w:tcPr>
            <w:tcW w:w="0" w:type="dxa"/>
            <w:vAlign w:val="bottom"/>
          </w:tcPr>
          <w:p>
            <w:pPr>
              <w:spacing w:after="0"/>
              <w:rPr>
                <w:sz w:val="1"/>
                <w:szCs w:val="1"/>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3"/>
                <w:szCs w:val="13"/>
                <w:color w:val="auto"/>
              </w:rPr>
              <w:t>Medicare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360</w:t>
            </w:r>
          </w:p>
        </w:tc>
        <w:tc>
          <w:tcPr>
            <w:tcW w:w="1220" w:type="dxa"/>
            <w:vAlign w:val="bottom"/>
            <w:gridSpan w:val="4"/>
          </w:tcPr>
          <w:p>
            <w:pPr>
              <w:ind w:left="820"/>
              <w:spacing w:after="0"/>
              <w:rPr>
                <w:sz w:val="20"/>
                <w:szCs w:val="20"/>
                <w:color w:val="auto"/>
              </w:rPr>
            </w:pPr>
            <w:r>
              <w:rPr>
                <w:rFonts w:ascii="Arial" w:cs="Arial" w:eastAsia="Arial" w:hAnsi="Arial"/>
                <w:sz w:val="13"/>
                <w:szCs w:val="13"/>
                <w:color w:val="auto"/>
              </w:rPr>
              <w:t>87.4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329</w:t>
            </w:r>
          </w:p>
        </w:tc>
        <w:tc>
          <w:tcPr>
            <w:tcW w:w="1220" w:type="dxa"/>
            <w:vAlign w:val="bottom"/>
            <w:gridSpan w:val="2"/>
          </w:tcPr>
          <w:p>
            <w:pPr>
              <w:ind w:left="820"/>
              <w:spacing w:after="0"/>
              <w:rPr>
                <w:sz w:val="20"/>
                <w:szCs w:val="20"/>
                <w:color w:val="auto"/>
              </w:rPr>
            </w:pPr>
            <w:r>
              <w:rPr>
                <w:rFonts w:ascii="Arial" w:cs="Arial" w:eastAsia="Arial" w:hAnsi="Arial"/>
                <w:sz w:val="13"/>
                <w:szCs w:val="13"/>
                <w:color w:val="auto"/>
              </w:rPr>
              <w:t>86.8</w:t>
            </w:r>
          </w:p>
        </w:tc>
        <w:tc>
          <w:tcPr>
            <w:tcW w:w="0" w:type="dxa"/>
            <w:vAlign w:val="bottom"/>
          </w:tcPr>
          <w:p>
            <w:pPr>
              <w:spacing w:after="0"/>
              <w:rPr>
                <w:sz w:val="1"/>
                <w:szCs w:val="1"/>
                <w:color w:val="auto"/>
              </w:rPr>
            </w:pPr>
          </w:p>
        </w:tc>
      </w:tr>
      <w:tr>
        <w:trPr>
          <w:trHeight w:val="170"/>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20" w:type="dxa"/>
            <w:vAlign w:val="bottom"/>
            <w:tcBorders>
              <w:bottom w:val="single" w:sz="8" w:color="auto"/>
            </w:tcBorders>
            <w:shd w:val="clear" w:color="auto" w:fill="CCEEFF"/>
          </w:tcPr>
          <w:p>
            <w:pPr>
              <w:spacing w:after="0"/>
              <w:rPr>
                <w:sz w:val="14"/>
                <w:szCs w:val="14"/>
                <w:color w:val="auto"/>
              </w:rPr>
            </w:pPr>
          </w:p>
        </w:tc>
        <w:tc>
          <w:tcPr>
            <w:tcW w:w="1200" w:type="dxa"/>
            <w:vAlign w:val="bottom"/>
            <w:gridSpan w:val="3"/>
            <w:shd w:val="clear" w:color="auto" w:fill="CCEEFF"/>
          </w:tcPr>
          <w:p>
            <w:pPr>
              <w:ind w:left="800"/>
              <w:spacing w:after="0"/>
              <w:rPr>
                <w:sz w:val="20"/>
                <w:szCs w:val="20"/>
                <w:color w:val="auto"/>
              </w:rPr>
            </w:pPr>
            <w:r>
              <w:rPr>
                <w:rFonts w:ascii="Arial" w:cs="Arial" w:eastAsia="Arial" w:hAnsi="Arial"/>
                <w:sz w:val="13"/>
                <w:szCs w:val="13"/>
                <w:color w:val="auto"/>
              </w:rPr>
              <w:t>85.1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2,181</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84.8</w:t>
            </w:r>
          </w:p>
        </w:tc>
        <w:tc>
          <w:tcPr>
            <w:tcW w:w="0" w:type="dxa"/>
            <w:vAlign w:val="bottom"/>
          </w:tcPr>
          <w:p>
            <w:pPr>
              <w:spacing w:after="0"/>
              <w:rPr>
                <w:sz w:val="1"/>
                <w:szCs w:val="1"/>
                <w:color w:val="auto"/>
              </w:rPr>
            </w:pPr>
          </w:p>
        </w:tc>
      </w:tr>
      <w:tr>
        <w:trPr>
          <w:trHeight w:val="162"/>
        </w:trPr>
        <w:tc>
          <w:tcPr>
            <w:tcW w:w="4460" w:type="dxa"/>
            <w:vAlign w:val="bottom"/>
          </w:tcPr>
          <w:p>
            <w:pPr>
              <w:ind w:left="120"/>
              <w:spacing w:after="0"/>
              <w:rPr>
                <w:sz w:val="20"/>
                <w:szCs w:val="20"/>
                <w:color w:val="auto"/>
              </w:rPr>
            </w:pPr>
            <w:r>
              <w:rPr>
                <w:rFonts w:ascii="Arial" w:cs="Arial" w:eastAsia="Arial" w:hAnsi="Arial"/>
                <w:sz w:val="13"/>
                <w:szCs w:val="13"/>
                <w:color w:val="auto"/>
              </w:rPr>
              <w:t>Total</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22,966</w:t>
            </w:r>
          </w:p>
        </w:tc>
        <w:tc>
          <w:tcPr>
            <w:tcW w:w="8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2,783</w:t>
            </w:r>
          </w:p>
        </w:tc>
        <w:tc>
          <w:tcPr>
            <w:tcW w:w="1220" w:type="dxa"/>
            <w:vAlign w:val="bottom"/>
            <w:gridSpan w:val="4"/>
          </w:tcPr>
          <w:p>
            <w:pPr>
              <w:ind w:left="820"/>
              <w:spacing w:after="0"/>
              <w:rPr>
                <w:sz w:val="20"/>
                <w:szCs w:val="20"/>
                <w:color w:val="auto"/>
              </w:rPr>
            </w:pPr>
            <w:r>
              <w:rPr>
                <w:rFonts w:ascii="Arial" w:cs="Arial" w:eastAsia="Arial" w:hAnsi="Arial"/>
                <w:sz w:val="13"/>
                <w:szCs w:val="13"/>
                <w:color w:val="auto"/>
                <w:w w:val="93"/>
              </w:rPr>
              <w:t>87.9 %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19,689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2,347</w:t>
            </w:r>
          </w:p>
        </w:tc>
        <w:tc>
          <w:tcPr>
            <w:tcW w:w="1220" w:type="dxa"/>
            <w:vAlign w:val="bottom"/>
            <w:gridSpan w:val="2"/>
          </w:tcPr>
          <w:p>
            <w:pPr>
              <w:ind w:left="820"/>
              <w:spacing w:after="0"/>
              <w:rPr>
                <w:sz w:val="20"/>
                <w:szCs w:val="20"/>
                <w:color w:val="auto"/>
              </w:rPr>
            </w:pPr>
            <w:r>
              <w:rPr>
                <w:rFonts w:ascii="Arial" w:cs="Arial" w:eastAsia="Arial" w:hAnsi="Arial"/>
                <w:sz w:val="13"/>
                <w:szCs w:val="13"/>
                <w:color w:val="auto"/>
                <w:w w:val="93"/>
              </w:rPr>
              <w:t>88.1 %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Medicaid</w:t>
      </w:r>
    </w:p>
    <w:p>
      <w:pPr>
        <w:spacing w:after="0" w:line="9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Medicaid premium revenue increased $979 million, or 19% in the third quarter of 2022, when compared with the third quarter of 2021. Medicaid premium revenue increased $3.4 billion, or 23% in the nine months ended September 30, 2022, when compared with the nine months ended September 30, 2021. The increases in both periods were mainly due to organic membership growth, including our entry into Nevada, the impact from the Affinity and Cigna acquisitions that closed in the fourth quarter of 2021 and in January 2022, respectively, and state directed payments in our Texas health plan. The organic membership growth was across several states, driven mainly by the extension of the PHE period and the associated suspension of membership redeterminations due to COVID-19.</w:t>
      </w:r>
    </w:p>
    <w:p>
      <w:pPr>
        <w:spacing w:after="0" w:line="55"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As described above in “Trends and Uncertainties,” we recognized approximately $34 million and $156 million in the third quarter and nine months ended September 30, 2022, respectively, for the impact of risk corridors enacted in several states since the second quarter of 2020, in response to the lower utilization of medical services resulting from COVID-</w:t>
      </w:r>
    </w:p>
    <w:p>
      <w:pPr>
        <w:spacing w:after="0" w:line="1" w:lineRule="exact"/>
        <w:rPr>
          <w:sz w:val="20"/>
          <w:szCs w:val="20"/>
          <w:color w:val="auto"/>
        </w:rPr>
      </w:pPr>
    </w:p>
    <w:p>
      <w:pPr>
        <w:ind w:right="240" w:firstLine="5"/>
        <w:spacing w:after="0" w:line="269" w:lineRule="auto"/>
        <w:tabs>
          <w:tab w:leader="none" w:pos="2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recognized approximately $17 million and $183 million, respectively, for the impact of such risk corridors in the third quarter and nine months ended September 30, 2021. The decrease was due to the elimination of most of the COVID-19 risk corridors.</w:t>
      </w:r>
    </w:p>
    <w:p>
      <w:pPr>
        <w:spacing w:after="0" w:line="49"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The medical margin in our Medicaid program increased $171 million, or 32%, in the third quarter of 2022 when compared with the third quarter of 2021, and increased $481 million, or 29%, in the nine months ended September 30, 2022 when compared with the nine months ended September 30, 2021. The increase in margin in both periods was driven by the increased membership growth and premium revenues discussed above and the MCR decrease discussed below.</w:t>
      </w:r>
    </w:p>
    <w:p>
      <w:pPr>
        <w:spacing w:after="0" w:line="49"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 Medicaid MCR decreased 110 basis points to 88.5% in the third quarter of 2022, from 89.6% in the third quarter of 2021, and decreased 60 basis points to 88.2% in the nine months ended September 30, 2022, from 88.8% in the</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nine months ended September 30, 2021. The decrease for both periods is mainly attributable to medical cost management, lower utilization and the year-over-year change in the net effect of COVID, partially offset by the impact of state directed payments in our Texas health plan. The year-over-year change in the net effect of COVID for the third quarter of 2022 reflects lower COVID inpatient costs, partially offset by lower COVID-related utilization curtailment. The 2022 Medicaid MCR is at the lower end of our long-term target despite the net effect of COVID and other impacts.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Medicare</w:t>
      </w:r>
    </w:p>
    <w:p>
      <w:pPr>
        <w:spacing w:after="0" w:line="92"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Medicare premium revenue increased $72 million, or 8%, in the third quarter of 2022 compared to the third quarter of 2021, and increased $359 million, or 14%, in the nine months ended September 30, 2022 compared to the nine months ended September 30, 2021. The increase was primarily due to the impact of product expansion and organic membership growth in existing states, partially offset by lower premium revenue PMPM from the change in business mix.</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medical margin for Medicare decreased $43 million in the third quarter of 2022, and increased $31 million in the nine months ended September 30, 2022, when compared to the same periods in 2021. The decrease in the third quarter is due to the increase in MCR discussed below, partially offset by the increase in premium revenues. The year-over-year increase for the nine months is mainly due to the increase in premium revenues, partially offset by the increase in the MCR discussed below.</w:t>
      </w:r>
    </w:p>
    <w:p>
      <w:pPr>
        <w:spacing w:after="0" w:line="4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Medicare MCR increased to 88.7% in the third quarter of 2022, from 82.8% in the third quarter of 2021, or 590 basis points. The Medicare MCR increased to 87.4% in the nine months ended September 30, 2022, compared to 86.8% in the nine months ended September 30, 2021, or 60 basis points. The MCR increase in both periods was primarily driven by the year-over-year change in the net effect of COVID. COVID-related utilization curtailment and corridor adjustments drove a lower MCR for the 2021 periods. Additionally, the increase in MCR was driven by higher non-COVID utilization, partially offset by higher risk scores that more closely reflect the acuity of our membership, and strong medical cost management. The 2022 year-to-date Medicare MCR is in line with our long-term target.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Marketplace</w:t>
      </w:r>
    </w:p>
    <w:p>
      <w:pPr>
        <w:spacing w:after="0" w:line="9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Marketplace premium revenue decreased $215 million in the third quarter of 2022 compared to the third quarter of 2021, and decreased $ 468 million in the nine months ended September 30, 2022 compared to the nine months ended September 30, 2021. The decrease in both periods was mainly due to expected attrition of membership, partially offset by an increase in premium revenue PMPM. Our Marketplace membership as of September 30, 2022, amounted to 353,000 members, representing a decrease of 366,000 members compared to September 30, 2021. The increase in premium revenue PMPM is consistent with the product and pricing strategy, reflecting an increase of members in the silver metal tier and a decrease of members in the bronze metal tier, partially offset by an increase in the 2021 risk adjustment payable that was finalized in June 2022.</w:t>
      </w:r>
    </w:p>
    <w:p>
      <w:pPr>
        <w:spacing w:after="0" w:line="5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Marketplace medical margin increased $9 million in the third quarter of 2022 when compared with the third quarter of 2021, and decreased $76 million in the nine months ended September 30, 2022 when compared with the nine months ended September 30, 2021. The improvement in the third quarter is due mainly to the decrease in MCR discussed below, partially offset by the decrease in premium revenue. The decrease in year to date results is primarily due to the net decrease in membership and premiums, and the increase in the MCR described below.</w:t>
      </w:r>
    </w:p>
    <w:p>
      <w:pPr>
        <w:spacing w:after="0" w:line="5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Marketplace MCR decreased to 86.3% in the third quarter of 2022, compared to 91.3% in the third quarter of 2021, or 500 basis points, and increased to 85.1% in the nine months ended September 30, 2022, compared to 84.8% in the nine months ended September 30, 2021, or 30 basis points. The decrease in MCR for the third quarter was driven mainly by the year-over-year change in the net effect of COVID, partially offset by changes in membership mix that includes higher acuity members. The increase for the nine-month period reflects changes in membership mix that includes higher acuity members and the unfavorable change in the 2021 risk adjustment payable recognized in the second quarter of 2022, partially offset by the year-over-year change in the net effect of COVID. We are also incurring less MCR seasonality relative to the prior year, due to the lower deductibles in the silver metal tier product.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2"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for the third quarters of and nine months ended September 30, 2022 and 2021, respectively.</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LIQUIDITY AND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828282"/>
        </w:rPr>
        <w:t>LIQUIDITY</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35"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half of 2022, we did not experience noticeable delays to, or changes in, the timing or level of premium receipts as a result of the COVID-19 pandemic, but there can be no assurances that we will not experience such delays in the future. See further discussion below in “Future Sources and Uses of Liquidity—Future Uses—</w:t>
      </w:r>
      <w:r>
        <w:rPr>
          <w:rFonts w:ascii="Arial" w:cs="Arial" w:eastAsia="Arial" w:hAnsi="Arial"/>
          <w:sz w:val="14"/>
          <w:szCs w:val="14"/>
          <w:i w:val="1"/>
          <w:iCs w:val="1"/>
          <w:color w:val="auto"/>
        </w:rPr>
        <w:t>Potential Impact of COVID-19 Pandemic</w:t>
      </w:r>
      <w:r>
        <w:rPr>
          <w:rFonts w:ascii="Arial" w:cs="Arial" w:eastAsia="Arial" w:hAnsi="Arial"/>
          <w:sz w:val="14"/>
          <w:szCs w:val="14"/>
          <w:color w:val="auto"/>
        </w:rPr>
        <w:t>.”</w:t>
      </w:r>
    </w:p>
    <w:p>
      <w:pPr>
        <w:spacing w:after="0" w:line="55" w:lineRule="exact"/>
        <w:rPr>
          <w:sz w:val="20"/>
          <w:szCs w:val="20"/>
          <w:color w:val="auto"/>
        </w:rPr>
      </w:pPr>
    </w:p>
    <w:p>
      <w:pPr>
        <w:jc w:val="both"/>
        <w:ind w:right="300"/>
        <w:spacing w:after="0" w:line="265" w:lineRule="auto"/>
        <w:rPr>
          <w:sz w:val="20"/>
          <w:szCs w:val="20"/>
          <w:color w:val="auto"/>
        </w:rPr>
      </w:pPr>
      <w:r>
        <w:rPr>
          <w:rFonts w:ascii="Arial" w:cs="Arial" w:eastAsia="Arial" w:hAnsi="Arial"/>
          <w:sz w:val="14"/>
          <w:szCs w:val="14"/>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third quarter and nine months ended September 30, 2022, the parent company received $120 million and $ 400 million, respectively, in dividends and return of capital from the regulated health plan subsidiaries. See further discussion of dividends below in “Future Sources and Uses of Liquidity—Future Sources.”</w:t>
      </w:r>
    </w:p>
    <w:p>
      <w:pPr>
        <w:spacing w:after="0" w:line="53"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parent company may also contribute capital to the regulated health plan subsidiaries to satisfy minimum statutory net worth requirements, including funding for newer health plans. In the third quarter and nine months ended September 30, 2022, the parent company contributed capital of $116 million and $145 million, respectively, to the regulated health plan subsidiaries.</w:t>
      </w:r>
    </w:p>
    <w:p>
      <w:pPr>
        <w:spacing w:after="0" w:line="4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Cash, cash equivalents and investments at the parent company amounted to $298 million and $348 million as of September 30, 2022, and December 31, 2021, respectively. The decrease as of September 30, 2022, was primarily due to our share repurchase program and the timing of corporate payments and capital contributions to regulated health plan subsidiaries, partially offset by dividends received from regulated health plan subsidiaries.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9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49"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53"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believe that the risks of the COVID-19 pandemic, as they relate to our investments, are minimal. The overall rating of our portfolio remains strong and is rated A+. Our investment policy has directives in conjunction with state guidelines to minimize risks and exposures in volatile markets. Additionally, our portfolio managers assist us in navigating volatility in the capital markets.</w:t>
      </w:r>
    </w:p>
    <w:p>
      <w:pPr>
        <w:spacing w:after="0" w:line="49"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Activities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Our cash flows are summarized as follows: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center"/>
              <w:ind w:left="78"/>
              <w:spacing w:after="0"/>
              <w:rPr>
                <w:sz w:val="20"/>
                <w:szCs w:val="20"/>
                <w:color w:val="auto"/>
              </w:rPr>
            </w:pPr>
            <w:r>
              <w:rPr>
                <w:rFonts w:ascii="Arial" w:cs="Arial" w:eastAsia="Arial" w:hAnsi="Arial"/>
                <w:sz w:val="11"/>
                <w:szCs w:val="11"/>
                <w:b w:val="1"/>
                <w:bCs w:val="1"/>
                <w:color w:val="auto"/>
              </w:rPr>
              <w:t>Nine Months Ended September 30,</w:t>
            </w:r>
          </w:p>
        </w:tc>
        <w:tc>
          <w:tcPr>
            <w:tcW w:w="1120" w:type="dxa"/>
            <w:vAlign w:val="bottom"/>
            <w:tcBorders>
              <w:bottom w:val="single" w:sz="8" w:color="auto"/>
            </w:tcBorders>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Change</w:t>
            </w:r>
          </w:p>
        </w:tc>
      </w:tr>
      <w:tr>
        <w:trPr>
          <w:trHeight w:val="182"/>
        </w:trPr>
        <w:tc>
          <w:tcPr>
            <w:tcW w:w="6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r>
      <w:tr>
        <w:trPr>
          <w:trHeight w:val="169"/>
        </w:trPr>
        <w:tc>
          <w:tcPr>
            <w:tcW w:w="676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168</w:t>
            </w: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62"/>
        </w:trPr>
        <w:tc>
          <w:tcPr>
            <w:tcW w:w="6760" w:type="dxa"/>
            <w:vAlign w:val="bottom"/>
          </w:tcPr>
          <w:p>
            <w:pPr>
              <w:ind w:left="100"/>
              <w:spacing w:after="0"/>
              <w:rPr>
                <w:sz w:val="20"/>
                <w:szCs w:val="20"/>
                <w:color w:val="auto"/>
              </w:rPr>
            </w:pPr>
            <w:r>
              <w:rPr>
                <w:rFonts w:ascii="Arial" w:cs="Arial" w:eastAsia="Arial" w:hAnsi="Arial"/>
                <w:sz w:val="13"/>
                <w:szCs w:val="13"/>
                <w:color w:val="auto"/>
              </w:rPr>
              <w:t>Net (decrease) increase in cash, cash equivalents, and restricted cash and cash equivalents</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Activities</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operations for the nine months ended September 30, 2022 was $985 million, compared with $1,522 million in the nine months ended September 30, 2021.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$537 million decrease in cash flow was due to the net impact of timing differences in government receivables and payables and partially offset by an increase in net earnings.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Investing Activities</w:t>
      </w:r>
    </w:p>
    <w:p>
      <w:pPr>
        <w:spacing w:after="0" w:line="94"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Net cash used in investing activities was $938 million in the nine months ended September 30, 2022, compared with $1,106 million used in investing activities in the nine months ended September 30, 2021, an increase in cash flow of $168 million. This increase in cash flow was primarily due to the net activity of proceeds and purchases of investments partially, offset by funding of the AgeWell acquisition, in the nine months ended September 30, 2022.</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Financing Activities</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Net cash used in financing activities was $258 million in the nine months ended September 30, 2022, compared with $204 million used in the nine months ended September 30, 2021, a decrease in cash flow of $ 54 million. In the nine months ended September 30, 2022, financing cash outflows included common stock purchases of $200 million and $53 million for common stock withheld to settle employee tax obligations. In the nine months ended September 30, 2021, financing cash outflows included common stock purchases of $128 million and $ 52 million for common stock withheld to settle employee tax obligations. Additionally, we paid $20 million in each of the nine months ended September 30, 2022 and 2021 to settle contingent consideration liabilities relating to our Kentucky Passport acquisition that closed in 2020.</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828282"/>
        </w:rPr>
        <w:t>FINANCIAL CONDITION</w:t>
      </w:r>
    </w:p>
    <w:p>
      <w:pPr>
        <w:spacing w:after="0" w:line="94"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49"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On a consolidated basis, at September 30, 2022, our working capital was $3.3 billion, compared with $3.0 billion at December 31, 2021. At September 30, 2022, our cash and investments amounted to $8.1 billion, compared with $7.9 billion at December 31, 2021.</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and Dividend Restrictions</w:t>
      </w:r>
    </w:p>
    <w:p>
      <w:pPr>
        <w:spacing w:after="0" w:line="9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$2.2 billion at September 30, 2022, compared with $2.1 billion at December 31, 2021. The aggregate capital and surplus of our regulated, wholly owned subsidiaries was in excess of these minimum capital requirements as of both dates.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Under applicable regulatory requirements, the amount of dividends that may be paid by our regulated, wholly owned subsidiaries without prior approval by regulatory authorities as of September 30, 2022, was approximately $170 million in the aggregate. These subsidiaries may pay dividends over this amount, but only after approval is granted by the regulatory authorities.</w:t>
      </w:r>
    </w:p>
    <w:p>
      <w:pPr>
        <w:spacing w:after="0" w:line="49"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color w:val="auto"/>
        </w:rPr>
        <w:t>Based on our cash and investments balances as of September 30, 2022,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Ratings</w:t>
      </w:r>
    </w:p>
    <w:p>
      <w:pPr>
        <w:spacing w:after="0" w:line="9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Each of our senior notes is rated “BB-” by Standard &amp; Poor’s, and “Ba3” by Moody’s Investor Service, Inc. A downgrade in our ratings could adversely affect our borrowing capacity and increase our future borrowing costs.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Covenants</w:t>
      </w:r>
    </w:p>
    <w:p>
      <w:pPr>
        <w:spacing w:after="0" w:line="9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The Credit Agreement contains customary non-financial and financial covenants, including a net leverage ratio and an interest coverage ratio. Such ratios are computed as defined by the terms of the Credit Agreement.</w:t>
      </w:r>
    </w:p>
    <w:p>
      <w:pPr>
        <w:spacing w:after="0" w:line="35"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September 30, 2022, we were in compliance with all financial and non-financial covenants under the Credit Agreement and the indentures governing our senior notes.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828282"/>
        </w:rPr>
        <w:t>FUTURE SOURCES AND USES OF LIQUIDITY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Sources</w:t>
      </w:r>
    </w:p>
    <w:p>
      <w:pPr>
        <w:spacing w:after="0" w:line="92"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i w:val="1"/>
          <w:iCs w:val="1"/>
          <w:color w:val="auto"/>
        </w:rPr>
        <w:t>Potential Impact of COVID-19 Pandemic</w:t>
      </w:r>
      <w:r>
        <w:rPr>
          <w:rFonts w:ascii="Arial" w:cs="Arial" w:eastAsia="Arial" w:hAnsi="Arial"/>
          <w:sz w:val="14"/>
          <w:szCs w:val="14"/>
          <w:color w:val="auto"/>
        </w:rPr>
        <w:t>. Excluding acquisitions and our exit from Puerto Rico, we added over 750,000 new Medicaid members since March 31, 2020, when we first</w:t>
      </w:r>
      <w:r>
        <w:rPr>
          <w:rFonts w:ascii="Arial" w:cs="Arial" w:eastAsia="Arial" w:hAnsi="Arial"/>
          <w:sz w:val="14"/>
          <w:szCs w:val="14"/>
          <w:i w:val="1"/>
          <w:iCs w:val="1"/>
          <w:color w:val="auto"/>
        </w:rPr>
        <w:t xml:space="preserve"> </w:t>
      </w:r>
      <w:r>
        <w:rPr>
          <w:rFonts w:ascii="Arial" w:cs="Arial" w:eastAsia="Arial" w:hAnsi="Arial"/>
          <w:sz w:val="14"/>
          <w:szCs w:val="14"/>
          <w:color w:val="auto"/>
        </w:rPr>
        <w:t>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mid-January 2023.</w:t>
      </w:r>
    </w:p>
    <w:p>
      <w:pPr>
        <w:spacing w:after="0" w:line="49"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i w:val="1"/>
          <w:iCs w:val="1"/>
          <w:color w:val="auto"/>
        </w:rPr>
        <w:t xml:space="preserve">Dividends from Subsidiaries. </w:t>
      </w:r>
      <w:r>
        <w:rPr>
          <w:rFonts w:ascii="Arial" w:cs="Arial" w:eastAsia="Arial" w:hAnsi="Arial"/>
          <w:sz w:val="14"/>
          <w:szCs w:val="14"/>
          <w:color w:val="auto"/>
        </w:rPr>
        <w:t>When available and as permitted by applicable regulations, cash in excess of the capital needs of our regulated health plans is generally paid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form of dividends to our unregulated parent company to be used for general corporate purposes. As a result of the COVID-19 pandemic, state regulators could further restrict the ability of our regulated health plan subsidiaries to pay dividends to the parent company, which would reduce the liquidity of the parent company.</w:t>
      </w:r>
    </w:p>
    <w:p>
      <w:pPr>
        <w:spacing w:after="0" w:line="49"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i w:val="1"/>
          <w:iCs w:val="1"/>
          <w:color w:val="auto"/>
        </w:rPr>
        <w:t xml:space="preserve">Credit Agreement Borrowing Capacity. </w:t>
      </w:r>
      <w:r>
        <w:rPr>
          <w:rFonts w:ascii="Arial" w:cs="Arial" w:eastAsia="Arial" w:hAnsi="Arial"/>
          <w:sz w:val="14"/>
          <w:szCs w:val="14"/>
          <w:color w:val="auto"/>
        </w:rPr>
        <w:t>As of September 30, 2022, we had available borrowing capacity of $1 billion under the revolving credit facility of our Credit Agreement. In</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8, “Debt.”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Uses</w:t>
      </w:r>
    </w:p>
    <w:p>
      <w:pPr>
        <w:spacing w:after="0" w:line="92"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i w:val="1"/>
          <w:iCs w:val="1"/>
          <w:color w:val="auto"/>
        </w:rPr>
        <w:t xml:space="preserve">Common Stock Purchases. </w:t>
      </w:r>
      <w:r>
        <w:rPr>
          <w:rFonts w:ascii="Arial" w:cs="Arial" w:eastAsia="Arial" w:hAnsi="Arial"/>
          <w:sz w:val="14"/>
          <w:szCs w:val="14"/>
          <w:color w:val="auto"/>
        </w:rPr>
        <w:t>In September 2021, our board of directors authorized the purchase of up to $ 500 million, in the aggregate, of our common stock. This new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which superseded the stock purchase program approved by our board of directors in September 2020, is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October 26, 2022, $300 million remained available to purchase our common stock under this program through December 31, 2022.</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i w:val="1"/>
          <w:iCs w:val="1"/>
          <w:color w:val="auto"/>
        </w:rPr>
        <w:t>Acquisitions</w:t>
      </w:r>
      <w:r>
        <w:rPr>
          <w:rFonts w:ascii="Arial" w:cs="Arial" w:eastAsia="Arial" w:hAnsi="Arial"/>
          <w:sz w:val="14"/>
          <w:szCs w:val="14"/>
          <w:color w:val="auto"/>
        </w:rPr>
        <w:t>. On July 13, 2022, we announced a definitive agreement to acquire substantially all the assets of My Choice Wisconsin (“MCW”). The purchase price for the transaction</w:t>
      </w:r>
      <w:r>
        <w:rPr>
          <w:rFonts w:ascii="Arial" w:cs="Arial" w:eastAsia="Arial" w:hAnsi="Arial"/>
          <w:sz w:val="14"/>
          <w:szCs w:val="14"/>
          <w:i w:val="1"/>
          <w:iCs w:val="1"/>
          <w:color w:val="auto"/>
        </w:rPr>
        <w:t xml:space="preserve"> </w:t>
      </w:r>
      <w:r>
        <w:rPr>
          <w:rFonts w:ascii="Arial" w:cs="Arial" w:eastAsia="Arial" w:hAnsi="Arial"/>
          <w:sz w:val="14"/>
          <w:szCs w:val="14"/>
          <w:color w:val="auto"/>
        </w:rPr>
        <w:t>is approximately $ 150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early 2023.</w:t>
      </w:r>
    </w:p>
    <w:p>
      <w:pPr>
        <w:spacing w:after="0" w:line="4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i w:val="1"/>
          <w:iCs w:val="1"/>
          <w:color w:val="auto"/>
        </w:rPr>
        <w:t>Potential Impact of COVID-19 Pandemic</w:t>
      </w:r>
      <w:r>
        <w:rPr>
          <w:rFonts w:ascii="Arial" w:cs="Arial" w:eastAsia="Arial" w:hAnsi="Arial"/>
          <w:sz w:val="14"/>
          <w:szCs w:val="14"/>
          <w:color w:val="auto"/>
        </w:rPr>
        <w:t>. As described above in “Trends and Uncertainties,” we have been subject to Medicaid risk corridors as a result of the pandemic. Beginning</w:t>
      </w:r>
      <w:r>
        <w:rPr>
          <w:rFonts w:ascii="Arial" w:cs="Arial" w:eastAsia="Arial" w:hAnsi="Arial"/>
          <w:sz w:val="14"/>
          <w:szCs w:val="14"/>
          <w:i w:val="1"/>
          <w:iCs w:val="1"/>
          <w:color w:val="auto"/>
        </w:rPr>
        <w:t xml:space="preserve"> </w:t>
      </w:r>
      <w:r>
        <w:rPr>
          <w:rFonts w:ascii="Arial" w:cs="Arial" w:eastAsia="Arial" w:hAnsi="Arial"/>
          <w:sz w:val="14"/>
          <w:szCs w:val="14"/>
          <w:color w:val="auto"/>
        </w:rPr>
        <w:t>in 2020,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Since the second quarter of 2020, we have recognized risk corridors that we believe to be probable, and where the ultimate premium amount is reasonably estimable. For the three and nine months ended September 30, 2022, we recognized approximately $34 million and $156 million, respectively, related to such risk corridors, primarily in the Medicaid segment.</w:t>
      </w:r>
    </w:p>
    <w:p>
      <w:pPr>
        <w:spacing w:after="0" w:line="55"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49"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i w:val="1"/>
          <w:iCs w:val="1"/>
          <w:color w:val="auto"/>
        </w:rPr>
        <w:t xml:space="preserve">Regulatory Capital Requirements. </w:t>
      </w:r>
      <w:r>
        <w:rPr>
          <w:rFonts w:ascii="Arial" w:cs="Arial" w:eastAsia="Arial" w:hAnsi="Arial"/>
          <w:sz w:val="14"/>
          <w:szCs w:val="14"/>
          <w:color w:val="auto"/>
        </w:rPr>
        <w:t>We have the ability, and have committed to provide, additional capital to each of our health plans as necessary to ensure compliance with</w:t>
      </w:r>
      <w:r>
        <w:rPr>
          <w:rFonts w:ascii="Arial" w:cs="Arial" w:eastAsia="Arial" w:hAnsi="Arial"/>
          <w:sz w:val="14"/>
          <w:szCs w:val="14"/>
          <w:i w:val="1"/>
          <w:iCs w:val="1"/>
          <w:color w:val="auto"/>
        </w:rPr>
        <w:t xml:space="preserve"> </w:t>
      </w:r>
      <w:r>
        <w:rPr>
          <w:rFonts w:ascii="Arial" w:cs="Arial" w:eastAsia="Arial" w:hAnsi="Arial"/>
          <w:sz w:val="14"/>
          <w:szCs w:val="14"/>
          <w:color w:val="auto"/>
        </w:rPr>
        <w:t>statutory capital and surplus requirements.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CONTRACTUAL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 summary of future obligations under our various contractual obligations and commitments as of December 31, 2021, was disclosed in our 2021 Annual Report on Form 10-K.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There were no significant changes to our contractual obligations and commitments outside the ordinary course of business during the nine months ended September 30, 2022.</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CRITICAL ACCOUNTING ESTIMATES</w:t>
      </w:r>
    </w:p>
    <w:p>
      <w:pPr>
        <w:spacing w:after="0" w:line="87"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35" w:lineRule="exact"/>
        <w:rPr>
          <w:sz w:val="20"/>
          <w:szCs w:val="20"/>
          <w:color w:val="auto"/>
        </w:rPr>
      </w:pPr>
    </w:p>
    <w:p>
      <w:pPr>
        <w:ind w:left="520" w:right="140" w:hanging="260"/>
        <w:spacing w:after="0" w:line="265" w:lineRule="auto"/>
        <w:tabs>
          <w:tab w:leader="none" w:pos="516"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Medical claims and benefits payable</w:t>
      </w:r>
      <w:r>
        <w:rPr>
          <w:rFonts w:ascii="Arial" w:cs="Arial" w:eastAsia="Arial" w:hAnsi="Arial"/>
          <w:sz w:val="14"/>
          <w:szCs w:val="14"/>
          <w:color w:val="auto"/>
        </w:rPr>
        <w:t>. Refer to Notes to Consolidated Financial Statements, Note 7, “Medical Claims and Benefits Payable,” for a table that presents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nine months ended September 30, 2022 there were no significant changes to our disclosure reported in “Critical Accounting Estimates” in our 2021 Annual Report on Form 10-K.</w:t>
      </w:r>
    </w:p>
    <w:p>
      <w:pPr>
        <w:spacing w:after="0" w:line="52" w:lineRule="exact"/>
        <w:rPr>
          <w:rFonts w:ascii="Arial" w:cs="Arial" w:eastAsia="Arial" w:hAnsi="Arial"/>
          <w:sz w:val="14"/>
          <w:szCs w:val="14"/>
          <w:i w:val="1"/>
          <w:iCs w:val="1"/>
          <w:color w:val="auto"/>
        </w:rPr>
      </w:pPr>
    </w:p>
    <w:p>
      <w:pPr>
        <w:ind w:left="520" w:right="1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Contractual provisions that may adjust or limit revenue or profit</w:t>
      </w:r>
      <w:r>
        <w:rPr>
          <w:rFonts w:ascii="Arial" w:cs="Arial" w:eastAsia="Arial" w:hAnsi="Arial"/>
          <w:sz w:val="14"/>
          <w:szCs w:val="14"/>
          <w:color w:val="auto"/>
        </w:rPr>
        <w:t>. For a discussion of this topic, including amounts recorded in our consolidated financial statements, refer to</w:t>
      </w:r>
      <w:r>
        <w:rPr>
          <w:rFonts w:ascii="Arial" w:cs="Arial" w:eastAsia="Arial" w:hAnsi="Arial"/>
          <w:sz w:val="14"/>
          <w:szCs w:val="14"/>
          <w:i w:val="1"/>
          <w:iCs w:val="1"/>
          <w:color w:val="auto"/>
        </w:rPr>
        <w:t xml:space="preserve"> </w:t>
      </w:r>
      <w:r>
        <w:rPr>
          <w:rFonts w:ascii="Arial" w:cs="Arial" w:eastAsia="Arial" w:hAnsi="Arial"/>
          <w:sz w:val="14"/>
          <w:szCs w:val="14"/>
          <w:color w:val="auto"/>
        </w:rPr>
        <w:t>Notes to Consolidated Financial Statements, Note 2, “Significant Accounting Policies.”</w:t>
      </w:r>
    </w:p>
    <w:p>
      <w:pPr>
        <w:spacing w:after="0" w:line="35" w:lineRule="exact"/>
        <w:rPr>
          <w:rFonts w:ascii="Arial" w:cs="Arial" w:eastAsia="Arial" w:hAnsi="Arial"/>
          <w:sz w:val="14"/>
          <w:szCs w:val="14"/>
          <w:color w:val="auto"/>
        </w:rPr>
      </w:pPr>
    </w:p>
    <w:p>
      <w:pPr>
        <w:ind w:left="520" w:right="340" w:hanging="260"/>
        <w:spacing w:after="0" w:line="290" w:lineRule="auto"/>
        <w:tabs>
          <w:tab w:leader="none" w:pos="516"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Quality incentives</w:t>
      </w:r>
      <w:r>
        <w:rPr>
          <w:rFonts w:ascii="Arial" w:cs="Arial" w:eastAsia="Arial" w:hAnsi="Arial"/>
          <w:sz w:val="14"/>
          <w:szCs w:val="14"/>
          <w:color w:val="auto"/>
        </w:rPr>
        <w:t>. In the nine months ended September 30, 2022, there were no significant changes to our disclosure reported in “Critical Accounting Estimates” in our</w:t>
      </w:r>
      <w:r>
        <w:rPr>
          <w:rFonts w:ascii="Arial" w:cs="Arial" w:eastAsia="Arial" w:hAnsi="Arial"/>
          <w:sz w:val="14"/>
          <w:szCs w:val="14"/>
          <w:i w:val="1"/>
          <w:iCs w:val="1"/>
          <w:color w:val="auto"/>
        </w:rPr>
        <w:t xml:space="preserve"> </w:t>
      </w:r>
      <w:r>
        <w:rPr>
          <w:rFonts w:ascii="Arial" w:cs="Arial" w:eastAsia="Arial" w:hAnsi="Arial"/>
          <w:sz w:val="14"/>
          <w:szCs w:val="14"/>
          <w:color w:val="auto"/>
        </w:rPr>
        <w:t>2021 Annual Report on Form 10-K.</w:t>
      </w:r>
    </w:p>
    <w:p>
      <w:pPr>
        <w:spacing w:after="0" w:line="35" w:lineRule="exact"/>
        <w:rPr>
          <w:rFonts w:ascii="Arial" w:cs="Arial" w:eastAsia="Arial" w:hAnsi="Arial"/>
          <w:sz w:val="14"/>
          <w:szCs w:val="14"/>
          <w:i w:val="1"/>
          <w:iCs w:val="1"/>
          <w:color w:val="auto"/>
        </w:rPr>
      </w:pPr>
    </w:p>
    <w:p>
      <w:pPr>
        <w:ind w:left="520" w:right="80" w:hanging="260"/>
        <w:spacing w:after="0" w:line="290" w:lineRule="auto"/>
        <w:tabs>
          <w:tab w:leader="none" w:pos="516"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Business combinations, goodwill, and intangible assets, net. </w:t>
      </w:r>
      <w:r>
        <w:rPr>
          <w:rFonts w:ascii="Arial" w:cs="Arial" w:eastAsia="Arial" w:hAnsi="Arial"/>
          <w:sz w:val="14"/>
          <w:szCs w:val="14"/>
          <w:color w:val="auto"/>
        </w:rPr>
        <w:t>In the nine months ended September 30, 2022, there were no significant changes to our disclosure reported in</w:t>
      </w:r>
      <w:r>
        <w:rPr>
          <w:rFonts w:ascii="Arial" w:cs="Arial" w:eastAsia="Arial" w:hAnsi="Arial"/>
          <w:sz w:val="14"/>
          <w:szCs w:val="14"/>
          <w:i w:val="1"/>
          <w:iCs w:val="1"/>
          <w:color w:val="auto"/>
        </w:rPr>
        <w:t xml:space="preserve"> </w:t>
      </w:r>
      <w:r>
        <w:rPr>
          <w:rFonts w:ascii="Arial" w:cs="Arial" w:eastAsia="Arial" w:hAnsi="Arial"/>
          <w:sz w:val="14"/>
          <w:szCs w:val="14"/>
          <w:color w:val="auto"/>
        </w:rPr>
        <w:t>“Critical Accounting Estimates”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QUANTITATIVE AND QUALITATIVE DISCLOSURES ABOUT MARKET RISK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Our earnings and financial position are exposed to financial market risk relating to changes in interest rates, and the resulting impact on investment income and interest expense.</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Substantially all of our investments and restricted investments are subject to interest rate risk and will decrease in value if market interest rates increase. Assuming a hypothetical and immediate 1% increase in market interest rates at September 30, 2022, the fair value of our fixed income investments would decrease by approximately $85 million. Declines in interest rates over time will reduce our investment income.</w:t>
      </w:r>
    </w:p>
    <w:p>
      <w:pPr>
        <w:spacing w:after="0" w:line="49"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For further information on fair value measurements and our investment portfolio, please refer to Notes to Consolidated Financial Statements, Note 5, “Fair Value Measurements,” and Note 6, “Investments.”</w:t>
      </w:r>
    </w:p>
    <w:p>
      <w:pPr>
        <w:spacing w:after="0" w:line="3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CONTROLS AND PROCEDURES</w:t>
      </w:r>
    </w:p>
    <w:p>
      <w:pPr>
        <w:spacing w:after="0" w:line="87"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i w:val="1"/>
          <w:iCs w:val="1"/>
          <w:color w:val="auto"/>
        </w:rPr>
        <w:t xml:space="preserve">Evaluation of Disclosure Controls and Procedures. </w:t>
      </w:r>
      <w:r>
        <w:rPr>
          <w:rFonts w:ascii="Arial" w:cs="Arial" w:eastAsia="Arial" w:hAnsi="Arial"/>
          <w:sz w:val="14"/>
          <w:szCs w:val="14"/>
          <w:color w:val="auto"/>
        </w:rPr>
        <w:t>Our management, with the participation of our chief executive officer and our chief financial officer, has concluded, based upon</w:t>
      </w:r>
      <w:r>
        <w:rPr>
          <w:rFonts w:ascii="Arial" w:cs="Arial" w:eastAsia="Arial" w:hAnsi="Arial"/>
          <w:sz w:val="14"/>
          <w:szCs w:val="14"/>
          <w:i w:val="1"/>
          <w:iCs w:val="1"/>
          <w:color w:val="auto"/>
        </w:rPr>
        <w:t xml:space="preserve"> </w:t>
      </w:r>
      <w:r>
        <w:rPr>
          <w:rFonts w:ascii="Arial" w:cs="Arial" w:eastAsia="Arial" w:hAnsi="Arial"/>
          <w:sz w:val="14"/>
          <w:szCs w:val="14"/>
          <w:color w:val="auto"/>
        </w:rPr>
        <w:t>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53"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i w:val="1"/>
          <w:iCs w:val="1"/>
          <w:color w:val="auto"/>
        </w:rPr>
        <w:t xml:space="preserve">Changes in Internal Control Over Financial Reporting. </w:t>
      </w:r>
      <w:r>
        <w:rPr>
          <w:rFonts w:ascii="Arial" w:cs="Arial" w:eastAsia="Arial" w:hAnsi="Arial"/>
          <w:sz w:val="14"/>
          <w:szCs w:val="14"/>
          <w:color w:val="auto"/>
        </w:rPr>
        <w:t>There were no changes in our internal control over financial reporting during the nine months ended September 30, 2022, that</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materially affected, or are reasonably likely to materially affect, our internal controls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legal proceedings, see Notes to Consolidated Financial Statements, Note 11, “Commitments and Contingencies.”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RISK FACTORS</w:t>
      </w:r>
    </w:p>
    <w:p>
      <w:pPr>
        <w:spacing w:after="0" w:line="8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2021 Annual Report on Form 10-K. The risk factors described in our 2021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UNREGISTERED SALES OF EQUITY SECURITIES AND USE OF PROCEEDS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828282"/>
        </w:rPr>
        <w:t>ISSUER PURCHASES OF EQUITY SECURITIES</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Purchases of common stock made by us, or on our behalf, during the third quarter of 2022, including shares withheld by us to satisfy our employees’ income tax obligations, are set forth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Total Number of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8"/>
              </w:rPr>
              <w:t>Purchased as Part of</w:t>
            </w:r>
          </w:p>
        </w:tc>
        <w:tc>
          <w:tcPr>
            <w:tcW w:w="80" w:type="dxa"/>
            <w:vAlign w:val="bottom"/>
          </w:tcPr>
          <w:p>
            <w:pPr>
              <w:spacing w:after="0"/>
              <w:rPr>
                <w:sz w:val="11"/>
                <w:szCs w:val="11"/>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Approximate Dollar Value</w:t>
            </w: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left="196"/>
              <w:spacing w:after="0" w:line="128" w:lineRule="exact"/>
              <w:rPr>
                <w:sz w:val="20"/>
                <w:szCs w:val="20"/>
                <w:color w:val="auto"/>
              </w:rPr>
            </w:pPr>
            <w:r>
              <w:rPr>
                <w:rFonts w:ascii="Arial" w:cs="Arial" w:eastAsia="Arial" w:hAnsi="Arial"/>
                <w:sz w:val="13"/>
                <w:szCs w:val="13"/>
                <w:b w:val="1"/>
                <w:bCs w:val="1"/>
                <w:color w:val="auto"/>
                <w:w w:val="96"/>
              </w:rPr>
              <w:t>Publicly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Average Price Paid per</w:t>
            </w:r>
          </w:p>
        </w:tc>
        <w:tc>
          <w:tcPr>
            <w:tcW w:w="1180" w:type="dxa"/>
            <w:vAlign w:val="bottom"/>
          </w:tcPr>
          <w:p>
            <w:pPr>
              <w:jc w:val="center"/>
              <w:ind w:left="216"/>
              <w:spacing w:after="0" w:line="128" w:lineRule="exact"/>
              <w:rPr>
                <w:sz w:val="20"/>
                <w:szCs w:val="20"/>
                <w:color w:val="auto"/>
              </w:rPr>
            </w:pPr>
            <w:r>
              <w:rPr>
                <w:rFonts w:ascii="Arial" w:cs="Arial" w:eastAsia="Arial" w:hAnsi="Arial"/>
                <w:sz w:val="13"/>
                <w:szCs w:val="13"/>
                <w:b w:val="1"/>
                <w:bCs w:val="1"/>
                <w:color w:val="auto"/>
                <w:w w:val="97"/>
              </w:rPr>
              <w:t>Announced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36"/>
              <w:spacing w:after="0" w:line="128" w:lineRule="exact"/>
              <w:rPr>
                <w:sz w:val="20"/>
                <w:szCs w:val="20"/>
                <w:color w:val="auto"/>
              </w:rPr>
            </w:pPr>
            <w:r>
              <w:rPr>
                <w:rFonts w:ascii="Arial" w:cs="Arial" w:eastAsia="Arial" w:hAnsi="Arial"/>
                <w:sz w:val="13"/>
                <w:szCs w:val="13"/>
                <w:b w:val="1"/>
                <w:bCs w:val="1"/>
                <w:color w:val="auto"/>
                <w:w w:val="97"/>
              </w:rPr>
              <w:t>of Shares that May Yet</w:t>
            </w: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of Shares</w:t>
            </w:r>
          </w:p>
        </w:tc>
        <w:tc>
          <w:tcPr>
            <w:tcW w:w="8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180" w:type="dxa"/>
            <w:vAlign w:val="bottom"/>
          </w:tcPr>
          <w:p>
            <w:pPr>
              <w:jc w:val="center"/>
              <w:ind w:left="216"/>
              <w:spacing w:after="0" w:line="128" w:lineRule="exact"/>
              <w:rPr>
                <w:sz w:val="20"/>
                <w:szCs w:val="20"/>
                <w:color w:val="auto"/>
              </w:rPr>
            </w:pPr>
            <w:r>
              <w:rPr>
                <w:rFonts w:ascii="Arial" w:cs="Arial" w:eastAsia="Arial" w:hAnsi="Arial"/>
                <w:sz w:val="13"/>
                <w:szCs w:val="13"/>
                <w:b w:val="1"/>
                <w:bCs w:val="1"/>
                <w:color w:val="auto"/>
                <w:w w:val="97"/>
              </w:rPr>
              <w:t>Plans 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right"/>
              <w:spacing w:after="0" w:line="128" w:lineRule="exact"/>
              <w:rPr>
                <w:sz w:val="20"/>
                <w:szCs w:val="20"/>
                <w:color w:val="auto"/>
              </w:rPr>
            </w:pPr>
            <w:r>
              <w:rPr>
                <w:rFonts w:ascii="Arial" w:cs="Arial" w:eastAsia="Arial" w:hAnsi="Arial"/>
                <w:sz w:val="13"/>
                <w:szCs w:val="13"/>
                <w:b w:val="1"/>
                <w:bCs w:val="1"/>
                <w:color w:val="auto"/>
              </w:rPr>
              <w:t>Be Purchased Under the</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3"/>
                <w:szCs w:val="13"/>
                <w:b w:val="1"/>
                <w:bCs w:val="1"/>
                <w:color w:val="auto"/>
                <w:w w:val="93"/>
              </w:rPr>
              <w:t xml:space="preserve">Purchased </w:t>
            </w:r>
            <w:r>
              <w:rPr>
                <w:rFonts w:ascii="Arial" w:cs="Arial" w:eastAsia="Arial" w:hAnsi="Arial"/>
                <w:sz w:val="16"/>
                <w:szCs w:val="16"/>
                <w:b w:val="1"/>
                <w:bCs w:val="1"/>
                <w:color w:val="auto"/>
                <w:w w:val="93"/>
                <w:vertAlign w:val="superscript"/>
              </w:rPr>
              <w:t>(1)</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ind w:left="236"/>
              <w:spacing w:after="0"/>
              <w:rPr>
                <w:sz w:val="20"/>
                <w:szCs w:val="20"/>
                <w:color w:val="auto"/>
              </w:rPr>
            </w:pPr>
            <w:r>
              <w:rPr>
                <w:rFonts w:ascii="Arial" w:cs="Arial" w:eastAsia="Arial" w:hAnsi="Arial"/>
                <w:sz w:val="13"/>
                <w:szCs w:val="13"/>
                <w:b w:val="1"/>
                <w:bCs w:val="1"/>
                <w:color w:val="auto"/>
                <w:w w:val="98"/>
              </w:rPr>
              <w:t>Programs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
              <w:spacing w:after="0" w:line="170" w:lineRule="exact"/>
              <w:rPr>
                <w:sz w:val="20"/>
                <w:szCs w:val="20"/>
                <w:color w:val="auto"/>
              </w:rPr>
            </w:pPr>
            <w:r>
              <w:rPr>
                <w:rFonts w:ascii="Arial" w:cs="Arial" w:eastAsia="Arial" w:hAnsi="Arial"/>
                <w:sz w:val="13"/>
                <w:szCs w:val="13"/>
                <w:b w:val="1"/>
                <w:bCs w:val="1"/>
                <w:color w:val="auto"/>
                <w:w w:val="99"/>
              </w:rPr>
              <w:t xml:space="preserve">Plans or Programs </w:t>
            </w:r>
            <w:r>
              <w:rPr>
                <w:rFonts w:ascii="Arial" w:cs="Arial" w:eastAsia="Arial" w:hAnsi="Arial"/>
                <w:sz w:val="16"/>
                <w:szCs w:val="16"/>
                <w:b w:val="1"/>
                <w:bCs w:val="1"/>
                <w:color w:val="auto"/>
                <w:w w:val="99"/>
                <w:vertAlign w:val="superscript"/>
              </w:rPr>
              <w:t>(2)</w:t>
            </w:r>
          </w:p>
        </w:tc>
        <w:tc>
          <w:tcPr>
            <w:tcW w:w="0" w:type="dxa"/>
            <w:vAlign w:val="bottom"/>
          </w:tcPr>
          <w:p>
            <w:pPr>
              <w:spacing w:after="0"/>
              <w:rPr>
                <w:sz w:val="1"/>
                <w:szCs w:val="1"/>
                <w:color w:val="auto"/>
              </w:rPr>
            </w:pPr>
          </w:p>
        </w:tc>
      </w:tr>
      <w:tr>
        <w:trPr>
          <w:trHeight w:val="160"/>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July 1 - July 31</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60" w:type="dxa"/>
            <w:vAlign w:val="bottom"/>
            <w:gridSpan w:val="2"/>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282.90</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300,000,000</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August 1 - August 31</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16"/>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300,000,000</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September 1 - September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300,000,000</w:t>
            </w:r>
          </w:p>
        </w:tc>
        <w:tc>
          <w:tcPr>
            <w:tcW w:w="0" w:type="dxa"/>
            <w:vAlign w:val="bottom"/>
          </w:tcPr>
          <w:p>
            <w:pPr>
              <w:spacing w:after="0"/>
              <w:rPr>
                <w:sz w:val="1"/>
                <w:szCs w:val="1"/>
                <w:color w:val="auto"/>
              </w:rPr>
            </w:pPr>
          </w:p>
        </w:tc>
      </w:tr>
      <w:tr>
        <w:trPr>
          <w:trHeight w:val="162"/>
        </w:trPr>
        <w:tc>
          <w:tcPr>
            <w:tcW w:w="4960" w:type="dxa"/>
            <w:vAlign w:val="bottom"/>
          </w:tcPr>
          <w:p>
            <w:pPr>
              <w:ind w:left="120"/>
              <w:spacing w:after="0"/>
              <w:rPr>
                <w:sz w:val="20"/>
                <w:szCs w:val="20"/>
                <w:color w:val="auto"/>
              </w:rPr>
            </w:pPr>
            <w:r>
              <w:rPr>
                <w:rFonts w:ascii="Arial" w:cs="Arial" w:eastAsia="Arial" w:hAnsi="Arial"/>
                <w:sz w:val="13"/>
                <w:szCs w:val="13"/>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1060" w:type="dxa"/>
            <w:vAlign w:val="bottom"/>
            <w:gridSpan w:val="2"/>
          </w:tcPr>
          <w:p>
            <w:pPr>
              <w:jc w:val="right"/>
              <w:ind w:right="816"/>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282.90</w:t>
            </w:r>
          </w:p>
        </w:tc>
        <w:tc>
          <w:tcPr>
            <w:tcW w:w="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98" w:lineRule="exact"/>
        <w:rPr>
          <w:sz w:val="20"/>
          <w:szCs w:val="20"/>
          <w:color w:val="auto"/>
        </w:rPr>
      </w:pPr>
    </w:p>
    <w:p>
      <w:pPr>
        <w:ind w:left="260" w:right="60" w:hanging="255"/>
        <w:spacing w:after="0" w:line="256" w:lineRule="auto"/>
        <w:tabs>
          <w:tab w:leader="none" w:pos="256" w:val="left"/>
        </w:tabs>
        <w:numPr>
          <w:ilvl w:val="0"/>
          <w:numId w:val="16"/>
        </w:numPr>
        <w:rPr>
          <w:rFonts w:ascii="Arial" w:cs="Arial" w:eastAsia="Arial" w:hAnsi="Arial"/>
          <w:sz w:val="13"/>
          <w:szCs w:val="13"/>
          <w:color w:val="auto"/>
        </w:rPr>
      </w:pPr>
      <w:r>
        <w:rPr>
          <w:rFonts w:ascii="Arial" w:cs="Arial" w:eastAsia="Arial" w:hAnsi="Arial"/>
          <w:sz w:val="13"/>
          <w:szCs w:val="13"/>
          <w:color w:val="auto"/>
        </w:rPr>
        <w:t>During the third quarter of 2022, we withheld approximately 2,000 shares of common stock, to settle employee income tax obligations, for releases of awards granted under the Molina Healthcare, Inc. 2019 Equity Incentive Plan.</w:t>
      </w:r>
    </w:p>
    <w:p>
      <w:pPr>
        <w:ind w:left="260" w:hanging="255"/>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further information on our stock repurchase programs, refer to the accompanying Notes to Financial Statements, Note 9, “Stockholders' Equity.”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INDEX TO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Exhibit No.</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gridSpan w:val="8"/>
          </w:tcPr>
          <w:p>
            <w:pPr>
              <w:spacing w:after="0"/>
              <w:rPr>
                <w:sz w:val="20"/>
                <w:szCs w:val="20"/>
                <w:color w:val="auto"/>
              </w:rPr>
            </w:pPr>
            <w:r>
              <w:rPr>
                <w:rFonts w:ascii="Arial" w:cs="Arial" w:eastAsia="Arial" w:hAnsi="Arial"/>
                <w:sz w:val="11"/>
                <w:szCs w:val="11"/>
                <w:color w:val="auto"/>
              </w:rPr>
              <w:t>Title</w:t>
            </w:r>
          </w:p>
        </w:tc>
        <w:tc>
          <w:tcPr>
            <w:tcW w:w="100" w:type="dxa"/>
            <w:vAlign w:val="bottom"/>
          </w:tcPr>
          <w:p>
            <w:pPr>
              <w:spacing w:after="0"/>
              <w:rPr>
                <w:sz w:val="13"/>
                <w:szCs w:val="13"/>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Method of Filing</w:t>
            </w:r>
          </w:p>
        </w:tc>
      </w:tr>
      <w:tr>
        <w:trPr>
          <w:trHeight w:val="132"/>
        </w:trPr>
        <w:tc>
          <w:tcPr>
            <w:tcW w:w="1040" w:type="dxa"/>
            <w:vAlign w:val="bottom"/>
          </w:tcPr>
          <w:p>
            <w:pPr>
              <w:ind w:left="20"/>
              <w:spacing w:after="0" w:line="132" w:lineRule="exact"/>
              <w:rPr>
                <w:sz w:val="20"/>
                <w:szCs w:val="20"/>
                <w:color w:val="auto"/>
              </w:rPr>
            </w:pPr>
            <w:r>
              <w:rPr>
                <w:rFonts w:ascii="Arial" w:cs="Arial" w:eastAsia="Arial" w:hAnsi="Arial"/>
                <w:sz w:val="13"/>
                <w:szCs w:val="13"/>
                <w:color w:val="auto"/>
              </w:rPr>
              <w:t>+10.1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80" w:type="dxa"/>
            <w:vAlign w:val="bottom"/>
            <w:gridSpan w:val="9"/>
          </w:tcPr>
          <w:p>
            <w:pPr>
              <w:spacing w:after="0" w:line="132" w:lineRule="exact"/>
              <w:rPr>
                <w:sz w:val="20"/>
                <w:szCs w:val="20"/>
                <w:color w:val="auto"/>
              </w:rPr>
            </w:pPr>
            <w:r>
              <w:rPr>
                <w:rFonts w:ascii="Arial" w:cs="Arial" w:eastAsia="Arial" w:hAnsi="Arial"/>
                <w:sz w:val="13"/>
                <w:szCs w:val="13"/>
                <w:color w:val="0F7C7F"/>
              </w:rPr>
              <w:t>Change Request #7 to the Master Services Agreement dated February 4, 2019, by and between</w:t>
            </w:r>
          </w:p>
        </w:tc>
        <w:tc>
          <w:tcPr>
            <w:tcW w:w="4460" w:type="dxa"/>
            <w:vAlign w:val="bottom"/>
          </w:tcPr>
          <w:p>
            <w:pPr>
              <w:ind w:left="20"/>
              <w:spacing w:after="0" w:line="132" w:lineRule="exact"/>
              <w:rPr>
                <w:sz w:val="20"/>
                <w:szCs w:val="20"/>
                <w:color w:val="auto"/>
              </w:rPr>
            </w:pPr>
            <w:r>
              <w:rPr>
                <w:rFonts w:ascii="Arial" w:cs="Arial" w:eastAsia="Arial" w:hAnsi="Arial"/>
                <w:sz w:val="13"/>
                <w:szCs w:val="13"/>
                <w:color w:val="auto"/>
              </w:rPr>
              <w:t>Filed herewith.</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F7C7F"/>
              <w:bottom w:val="single" w:sz="8" w:color="0F7C7F"/>
            </w:tcBorders>
          </w:tcPr>
          <w:p>
            <w:pPr>
              <w:spacing w:after="0" w:line="107" w:lineRule="exact"/>
              <w:rPr>
                <w:sz w:val="20"/>
                <w:szCs w:val="20"/>
                <w:color w:val="auto"/>
              </w:rPr>
            </w:pPr>
            <w:r>
              <w:rPr>
                <w:rFonts w:ascii="Arial" w:cs="Arial" w:eastAsia="Arial" w:hAnsi="Arial"/>
                <w:sz w:val="12"/>
                <w:szCs w:val="12"/>
                <w:color w:val="0F7C7F"/>
              </w:rPr>
              <w:t>Molina Healthcare, Inc. and Infosys Limited</w:t>
            </w:r>
          </w:p>
        </w:tc>
        <w:tc>
          <w:tcPr>
            <w:tcW w:w="2980" w:type="dxa"/>
            <w:vAlign w:val="bottom"/>
            <w:tcBorders>
              <w:top w:val="single" w:sz="8" w:color="0F7C7F"/>
            </w:tcBorders>
            <w:gridSpan w:val="4"/>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bottom w:val="single" w:sz="8" w:color="0F7C7F"/>
            </w:tcBorders>
            <w:gridSpan w:val="4"/>
          </w:tcPr>
          <w:p>
            <w:pPr>
              <w:spacing w:after="0"/>
              <w:rPr>
                <w:sz w:val="20"/>
                <w:szCs w:val="20"/>
                <w:color w:val="auto"/>
              </w:rPr>
            </w:pPr>
            <w:r>
              <w:rPr>
                <w:rFonts w:ascii="Arial" w:cs="Arial" w:eastAsia="Arial" w:hAnsi="Arial"/>
                <w:sz w:val="13"/>
                <w:szCs w:val="13"/>
                <w:color w:val="0F7C7F"/>
                <w:w w:val="97"/>
              </w:rPr>
              <w:t>Section 302 Certification of Chief Executive Officer</w:t>
            </w:r>
          </w:p>
        </w:tc>
        <w:tc>
          <w:tcPr>
            <w:tcW w:w="2820" w:type="dxa"/>
            <w:vAlign w:val="bottom"/>
            <w:gridSpan w:val="5"/>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bottom w:val="single" w:sz="8" w:color="0F7C7F"/>
            </w:tcBorders>
            <w:gridSpan w:val="3"/>
          </w:tcPr>
          <w:p>
            <w:pPr>
              <w:spacing w:after="0"/>
              <w:rPr>
                <w:sz w:val="20"/>
                <w:szCs w:val="20"/>
                <w:color w:val="auto"/>
              </w:rPr>
            </w:pPr>
            <w:r>
              <w:rPr>
                <w:rFonts w:ascii="Arial" w:cs="Arial" w:eastAsia="Arial" w:hAnsi="Arial"/>
                <w:sz w:val="13"/>
                <w:szCs w:val="13"/>
                <w:color w:val="0F7C7F"/>
                <w:w w:val="97"/>
              </w:rPr>
              <w:t>Section 302 Certification of Chief Financial Officer</w:t>
            </w:r>
          </w:p>
        </w:tc>
        <w:tc>
          <w:tcPr>
            <w:tcW w:w="2860" w:type="dxa"/>
            <w:vAlign w:val="bottom"/>
            <w:gridSpan w:val="6"/>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0F7C7F"/>
                <w:w w:val="99"/>
              </w:rPr>
              <w:t>Certification of Chief Executive Officer pursuant to 18 U.S.C. Section 1350, as adopted pursuant to</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F7C7F"/>
              <w:bottom w:val="single" w:sz="8" w:color="0F7C7F"/>
            </w:tcBorders>
            <w:gridSpan w:val="2"/>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2860" w:type="dxa"/>
            <w:vAlign w:val="bottom"/>
            <w:tcBorders>
              <w:top w:val="single" w:sz="8" w:color="0F7C7F"/>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0F7C7F"/>
              </w:rPr>
              <w:t>Certification of Chief Financial Officer pursuant to 18 U.S.C. Section 1350, as adopted pursuant to</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F7C7F"/>
              <w:bottom w:val="single" w:sz="8" w:color="0F7C7F"/>
            </w:tcBorders>
            <w:gridSpan w:val="2"/>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2820" w:type="dxa"/>
            <w:vAlign w:val="bottom"/>
            <w:tcBorders>
              <w:top w:val="single" w:sz="8" w:color="0F7C7F"/>
            </w:tcBorders>
            <w:gridSpan w:val="4"/>
          </w:tcPr>
          <w:p>
            <w:pPr>
              <w:spacing w:after="0"/>
              <w:rPr>
                <w:sz w:val="9"/>
                <w:szCs w:val="9"/>
                <w:color w:val="auto"/>
              </w:rPr>
            </w:pPr>
          </w:p>
        </w:tc>
        <w:tc>
          <w:tcPr>
            <w:tcW w:w="160" w:type="dxa"/>
            <w:vAlign w:val="bottom"/>
            <w:gridSpan w:val="3"/>
          </w:tcPr>
          <w:p>
            <w:pPr>
              <w:spacing w:after="0"/>
              <w:rPr>
                <w:sz w:val="9"/>
                <w:szCs w:val="9"/>
                <w:color w:val="auto"/>
              </w:rPr>
            </w:pPr>
          </w:p>
        </w:tc>
        <w:tc>
          <w:tcPr>
            <w:tcW w:w="4460" w:type="dxa"/>
            <w:vAlign w:val="bottom"/>
          </w:tcPr>
          <w:p>
            <w:pPr>
              <w:spacing w:after="0"/>
              <w:rPr>
                <w:sz w:val="9"/>
                <w:szCs w:val="9"/>
                <w:color w:val="auto"/>
              </w:rPr>
            </w:pPr>
          </w:p>
        </w:tc>
      </w:tr>
      <w:tr>
        <w:trPr>
          <w:trHeight w:val="139"/>
        </w:trPr>
        <w:tc>
          <w:tcPr>
            <w:tcW w:w="112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101.INS</w:t>
            </w:r>
          </w:p>
        </w:tc>
        <w:tc>
          <w:tcPr>
            <w:tcW w:w="20" w:type="dxa"/>
            <w:vAlign w:val="bottom"/>
          </w:tcPr>
          <w:p>
            <w:pPr>
              <w:spacing w:after="0"/>
              <w:rPr>
                <w:sz w:val="12"/>
                <w:szCs w:val="12"/>
                <w:color w:val="auto"/>
              </w:rPr>
            </w:pPr>
          </w:p>
        </w:tc>
        <w:tc>
          <w:tcPr>
            <w:tcW w:w="5680" w:type="dxa"/>
            <w:vAlign w:val="bottom"/>
            <w:gridSpan w:val="9"/>
          </w:tcPr>
          <w:p>
            <w:pPr>
              <w:spacing w:after="0" w:line="139" w:lineRule="exact"/>
              <w:rPr>
                <w:sz w:val="20"/>
                <w:szCs w:val="20"/>
                <w:color w:val="auto"/>
              </w:rPr>
            </w:pPr>
            <w:r>
              <w:rPr>
                <w:rFonts w:ascii="Arial" w:cs="Arial" w:eastAsia="Arial" w:hAnsi="Arial"/>
                <w:sz w:val="13"/>
                <w:szCs w:val="13"/>
                <w:color w:val="auto"/>
              </w:rPr>
              <w:t>Inline XBRL Taxonomy Instance Document - the instance document does not appear in the</w:t>
            </w:r>
          </w:p>
        </w:tc>
        <w:tc>
          <w:tcPr>
            <w:tcW w:w="4460" w:type="dxa"/>
            <w:vAlign w:val="bottom"/>
          </w:tcPr>
          <w:p>
            <w:pPr>
              <w:ind w:left="20"/>
              <w:spacing w:after="0" w:line="139" w:lineRule="exact"/>
              <w:rPr>
                <w:sz w:val="20"/>
                <w:szCs w:val="20"/>
                <w:color w:val="auto"/>
              </w:rPr>
            </w:pPr>
            <w:r>
              <w:rPr>
                <w:rFonts w:ascii="Arial" w:cs="Arial" w:eastAsia="Arial" w:hAnsi="Arial"/>
                <w:sz w:val="13"/>
                <w:szCs w:val="13"/>
                <w:color w:val="auto"/>
              </w:rPr>
              <w:t>Filed herewith.</w:t>
            </w:r>
          </w:p>
        </w:tc>
      </w:tr>
      <w:tr>
        <w:trPr>
          <w:trHeight w:val="167"/>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auto"/>
              </w:rPr>
              <w:t>Interactive Data File because its XBRL tags are embedded within the inline XBRL document.</w:t>
            </w:r>
          </w:p>
        </w:tc>
        <w:tc>
          <w:tcPr>
            <w:tcW w:w="4460" w:type="dxa"/>
            <w:vAlign w:val="bottom"/>
          </w:tcPr>
          <w:p>
            <w:pPr>
              <w:spacing w:after="0"/>
              <w:rPr>
                <w:sz w:val="14"/>
                <w:szCs w:val="14"/>
                <w:color w:val="auto"/>
              </w:rPr>
            </w:pP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4"/>
                <w:szCs w:val="14"/>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auto"/>
              </w:rPr>
              <w:t>Inline XBRL Taxonomy Extension Schema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4"/>
                <w:szCs w:val="14"/>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4"/>
                <w:szCs w:val="14"/>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4"/>
                <w:szCs w:val="14"/>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4"/>
                <w:szCs w:val="14"/>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9"/>
          </w:tcPr>
          <w:p>
            <w:pPr>
              <w:spacing w:after="0"/>
              <w:rPr>
                <w:sz w:val="20"/>
                <w:szCs w:val="20"/>
                <w:color w:val="auto"/>
              </w:rPr>
            </w:pPr>
            <w:r>
              <w:rPr>
                <w:rFonts w:ascii="Arial" w:cs="Arial" w:eastAsia="Arial" w:hAnsi="Arial"/>
                <w:sz w:val="13"/>
                <w:szCs w:val="13"/>
                <w:color w:val="auto"/>
              </w:rPr>
              <w:t>Cover Page Interactive Data file (formatted as Inline XBRL and embedded within Exhibit 101)</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bl>
    <w:p>
      <w:pPr>
        <w:spacing w:after="0" w:line="109" w:lineRule="exact"/>
        <w:rPr>
          <w:sz w:val="20"/>
          <w:szCs w:val="20"/>
          <w:color w:val="auto"/>
        </w:rPr>
      </w:pPr>
    </w:p>
    <w:p>
      <w:pPr>
        <w:ind w:left="1140" w:right="420" w:hanging="1121"/>
        <w:spacing w:after="0" w:line="236" w:lineRule="auto"/>
        <w:tabs>
          <w:tab w:leader="none" w:pos="1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Pursuant to Item 601(b)(10) of Regulation S-K, portions of this exhibit have been excluded because the information is not material and is the type that the registrant treats as confidential. The location of the redacted confidential information is indicated in the exhibit as “[redacted]”.</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SIGNATURES</w:t>
      </w:r>
    </w:p>
    <w:p>
      <w:pPr>
        <w:spacing w:after="0" w:line="87"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71"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MOLINA HEALTHCARE, INC.</w:t>
      </w:r>
    </w:p>
    <w:p>
      <w:pPr>
        <w:spacing w:after="0" w:line="20"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(Registrant)</w:t>
      </w:r>
    </w:p>
    <w:p>
      <w:pPr>
        <w:spacing w:after="0" w:line="222" w:lineRule="exact"/>
        <w:rPr>
          <w:sz w:val="20"/>
          <w:szCs w:val="20"/>
          <w:color w:val="auto"/>
        </w:rPr>
      </w:pPr>
    </w:p>
    <w:p>
      <w:pPr>
        <w:ind w:left="340"/>
        <w:spacing w:after="0"/>
        <w:tabs>
          <w:tab w:leader="none" w:pos="6500" w:val="left"/>
        </w:tabs>
        <w:rPr>
          <w:sz w:val="20"/>
          <w:szCs w:val="20"/>
          <w:color w:val="auto"/>
        </w:rPr>
      </w:pPr>
      <w:r>
        <w:rPr>
          <w:rFonts w:ascii="Arial" w:cs="Arial" w:eastAsia="Arial" w:hAnsi="Arial"/>
          <w:sz w:val="13"/>
          <w:szCs w:val="13"/>
          <w:color w:val="auto"/>
        </w:rPr>
        <w:t>Dated: October 27, 2022</w:t>
      </w:r>
      <w:r>
        <w:rPr>
          <w:sz w:val="20"/>
          <w:szCs w:val="20"/>
          <w:color w:val="auto"/>
        </w:rPr>
        <w:tab/>
      </w:r>
      <w:r>
        <w:rPr>
          <w:rFonts w:ascii="Arial" w:cs="Arial" w:eastAsia="Arial" w:hAnsi="Arial"/>
          <w:sz w:val="12"/>
          <w:szCs w:val="12"/>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12700</wp:posOffset>
            </wp:positionV>
            <wp:extent cx="301815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18155" cy="6985"/>
                    </a:xfrm>
                    <a:prstGeom prst="rect">
                      <a:avLst/>
                    </a:prstGeom>
                    <a:noFill/>
                  </pic:spPr>
                </pic:pic>
              </a:graphicData>
            </a:graphic>
          </wp:anchor>
        </w:drawing>
      </w:r>
    </w:p>
    <w:p>
      <w:pPr>
        <w:spacing w:after="0" w:line="11"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Joseph M. Zubretsky</w:t>
      </w:r>
    </w:p>
    <w:p>
      <w:pPr>
        <w:spacing w:after="0" w:line="24"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Chief Executive Officer</w:t>
      </w:r>
    </w:p>
    <w:p>
      <w:pPr>
        <w:spacing w:after="0" w:line="20"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(Principal Executive Officer)</w:t>
      </w:r>
    </w:p>
    <w:p>
      <w:pPr>
        <w:spacing w:after="0" w:line="218" w:lineRule="exact"/>
        <w:rPr>
          <w:sz w:val="20"/>
          <w:szCs w:val="20"/>
          <w:color w:val="auto"/>
        </w:rPr>
      </w:pPr>
    </w:p>
    <w:p>
      <w:pPr>
        <w:ind w:left="340"/>
        <w:spacing w:after="0"/>
        <w:tabs>
          <w:tab w:leader="none" w:pos="6500" w:val="left"/>
        </w:tabs>
        <w:rPr>
          <w:sz w:val="20"/>
          <w:szCs w:val="20"/>
          <w:color w:val="auto"/>
        </w:rPr>
      </w:pPr>
      <w:r>
        <w:rPr>
          <w:rFonts w:ascii="Arial" w:cs="Arial" w:eastAsia="Arial" w:hAnsi="Arial"/>
          <w:sz w:val="13"/>
          <w:szCs w:val="13"/>
          <w:color w:val="auto"/>
        </w:rPr>
        <w:t>Dated: October 27, 2022</w:t>
      </w:r>
      <w:r>
        <w:rPr>
          <w:sz w:val="20"/>
          <w:szCs w:val="20"/>
          <w:color w:val="auto"/>
        </w:rPr>
        <w:tab/>
      </w:r>
      <w:r>
        <w:rPr>
          <w:rFonts w:ascii="Arial" w:cs="Arial" w:eastAsia="Arial" w:hAnsi="Arial"/>
          <w:sz w:val="12"/>
          <w:szCs w:val="12"/>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12700</wp:posOffset>
            </wp:positionV>
            <wp:extent cx="301815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18155" cy="6985"/>
                    </a:xfrm>
                    <a:prstGeom prst="rect">
                      <a:avLst/>
                    </a:prstGeom>
                    <a:noFill/>
                  </pic:spPr>
                </pic:pic>
              </a:graphicData>
            </a:graphic>
          </wp:anchor>
        </w:drawing>
      </w:r>
    </w:p>
    <w:p>
      <w:pPr>
        <w:spacing w:after="0" w:line="11"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Mark L. Keim</w:t>
      </w:r>
    </w:p>
    <w:p>
      <w:pPr>
        <w:spacing w:after="0" w:line="24"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Chief Financial Officer and Treasurer</w:t>
      </w:r>
    </w:p>
    <w:p>
      <w:pPr>
        <w:spacing w:after="0" w:line="20"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(Principal Financial Officer)</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2022 Form 10-Q | 37</w:t>
      </w:r>
    </w:p>
    <w:p>
      <w:pPr>
        <w:sectPr>
          <w:pgSz w:w="11900" w:h="16838" w:orient="portrait"/>
          <w:cols w:equalWidth="0" w:num="1">
            <w:col w:w="11280"/>
          </w:cols>
          <w:pgMar w:left="300" w:top="125" w:right="319" w:bottom="1440"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 OF 1934, AS AMENDED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 Joseph M. Zubretsky, certify that:</w:t>
      </w:r>
    </w:p>
    <w:p>
      <w:pPr>
        <w:spacing w:after="0" w:line="94" w:lineRule="exact"/>
        <w:rPr>
          <w:sz w:val="20"/>
          <w:szCs w:val="20"/>
          <w:color w:val="auto"/>
        </w:rPr>
      </w:pPr>
    </w:p>
    <w:p>
      <w:pPr>
        <w:ind w:left="520" w:hanging="16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the report on Form 10-Q for the period ended September 30, 2022, of Molina Healthcare, Inc.;</w:t>
      </w:r>
    </w:p>
    <w:p>
      <w:pPr>
        <w:spacing w:after="0" w:line="93" w:lineRule="exact"/>
        <w:rPr>
          <w:rFonts w:ascii="Arial" w:cs="Arial" w:eastAsia="Arial" w:hAnsi="Arial"/>
          <w:sz w:val="14"/>
          <w:szCs w:val="14"/>
          <w:color w:val="auto"/>
        </w:rPr>
      </w:pPr>
    </w:p>
    <w:p>
      <w:pPr>
        <w:ind w:right="400" w:firstLine="355"/>
        <w:spacing w:after="0" w:line="290" w:lineRule="auto"/>
        <w:tabs>
          <w:tab w:leader="none" w:pos="5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35" w:lineRule="exact"/>
        <w:rPr>
          <w:rFonts w:ascii="Arial" w:cs="Arial" w:eastAsia="Arial" w:hAnsi="Arial"/>
          <w:sz w:val="14"/>
          <w:szCs w:val="14"/>
          <w:color w:val="auto"/>
        </w:rPr>
      </w:pPr>
    </w:p>
    <w:p>
      <w:pPr>
        <w:ind w:right="100" w:firstLine="355"/>
        <w:spacing w:after="0" w:line="290" w:lineRule="auto"/>
        <w:tabs>
          <w:tab w:leader="none" w:pos="5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35" w:lineRule="exact"/>
        <w:rPr>
          <w:rFonts w:ascii="Arial" w:cs="Arial" w:eastAsia="Arial" w:hAnsi="Arial"/>
          <w:sz w:val="14"/>
          <w:szCs w:val="14"/>
          <w:color w:val="auto"/>
        </w:rPr>
      </w:pPr>
    </w:p>
    <w:p>
      <w:pPr>
        <w:ind w:right="60" w:firstLine="355"/>
        <w:spacing w:after="0" w:line="271" w:lineRule="auto"/>
        <w:tabs>
          <w:tab w:leader="none" w:pos="5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48" w:lineRule="exact"/>
        <w:rPr>
          <w:rFonts w:ascii="Arial" w:cs="Arial" w:eastAsia="Arial" w:hAnsi="Arial"/>
          <w:sz w:val="14"/>
          <w:szCs w:val="14"/>
          <w:color w:val="auto"/>
        </w:rPr>
      </w:pPr>
    </w:p>
    <w:p>
      <w:pPr>
        <w:jc w:val="both"/>
        <w:ind w:right="80" w:firstLine="705"/>
        <w:spacing w:after="0" w:line="271" w:lineRule="auto"/>
        <w:tabs>
          <w:tab w:leader="none" w:pos="912"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48" w:lineRule="exact"/>
        <w:rPr>
          <w:rFonts w:ascii="Arial" w:cs="Arial" w:eastAsia="Arial" w:hAnsi="Arial"/>
          <w:sz w:val="14"/>
          <w:szCs w:val="14"/>
          <w:color w:val="auto"/>
        </w:rPr>
      </w:pPr>
    </w:p>
    <w:p>
      <w:pPr>
        <w:ind w:right="460" w:firstLine="705"/>
        <w:spacing w:after="0" w:line="271" w:lineRule="auto"/>
        <w:tabs>
          <w:tab w:leader="none" w:pos="912" w:val="left"/>
        </w:tabs>
        <w:numPr>
          <w:ilvl w:val="1"/>
          <w:numId w:val="1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40" w:firstLine="705"/>
        <w:spacing w:after="0" w:line="290" w:lineRule="auto"/>
        <w:tabs>
          <w:tab w:leader="none" w:pos="905"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35" w:lineRule="exact"/>
        <w:rPr>
          <w:rFonts w:ascii="Arial" w:cs="Arial" w:eastAsia="Arial" w:hAnsi="Arial"/>
          <w:sz w:val="14"/>
          <w:szCs w:val="14"/>
          <w:color w:val="auto"/>
        </w:rPr>
      </w:pPr>
    </w:p>
    <w:p>
      <w:pPr>
        <w:ind w:right="160" w:firstLine="705"/>
        <w:spacing w:after="0" w:line="271" w:lineRule="auto"/>
        <w:tabs>
          <w:tab w:leader="none" w:pos="912" w:val="left"/>
        </w:tabs>
        <w:numPr>
          <w:ilvl w:val="1"/>
          <w:numId w:val="18"/>
        </w:numPr>
        <w:rPr>
          <w:rFonts w:ascii="Arial" w:cs="Arial" w:eastAsia="Arial" w:hAnsi="Arial"/>
          <w:sz w:val="14"/>
          <w:szCs w:val="14"/>
          <w:color w:val="auto"/>
        </w:rPr>
      </w:pPr>
      <w:r>
        <w:rPr>
          <w:rFonts w:ascii="Arial" w:cs="Arial" w:eastAsia="Arial" w:hAnsi="Arial"/>
          <w:sz w:val="14"/>
          <w:szCs w:val="14"/>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80" w:firstLine="355"/>
        <w:spacing w:after="0" w:line="290" w:lineRule="auto"/>
        <w:tabs>
          <w:tab w:leader="none" w:pos="50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right="360" w:firstLine="705"/>
        <w:spacing w:after="0" w:line="290" w:lineRule="auto"/>
        <w:tabs>
          <w:tab w:leader="none" w:pos="912" w:val="left"/>
        </w:tabs>
        <w:numPr>
          <w:ilvl w:val="1"/>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920" w:hanging="215"/>
        <w:spacing w:after="0"/>
        <w:tabs>
          <w:tab w:leader="none" w:pos="920" w:val="left"/>
        </w:tabs>
        <w:numPr>
          <w:ilvl w:val="1"/>
          <w:numId w:val="1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October 27, 2022</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71348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Joseph M. Zubretsky</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Executive Officer, President and Director</w:t>
      </w:r>
    </w:p>
    <w:p>
      <w:pPr>
        <w:sectPr>
          <w:pgSz w:w="11900" w:h="16838" w:orient="portrait"/>
          <w:cols w:equalWidth="0" w:num="1">
            <w:col w:w="11280"/>
          </w:cols>
          <w:pgMar w:left="300" w:top="730"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 OF 1934, AS AMENDED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 Mark L. Keim, certify that:</w:t>
      </w:r>
    </w:p>
    <w:p>
      <w:pPr>
        <w:spacing w:after="0" w:line="94" w:lineRule="exact"/>
        <w:rPr>
          <w:sz w:val="20"/>
          <w:szCs w:val="20"/>
          <w:color w:val="auto"/>
        </w:rPr>
      </w:pPr>
    </w:p>
    <w:p>
      <w:pPr>
        <w:ind w:left="520" w:hanging="16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the report on Form 10-Q for the period ended September 30, 2022, of Molina Healthcare, Inc.;</w:t>
      </w:r>
    </w:p>
    <w:p>
      <w:pPr>
        <w:spacing w:after="0" w:line="93" w:lineRule="exact"/>
        <w:rPr>
          <w:rFonts w:ascii="Arial" w:cs="Arial" w:eastAsia="Arial" w:hAnsi="Arial"/>
          <w:sz w:val="14"/>
          <w:szCs w:val="14"/>
          <w:color w:val="auto"/>
        </w:rPr>
      </w:pPr>
    </w:p>
    <w:p>
      <w:pPr>
        <w:ind w:right="400" w:firstLine="355"/>
        <w:spacing w:after="0" w:line="290" w:lineRule="auto"/>
        <w:tabs>
          <w:tab w:leader="none" w:pos="507"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35" w:lineRule="exact"/>
        <w:rPr>
          <w:rFonts w:ascii="Arial" w:cs="Arial" w:eastAsia="Arial" w:hAnsi="Arial"/>
          <w:sz w:val="14"/>
          <w:szCs w:val="14"/>
          <w:color w:val="auto"/>
        </w:rPr>
      </w:pPr>
    </w:p>
    <w:p>
      <w:pPr>
        <w:ind w:right="100" w:firstLine="355"/>
        <w:spacing w:after="0" w:line="290" w:lineRule="auto"/>
        <w:tabs>
          <w:tab w:leader="none" w:pos="507"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35" w:lineRule="exact"/>
        <w:rPr>
          <w:rFonts w:ascii="Arial" w:cs="Arial" w:eastAsia="Arial" w:hAnsi="Arial"/>
          <w:sz w:val="14"/>
          <w:szCs w:val="14"/>
          <w:color w:val="auto"/>
        </w:rPr>
      </w:pPr>
    </w:p>
    <w:p>
      <w:pPr>
        <w:ind w:right="60" w:firstLine="355"/>
        <w:spacing w:after="0" w:line="271" w:lineRule="auto"/>
        <w:tabs>
          <w:tab w:leader="none" w:pos="50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48" w:lineRule="exact"/>
        <w:rPr>
          <w:rFonts w:ascii="Arial" w:cs="Arial" w:eastAsia="Arial" w:hAnsi="Arial"/>
          <w:sz w:val="14"/>
          <w:szCs w:val="14"/>
          <w:color w:val="auto"/>
        </w:rPr>
      </w:pPr>
    </w:p>
    <w:p>
      <w:pPr>
        <w:jc w:val="both"/>
        <w:ind w:right="80" w:firstLine="705"/>
        <w:spacing w:after="0" w:line="271" w:lineRule="auto"/>
        <w:tabs>
          <w:tab w:leader="none" w:pos="912" w:val="left"/>
        </w:tabs>
        <w:numPr>
          <w:ilvl w:val="1"/>
          <w:numId w:val="1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48" w:lineRule="exact"/>
        <w:rPr>
          <w:rFonts w:ascii="Arial" w:cs="Arial" w:eastAsia="Arial" w:hAnsi="Arial"/>
          <w:sz w:val="14"/>
          <w:szCs w:val="14"/>
          <w:color w:val="auto"/>
        </w:rPr>
      </w:pPr>
    </w:p>
    <w:p>
      <w:pPr>
        <w:ind w:right="460" w:firstLine="705"/>
        <w:spacing w:after="0" w:line="271" w:lineRule="auto"/>
        <w:tabs>
          <w:tab w:leader="none" w:pos="912" w:val="left"/>
        </w:tabs>
        <w:numPr>
          <w:ilvl w:val="1"/>
          <w:numId w:val="1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40" w:firstLine="705"/>
        <w:spacing w:after="0" w:line="290" w:lineRule="auto"/>
        <w:tabs>
          <w:tab w:leader="none" w:pos="905"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35" w:lineRule="exact"/>
        <w:rPr>
          <w:rFonts w:ascii="Arial" w:cs="Arial" w:eastAsia="Arial" w:hAnsi="Arial"/>
          <w:sz w:val="14"/>
          <w:szCs w:val="14"/>
          <w:color w:val="auto"/>
        </w:rPr>
      </w:pPr>
    </w:p>
    <w:p>
      <w:pPr>
        <w:ind w:right="160" w:firstLine="705"/>
        <w:spacing w:after="0" w:line="271" w:lineRule="auto"/>
        <w:tabs>
          <w:tab w:leader="none" w:pos="912" w:val="left"/>
        </w:tabs>
        <w:numPr>
          <w:ilvl w:val="1"/>
          <w:numId w:val="19"/>
        </w:numPr>
        <w:rPr>
          <w:rFonts w:ascii="Arial" w:cs="Arial" w:eastAsia="Arial" w:hAnsi="Arial"/>
          <w:sz w:val="14"/>
          <w:szCs w:val="14"/>
          <w:color w:val="auto"/>
        </w:rPr>
      </w:pPr>
      <w:r>
        <w:rPr>
          <w:rFonts w:ascii="Arial" w:cs="Arial" w:eastAsia="Arial" w:hAnsi="Arial"/>
          <w:sz w:val="14"/>
          <w:szCs w:val="14"/>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60" w:firstLine="355"/>
        <w:spacing w:after="0" w:line="290" w:lineRule="auto"/>
        <w:tabs>
          <w:tab w:leader="none" w:pos="50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right="360" w:firstLine="705"/>
        <w:spacing w:after="0" w:line="290" w:lineRule="auto"/>
        <w:tabs>
          <w:tab w:leader="none" w:pos="912"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920" w:hanging="215"/>
        <w:spacing w:after="0"/>
        <w:tabs>
          <w:tab w:leader="none" w:pos="9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4"/>
          <w:szCs w:val="14"/>
          <w:color w:val="auto"/>
        </w:rPr>
        <w:t>Dated: October 27, 2022</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1481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0"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Mark L. Keim</w:t>
      </w:r>
    </w:p>
    <w:p>
      <w:pPr>
        <w:spacing w:after="0" w:line="33"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Chief Financial Officer and Treasurer</w:t>
      </w:r>
    </w:p>
    <w:p>
      <w:pPr>
        <w:sectPr>
          <w:pgSz w:w="11900" w:h="16838" w:orient="portrait"/>
          <w:cols w:equalWidth="0" w:num="1">
            <w:col w:w="11280"/>
          </w:cols>
          <w:pgMar w:left="300" w:top="729"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2" w:lineRule="exact"/>
        <w:rPr>
          <w:sz w:val="20"/>
          <w:szCs w:val="20"/>
          <w:color w:val="auto"/>
        </w:rPr>
      </w:pPr>
    </w:p>
    <w:p>
      <w:pPr>
        <w:ind w:right="100" w:firstLine="350"/>
        <w:spacing w:after="0" w:line="290" w:lineRule="auto"/>
        <w:rPr>
          <w:sz w:val="20"/>
          <w:szCs w:val="20"/>
          <w:color w:val="auto"/>
        </w:rPr>
      </w:pPr>
      <w:r>
        <w:rPr>
          <w:rFonts w:ascii="Arial" w:cs="Arial" w:eastAsia="Arial" w:hAnsi="Arial"/>
          <w:sz w:val="14"/>
          <w:szCs w:val="14"/>
          <w:color w:val="auto"/>
        </w:rPr>
        <w:t>In connection with the report of Molina Healthcare, Inc. (the “Company”) on Form 10-Q for the period ended September 30, 2022 (the “Report”), I, Joseph M. Zubretsky, Chief Executive Officer of the Company, certify, pursuant to 18 U.S.C. Section 1350, as adopted pursuant to Section 906 of the Sarbanes-Oxley Act of 2002, that:</w:t>
      </w:r>
    </w:p>
    <w:p>
      <w:pPr>
        <w:spacing w:after="0" w:line="35" w:lineRule="exact"/>
        <w:rPr>
          <w:sz w:val="20"/>
          <w:szCs w:val="20"/>
          <w:color w:val="auto"/>
        </w:rPr>
      </w:pPr>
    </w:p>
    <w:p>
      <w:pPr>
        <w:ind w:left="920" w:hanging="215"/>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3" w:lineRule="exact"/>
        <w:rPr>
          <w:rFonts w:ascii="Arial" w:cs="Arial" w:eastAsia="Arial" w:hAnsi="Arial"/>
          <w:sz w:val="14"/>
          <w:szCs w:val="14"/>
          <w:color w:val="auto"/>
        </w:rPr>
      </w:pPr>
    </w:p>
    <w:p>
      <w:pPr>
        <w:ind w:left="920" w:hanging="215"/>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ind w:left="60"/>
        <w:spacing w:after="0"/>
        <w:tabs>
          <w:tab w:leader="none" w:pos="6240" w:val="left"/>
        </w:tabs>
        <w:rPr>
          <w:sz w:val="20"/>
          <w:szCs w:val="20"/>
          <w:color w:val="auto"/>
        </w:rPr>
      </w:pPr>
      <w:r>
        <w:rPr>
          <w:rFonts w:ascii="Arial" w:cs="Arial" w:eastAsia="Arial" w:hAnsi="Arial"/>
          <w:sz w:val="14"/>
          <w:szCs w:val="14"/>
          <w:color w:val="auto"/>
        </w:rPr>
        <w:t>Dated: October 27, 2022</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14605</wp:posOffset>
            </wp:positionV>
            <wp:extent cx="71348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Joseph M. Zubretsky</w:t>
      </w:r>
    </w:p>
    <w:p>
      <w:pPr>
        <w:spacing w:after="0" w:line="33"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Chief Executive Officer, President and Director</w:t>
      </w:r>
    </w:p>
    <w:p>
      <w:pPr>
        <w:sectPr>
          <w:pgSz w:w="11900" w:h="16838" w:orient="portrait"/>
          <w:cols w:equalWidth="0" w:num="1">
            <w:col w:w="11280"/>
          </w:cols>
          <w:pgMar w:left="300" w:top="730" w:right="31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2" w:lineRule="exact"/>
        <w:rPr>
          <w:sz w:val="20"/>
          <w:szCs w:val="20"/>
          <w:color w:val="auto"/>
        </w:rPr>
      </w:pPr>
    </w:p>
    <w:p>
      <w:pPr>
        <w:ind w:right="560" w:firstLine="350"/>
        <w:spacing w:after="0" w:line="290" w:lineRule="auto"/>
        <w:rPr>
          <w:sz w:val="20"/>
          <w:szCs w:val="20"/>
          <w:color w:val="auto"/>
        </w:rPr>
      </w:pPr>
      <w:r>
        <w:rPr>
          <w:rFonts w:ascii="Arial" w:cs="Arial" w:eastAsia="Arial" w:hAnsi="Arial"/>
          <w:sz w:val="14"/>
          <w:szCs w:val="14"/>
          <w:color w:val="auto"/>
        </w:rPr>
        <w:t>In connection with the report of Molina Healthcare, Inc. (the “Company”) on Form 10 -Q for the period ended September 30, 2022 (the “Report”), I, Mark L. Keim, Chief Financial Officer of the Company, certify, pursuant to 18 U.S.C. Section 1350, as adopted pursuant to Section 906 of the Sarbanes-Oxley Act of 2002, that:</w:t>
      </w:r>
    </w:p>
    <w:p>
      <w:pPr>
        <w:spacing w:after="0" w:line="35" w:lineRule="exact"/>
        <w:rPr>
          <w:sz w:val="20"/>
          <w:szCs w:val="20"/>
          <w:color w:val="auto"/>
        </w:rPr>
      </w:pPr>
    </w:p>
    <w:p>
      <w:pPr>
        <w:ind w:left="920" w:hanging="215"/>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3" w:lineRule="exact"/>
        <w:rPr>
          <w:rFonts w:ascii="Arial" w:cs="Arial" w:eastAsia="Arial" w:hAnsi="Arial"/>
          <w:sz w:val="14"/>
          <w:szCs w:val="14"/>
          <w:color w:val="auto"/>
        </w:rPr>
      </w:pPr>
    </w:p>
    <w:p>
      <w:pPr>
        <w:ind w:left="920" w:hanging="215"/>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October 27, 2022</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71348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Mark L. Keim</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9"/>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2022-10-27T10:00:01Z</dcterms:created>
  <dcterms:modified xsi:type="dcterms:W3CDTF">2022-10-27T10:00:01Z</dcterms:modified>
</cp:coreProperties>
</file>