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49530</wp:posOffset>
            </wp:positionV>
            <wp:extent cx="23056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400" w:right="840" w:hanging="3374"/>
        <w:spacing w:after="0" w:line="365" w:lineRule="auto"/>
        <w:tabs>
          <w:tab w:leader="none" w:pos="627"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2020</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48" w:lineRule="exact"/>
        <w:rPr>
          <w:sz w:val="24"/>
          <w:szCs w:val="24"/>
          <w:color w:val="auto"/>
        </w:rPr>
      </w:pPr>
    </w:p>
    <w:p>
      <w:pPr>
        <w:jc w:val="center"/>
        <w:ind w:left="4040" w:right="420" w:hanging="4014"/>
        <w:spacing w:after="0" w:line="411" w:lineRule="auto"/>
        <w:tabs>
          <w:tab w:leader="none" w:pos="674"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 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12700</wp:posOffset>
            </wp:positionV>
            <wp:extent cx="240030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MOLINA HEALTHCARE,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143510</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45" w:lineRule="exact"/>
        <w:rPr>
          <w:sz w:val="24"/>
          <w:szCs w:val="24"/>
          <w:color w:val="auto"/>
        </w:rPr>
      </w:pPr>
    </w:p>
    <w:tbl>
      <w:tblPr>
        <w:tblLayout w:type="fixed"/>
        <w:tblInd w:w="2260" w:type="dxa"/>
        <w:tblCellMar>
          <w:top w:w="0" w:type="dxa"/>
          <w:left w:w="0" w:type="dxa"/>
          <w:bottom w:w="0" w:type="dxa"/>
          <w:right w:w="0" w:type="dxa"/>
        </w:tblCellMar>
      </w:tblPr>
      <w:tr>
        <w:trPr>
          <w:trHeight w:val="239"/>
        </w:trPr>
        <w:tc>
          <w:tcPr>
            <w:tcW w:w="3580" w:type="dxa"/>
            <w:vAlign w:val="bottom"/>
          </w:tcPr>
          <w:p>
            <w:pPr>
              <w:jc w:val="center"/>
              <w:ind w:right="1462"/>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jc w:val="center"/>
              <w:ind w:left="1442"/>
              <w:spacing w:after="0"/>
              <w:rPr>
                <w:sz w:val="20"/>
                <w:szCs w:val="20"/>
                <w:color w:val="auto"/>
              </w:rPr>
            </w:pPr>
            <w:r>
              <w:rPr>
                <w:rFonts w:ascii="Arial" w:cs="Arial" w:eastAsia="Arial" w:hAnsi="Arial"/>
                <w:sz w:val="18"/>
                <w:szCs w:val="18"/>
                <w:b w:val="1"/>
                <w:bCs w:val="1"/>
                <w:color w:val="auto"/>
                <w:w w:val="99"/>
              </w:rPr>
              <w:t>13-4204626</w:t>
            </w:r>
          </w:p>
        </w:tc>
      </w:tr>
      <w:tr>
        <w:trPr>
          <w:trHeight w:val="190"/>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(I.R.S. Employer</w:t>
            </w:r>
          </w:p>
        </w:tc>
      </w:tr>
      <w:tr>
        <w:trPr>
          <w:trHeight w:val="216"/>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Identification No.)</w:t>
            </w:r>
          </w:p>
        </w:tc>
      </w:tr>
    </w:tbl>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 Oceangate, Suite 100, Long Beach, California 90802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(562) 435-3666</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142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88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8"/>
        </w:trPr>
        <w:tc>
          <w:tcPr>
            <w:tcW w:w="34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rPr>
              <w:t>Common Stock, $0.001 Par Value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MOH</w:t>
            </w:r>
          </w:p>
        </w:tc>
        <w:tc>
          <w:tcPr>
            <w:tcW w:w="88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140335</wp:posOffset>
            </wp:positionV>
            <wp:extent cx="2948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1240"/>
          </w:cols>
          <w:pgMar w:left="320" w:top="98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4"/>
          <w:szCs w:val="24"/>
          <w:color w:val="auto"/>
        </w:rPr>
      </w:pPr>
    </w:p>
    <w:p>
      <w:pPr>
        <w:sectPr>
          <w:pgSz w:w="11900" w:h="16838" w:orient="portrait"/>
          <w:cols w:equalWidth="0" w:num="3">
            <w:col w:w="9300" w:space="200"/>
            <w:col w:w="580" w:space="200"/>
            <w:col w:w="960"/>
          </w:cols>
          <w:pgMar w:left="320" w:top="981" w:right="339" w:bottom="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sectPr>
          <w:pgSz w:w="11900" w:h="16838" w:orient="portrait"/>
          <w:cols w:equalWidth="0" w:num="3">
            <w:col w:w="9400" w:space="200"/>
            <w:col w:w="580" w:space="260"/>
            <w:col w:w="800"/>
          </w:cols>
          <w:pgMar w:left="320" w:top="981" w:right="339" w:bottom="0" w:gutter="0" w:footer="0" w:header="0"/>
          <w:type w:val="continuous"/>
        </w:sectPr>
      </w:pPr>
    </w:p>
    <w:p>
      <w:pPr>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 w:lineRule="exact"/>
        <w:rPr>
          <w:sz w:val="24"/>
          <w:szCs w:val="24"/>
          <w:color w:val="auto"/>
        </w:rPr>
      </w:pPr>
    </w:p>
    <w:p>
      <w:pPr>
        <w:spacing w:after="0" w:line="226" w:lineRule="exact"/>
        <w:tabs>
          <w:tab w:leader="none" w:pos="45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Yes</w:t>
      </w:r>
      <w:r>
        <w:rPr>
          <w:rFonts w:ascii="MS PGothic" w:cs="MS PGothic" w:eastAsia="MS PGothic" w:hAnsi="MS PGothic"/>
          <w:sz w:val="22"/>
          <w:szCs w:val="22"/>
          <w:color w:val="auto"/>
        </w:rPr>
        <w:t xml:space="preserve">  ☐ </w:t>
      </w:r>
      <w:r>
        <w:rPr>
          <w:rFonts w:ascii="Arial" w:cs="Arial" w:eastAsia="Arial" w:hAnsi="Arial"/>
          <w:sz w:val="17"/>
          <w:szCs w:val="17"/>
          <w:color w:val="auto"/>
        </w:rPr>
        <w:t>No</w:t>
      </w:r>
    </w:p>
    <w:p>
      <w:pPr>
        <w:spacing w:after="0" w:line="179"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300" w:hanging="292"/>
        <w:spacing w:after="0" w:line="242" w:lineRule="exact"/>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2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p>
      <w:pPr>
        <w:ind w:left="20"/>
        <w:spacing w:after="0" w:line="161" w:lineRule="exact"/>
        <w:tabs>
          <w:tab w:leader="none" w:pos="1820" w:val="left"/>
          <w:tab w:leader="none" w:pos="2140" w:val="left"/>
          <w:tab w:leader="none" w:pos="3640" w:val="left"/>
          <w:tab w:leader="none" w:pos="3980" w:val="left"/>
          <w:tab w:leader="none" w:pos="5820" w:val="left"/>
          <w:tab w:leader="none" w:pos="6160" w:val="left"/>
          <w:tab w:leader="none" w:pos="8380" w:val="left"/>
          <w:tab w:leader="none" w:pos="872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81" w:lineRule="exact"/>
        <w:rPr>
          <w:sz w:val="24"/>
          <w:szCs w:val="24"/>
          <w:color w:val="auto"/>
        </w:rPr>
      </w:pPr>
    </w:p>
    <w:p>
      <w:pPr>
        <w:jc w:val="both"/>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240"/>
          </w:cols>
          <w:pgMar w:left="320" w:top="981" w:right="339" w:bottom="0" w:gutter="0" w:footer="0" w:header="0"/>
          <w:type w:val="continuous"/>
        </w:sectPr>
      </w:pPr>
    </w:p>
    <w:bookmarkStart w:id="1" w:name="page2"/>
    <w:bookmarkEnd w:id="1"/>
    <w:p>
      <w:pPr>
        <w:jc w:val="both"/>
        <w:spacing w:after="0" w:line="250"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accounting firm that prepared or issued its audit report. </w:t>
      </w:r>
      <w:r>
        <w:rPr>
          <w:rFonts w:ascii="MS PGothic" w:cs="MS PGothic" w:eastAsia="MS PGothic" w:hAnsi="MS PGothic"/>
          <w:sz w:val="21"/>
          <w:szCs w:val="21"/>
          <w:color w:val="auto"/>
        </w:rPr>
        <w:t>☒</w:t>
      </w:r>
    </w:p>
    <w:p>
      <w:pPr>
        <w:spacing w:after="0" w:line="116" w:lineRule="exact"/>
        <w:rPr>
          <w:sz w:val="20"/>
          <w:szCs w:val="20"/>
          <w:color w:val="auto"/>
        </w:rPr>
      </w:pPr>
    </w:p>
    <w:p>
      <w:pPr>
        <w:spacing w:after="0" w:line="215" w:lineRule="exact"/>
        <w:tabs>
          <w:tab w:leader="none" w:pos="89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6"/>
          <w:szCs w:val="16"/>
          <w:color w:val="auto"/>
        </w:rPr>
        <w:t>No</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2020, the last business day of our most recently completed second fiscal quarter, was approximately $10.5 billion (based upon the closing price for shares of the registrant’s Common Stock as reported by the New York Stock Exchange, Inc. on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12, 2021, approximately 58,000,000 shares of the registrant’s Common Stock,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160655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Portions of the registrant’s Proxy Statement for the 2021 Annual Meeting of Stockholders to be held on May 6, 2021, are incorporated by reference into Part III of this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0F7C7F"/>
        </w:rPr>
        <w:t>MOLINA HEALTHCARE, INC. 2020 FORM 10-K</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5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Page</w:t>
            </w:r>
          </w:p>
        </w:tc>
      </w:tr>
      <w:tr>
        <w:trPr>
          <w:trHeight w:val="250"/>
        </w:trPr>
        <w:tc>
          <w:tcPr>
            <w:tcW w:w="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360" w:type="dxa"/>
            <w:vAlign w:val="bottom"/>
          </w:tcPr>
          <w:p>
            <w:pPr>
              <w:jc w:val="center"/>
              <w:ind w:right="739"/>
              <w:spacing w:after="0"/>
              <w:rPr>
                <w:sz w:val="20"/>
                <w:szCs w:val="20"/>
                <w:color w:val="auto"/>
              </w:rPr>
            </w:pPr>
            <w:r>
              <w:rPr>
                <w:rFonts w:ascii="Arial" w:cs="Arial" w:eastAsia="Arial" w:hAnsi="Arial"/>
                <w:sz w:val="16"/>
                <w:szCs w:val="16"/>
                <w:b w:val="1"/>
                <w:bCs w:val="1"/>
                <w:color w:val="auto"/>
              </w:rPr>
              <w:t>Part I</w:t>
            </w:r>
          </w:p>
        </w:tc>
        <w:tc>
          <w:tcPr>
            <w:tcW w:w="1520" w:type="dxa"/>
            <w:vAlign w:val="bottom"/>
          </w:tcPr>
          <w:p>
            <w:pPr>
              <w:spacing w:after="0"/>
              <w:rPr>
                <w:sz w:val="21"/>
                <w:szCs w:val="21"/>
                <w:color w:val="auto"/>
              </w:rPr>
            </w:pPr>
          </w:p>
        </w:tc>
      </w:tr>
      <w:tr>
        <w:trPr>
          <w:trHeight w:val="216"/>
        </w:trPr>
        <w:tc>
          <w:tcPr>
            <w:tcW w:w="9680" w:type="dxa"/>
            <w:vAlign w:val="bottom"/>
            <w:gridSpan w:val="3"/>
          </w:tcPr>
          <w:p>
            <w:pPr>
              <w:spacing w:after="0"/>
              <w:rPr>
                <w:sz w:val="20"/>
                <w:szCs w:val="20"/>
                <w:color w:val="auto"/>
              </w:rPr>
            </w:pPr>
            <w:r>
              <w:rPr>
                <w:rFonts w:ascii="Arial" w:cs="Arial" w:eastAsia="Arial" w:hAnsi="Arial"/>
                <w:sz w:val="16"/>
                <w:szCs w:val="16"/>
                <w:b w:val="1"/>
                <w:bCs w:val="1"/>
                <w:color w:val="auto"/>
              </w:rPr>
              <w:t>Item Number</w:t>
            </w:r>
          </w:p>
        </w:tc>
        <w:tc>
          <w:tcPr>
            <w:tcW w:w="152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w:t>
            </w:r>
          </w:p>
        </w:tc>
        <w:tc>
          <w:tcPr>
            <w:tcW w:w="9100" w:type="dxa"/>
            <w:vAlign w:val="bottom"/>
            <w:gridSpan w:val="2"/>
          </w:tcPr>
          <w:p>
            <w:pPr>
              <w:spacing w:after="0"/>
              <w:rPr>
                <w:rFonts w:ascii="Arial" w:cs="Arial" w:eastAsia="Arial" w:hAnsi="Arial"/>
                <w:sz w:val="16"/>
                <w:szCs w:val="16"/>
                <w:u w:val="single" w:color="auto"/>
                <w:color w:val="0F7C7F"/>
              </w:rPr>
            </w:pPr>
            <w:hyperlink w:anchor="page5">
              <w:r>
                <w:rPr>
                  <w:rFonts w:ascii="Arial" w:cs="Arial" w:eastAsia="Arial" w:hAnsi="Arial"/>
                  <w:sz w:val="16"/>
                  <w:szCs w:val="16"/>
                  <w:u w:val="single" w:color="auto"/>
                  <w:color w:val="0F7C7F"/>
                </w:rPr>
                <w:t>Business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5">
              <w:r>
                <w:rPr>
                  <w:rFonts w:ascii="Arial" w:cs="Arial" w:eastAsia="Arial" w:hAnsi="Arial"/>
                  <w:sz w:val="16"/>
                  <w:szCs w:val="16"/>
                  <w:u w:val="single" w:color="auto"/>
                  <w:color w:val="0F7C7F"/>
                </w:rPr>
                <w:t>3</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1A.</w:t>
            </w:r>
          </w:p>
        </w:tc>
        <w:tc>
          <w:tcPr>
            <w:tcW w:w="9100" w:type="dxa"/>
            <w:vAlign w:val="bottom"/>
            <w:gridSpan w:val="2"/>
          </w:tcPr>
          <w:p>
            <w:pPr>
              <w:spacing w:after="0"/>
              <w:rPr>
                <w:rFonts w:ascii="Arial" w:cs="Arial" w:eastAsia="Arial" w:hAnsi="Arial"/>
                <w:sz w:val="16"/>
                <w:szCs w:val="16"/>
                <w:u w:val="single" w:color="auto"/>
                <w:color w:val="0F7C7F"/>
              </w:rPr>
            </w:pPr>
            <w:hyperlink w:anchor="page22">
              <w:r>
                <w:rPr>
                  <w:rFonts w:ascii="Arial" w:cs="Arial" w:eastAsia="Arial" w:hAnsi="Arial"/>
                  <w:sz w:val="16"/>
                  <w:szCs w:val="16"/>
                  <w:u w:val="single" w:color="auto"/>
                  <w:color w:val="0F7C7F"/>
                </w:rPr>
                <w:t>Risk Factors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22">
              <w:r>
                <w:rPr>
                  <w:rFonts w:ascii="Arial" w:cs="Arial" w:eastAsia="Arial" w:hAnsi="Arial"/>
                  <w:sz w:val="16"/>
                  <w:szCs w:val="16"/>
                  <w:u w:val="single" w:color="auto"/>
                  <w:color w:val="0F7C7F"/>
                </w:rPr>
                <w:t>19</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1B.</w:t>
            </w:r>
          </w:p>
        </w:tc>
        <w:tc>
          <w:tcPr>
            <w:tcW w:w="9100" w:type="dxa"/>
            <w:vAlign w:val="bottom"/>
            <w:gridSpan w:val="2"/>
          </w:tcPr>
          <w:p>
            <w:pPr>
              <w:spacing w:after="0"/>
              <w:rPr>
                <w:sz w:val="20"/>
                <w:szCs w:val="20"/>
                <w:color w:val="auto"/>
              </w:rPr>
            </w:pPr>
            <w:r>
              <w:rPr>
                <w:rFonts w:ascii="Arial" w:cs="Arial" w:eastAsia="Arial" w:hAnsi="Arial"/>
                <w:sz w:val="16"/>
                <w:szCs w:val="16"/>
                <w:color w:val="auto"/>
              </w:rPr>
              <w:t>Unresolved Staff Comments</w:t>
            </w:r>
          </w:p>
        </w:tc>
        <w:tc>
          <w:tcPr>
            <w:tcW w:w="152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2.</w:t>
            </w:r>
          </w:p>
        </w:tc>
        <w:tc>
          <w:tcPr>
            <w:tcW w:w="9100" w:type="dxa"/>
            <w:vAlign w:val="bottom"/>
            <w:gridSpan w:val="2"/>
          </w:tcPr>
          <w:p>
            <w:pPr>
              <w:spacing w:after="0"/>
              <w:rPr>
                <w:rFonts w:ascii="Arial" w:cs="Arial" w:eastAsia="Arial" w:hAnsi="Arial"/>
                <w:sz w:val="16"/>
                <w:szCs w:val="16"/>
                <w:u w:val="single" w:color="auto"/>
                <w:color w:val="0F7C7F"/>
              </w:rPr>
            </w:pPr>
            <w:hyperlink w:anchor="page34">
              <w:r>
                <w:rPr>
                  <w:rFonts w:ascii="Arial" w:cs="Arial" w:eastAsia="Arial" w:hAnsi="Arial"/>
                  <w:sz w:val="16"/>
                  <w:szCs w:val="16"/>
                  <w:u w:val="single" w:color="auto"/>
                  <w:color w:val="0F7C7F"/>
                </w:rPr>
                <w:t>Properties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34">
              <w:r>
                <w:rPr>
                  <w:rFonts w:ascii="Arial" w:cs="Arial" w:eastAsia="Arial" w:hAnsi="Arial"/>
                  <w:sz w:val="16"/>
                  <w:szCs w:val="16"/>
                  <w:u w:val="single" w:color="auto"/>
                  <w:color w:val="0F7C7F"/>
                </w:rPr>
                <w:t>32</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3.</w:t>
            </w:r>
          </w:p>
        </w:tc>
        <w:tc>
          <w:tcPr>
            <w:tcW w:w="9100" w:type="dxa"/>
            <w:vAlign w:val="bottom"/>
            <w:gridSpan w:val="2"/>
          </w:tcPr>
          <w:p>
            <w:pPr>
              <w:spacing w:after="0"/>
              <w:rPr>
                <w:rFonts w:ascii="Arial" w:cs="Arial" w:eastAsia="Arial" w:hAnsi="Arial"/>
                <w:sz w:val="16"/>
                <w:szCs w:val="16"/>
                <w:u w:val="single" w:color="auto"/>
                <w:color w:val="0F7C7F"/>
              </w:rPr>
            </w:pPr>
            <w:hyperlink w:anchor="page35">
              <w:r>
                <w:rPr>
                  <w:rFonts w:ascii="Arial" w:cs="Arial" w:eastAsia="Arial" w:hAnsi="Arial"/>
                  <w:sz w:val="16"/>
                  <w:szCs w:val="16"/>
                  <w:u w:val="single" w:color="auto"/>
                  <w:color w:val="0F7C7F"/>
                </w:rPr>
                <w:t>Legal Proceedings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35">
              <w:r>
                <w:rPr>
                  <w:rFonts w:ascii="Arial" w:cs="Arial" w:eastAsia="Arial" w:hAnsi="Arial"/>
                  <w:sz w:val="16"/>
                  <w:szCs w:val="16"/>
                  <w:u w:val="single" w:color="auto"/>
                  <w:color w:val="0F7C7F"/>
                </w:rPr>
                <w:t>32</w:t>
              </w:r>
            </w:hyperlink>
          </w:p>
        </w:tc>
      </w:tr>
      <w:tr>
        <w:trPr>
          <w:trHeight w:val="235"/>
        </w:trPr>
        <w:tc>
          <w:tcPr>
            <w:tcW w:w="580" w:type="dxa"/>
            <w:vAlign w:val="bottom"/>
          </w:tcPr>
          <w:p>
            <w:pPr>
              <w:spacing w:after="0"/>
              <w:rPr>
                <w:sz w:val="20"/>
                <w:szCs w:val="20"/>
                <w:color w:val="auto"/>
              </w:rPr>
            </w:pPr>
            <w:r>
              <w:rPr>
                <w:rFonts w:ascii="Arial" w:cs="Arial" w:eastAsia="Arial" w:hAnsi="Arial"/>
                <w:sz w:val="16"/>
                <w:szCs w:val="16"/>
                <w:color w:val="auto"/>
              </w:rPr>
              <w:t>4.</w:t>
            </w:r>
          </w:p>
        </w:tc>
        <w:tc>
          <w:tcPr>
            <w:tcW w:w="9100" w:type="dxa"/>
            <w:vAlign w:val="bottom"/>
            <w:gridSpan w:val="2"/>
          </w:tcPr>
          <w:p>
            <w:pPr>
              <w:spacing w:after="0"/>
              <w:rPr>
                <w:sz w:val="20"/>
                <w:szCs w:val="20"/>
                <w:color w:val="auto"/>
              </w:rPr>
            </w:pPr>
            <w:r>
              <w:rPr>
                <w:rFonts w:ascii="Arial" w:cs="Arial" w:eastAsia="Arial" w:hAnsi="Arial"/>
                <w:sz w:val="16"/>
                <w:szCs w:val="16"/>
                <w:color w:val="auto"/>
              </w:rPr>
              <w:t>Mine Safety Disclosures</w:t>
            </w:r>
          </w:p>
        </w:tc>
        <w:tc>
          <w:tcPr>
            <w:tcW w:w="152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285"/>
        </w:trPr>
        <w:tc>
          <w:tcPr>
            <w:tcW w:w="58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7360" w:type="dxa"/>
            <w:vAlign w:val="bottom"/>
          </w:tcPr>
          <w:p>
            <w:pPr>
              <w:jc w:val="center"/>
              <w:ind w:right="739"/>
              <w:spacing w:after="0"/>
              <w:rPr>
                <w:sz w:val="20"/>
                <w:szCs w:val="20"/>
                <w:color w:val="auto"/>
              </w:rPr>
            </w:pPr>
            <w:r>
              <w:rPr>
                <w:rFonts w:ascii="Arial" w:cs="Arial" w:eastAsia="Arial" w:hAnsi="Arial"/>
                <w:sz w:val="16"/>
                <w:szCs w:val="16"/>
                <w:b w:val="1"/>
                <w:bCs w:val="1"/>
                <w:color w:val="auto"/>
              </w:rPr>
              <w:t>Part II</w:t>
            </w:r>
          </w:p>
        </w:tc>
        <w:tc>
          <w:tcPr>
            <w:tcW w:w="1520" w:type="dxa"/>
            <w:vAlign w:val="bottom"/>
          </w:tcPr>
          <w:p>
            <w:pPr>
              <w:spacing w:after="0"/>
              <w:rPr>
                <w:sz w:val="24"/>
                <w:szCs w:val="24"/>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5.</w:t>
            </w:r>
          </w:p>
        </w:tc>
        <w:tc>
          <w:tcPr>
            <w:tcW w:w="9100" w:type="dxa"/>
            <w:vAlign w:val="bottom"/>
            <w:gridSpan w:val="2"/>
          </w:tcPr>
          <w:p>
            <w:pPr>
              <w:spacing w:after="0"/>
              <w:rPr>
                <w:rFonts w:ascii="Arial" w:cs="Arial" w:eastAsia="Arial" w:hAnsi="Arial"/>
                <w:sz w:val="16"/>
                <w:szCs w:val="16"/>
                <w:u w:val="single" w:color="auto"/>
                <w:color w:val="0F7C7F"/>
              </w:rPr>
            </w:pPr>
            <w:hyperlink w:anchor="page35">
              <w:r>
                <w:rPr>
                  <w:rFonts w:ascii="Arial" w:cs="Arial" w:eastAsia="Arial" w:hAnsi="Arial"/>
                  <w:sz w:val="16"/>
                  <w:szCs w:val="16"/>
                  <w:u w:val="single" w:color="auto"/>
                  <w:color w:val="0F7C7F"/>
                </w:rPr>
                <w:t>Market for Registrant’s Common Equity, Related Stockholder Matters and Issuer Purchases of Equity Securities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35">
              <w:r>
                <w:rPr>
                  <w:rFonts w:ascii="Arial" w:cs="Arial" w:eastAsia="Arial" w:hAnsi="Arial"/>
                  <w:sz w:val="16"/>
                  <w:szCs w:val="16"/>
                  <w:u w:val="single" w:color="auto"/>
                  <w:color w:val="0F7C7F"/>
                </w:rPr>
                <w:t>32</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6.</w:t>
            </w:r>
          </w:p>
        </w:tc>
        <w:tc>
          <w:tcPr>
            <w:tcW w:w="9100" w:type="dxa"/>
            <w:vAlign w:val="bottom"/>
            <w:gridSpan w:val="2"/>
          </w:tcPr>
          <w:p>
            <w:pPr>
              <w:spacing w:after="0"/>
              <w:rPr>
                <w:sz w:val="20"/>
                <w:szCs w:val="20"/>
                <w:color w:val="auto"/>
              </w:rPr>
            </w:pPr>
            <w:r>
              <w:rPr>
                <w:rFonts w:ascii="Arial" w:cs="Arial" w:eastAsia="Arial" w:hAnsi="Arial"/>
                <w:sz w:val="16"/>
                <w:szCs w:val="16"/>
                <w:color w:val="auto"/>
              </w:rPr>
              <w:t>Selected Consolidated Financial Data</w:t>
            </w:r>
          </w:p>
        </w:tc>
        <w:tc>
          <w:tcPr>
            <w:tcW w:w="152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7.</w:t>
            </w:r>
          </w:p>
        </w:tc>
        <w:tc>
          <w:tcPr>
            <w:tcW w:w="9100" w:type="dxa"/>
            <w:vAlign w:val="bottom"/>
            <w:gridSpan w:val="2"/>
          </w:tcPr>
          <w:p>
            <w:pPr>
              <w:spacing w:after="0"/>
              <w:rPr>
                <w:rFonts w:ascii="Arial" w:cs="Arial" w:eastAsia="Arial" w:hAnsi="Arial"/>
                <w:sz w:val="16"/>
                <w:szCs w:val="16"/>
                <w:u w:val="single" w:color="auto"/>
                <w:color w:val="0F7C7F"/>
              </w:rPr>
            </w:pPr>
            <w:hyperlink w:anchor="page37">
              <w:r>
                <w:rPr>
                  <w:rFonts w:ascii="Arial" w:cs="Arial" w:eastAsia="Arial" w:hAnsi="Arial"/>
                  <w:sz w:val="16"/>
                  <w:szCs w:val="16"/>
                  <w:u w:val="single" w:color="auto"/>
                  <w:color w:val="0F7C7F"/>
                </w:rPr>
                <w:t>Management’s Discussion and Analysis of Financial Condition and Results of Operations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37">
              <w:r>
                <w:rPr>
                  <w:rFonts w:ascii="Arial" w:cs="Arial" w:eastAsia="Arial" w:hAnsi="Arial"/>
                  <w:sz w:val="16"/>
                  <w:szCs w:val="16"/>
                  <w:u w:val="single" w:color="auto"/>
                  <w:color w:val="0F7C7F"/>
                </w:rPr>
                <w:t>35</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7A.</w:t>
            </w:r>
          </w:p>
        </w:tc>
        <w:tc>
          <w:tcPr>
            <w:tcW w:w="9100" w:type="dxa"/>
            <w:vAlign w:val="bottom"/>
            <w:gridSpan w:val="2"/>
          </w:tcPr>
          <w:p>
            <w:pPr>
              <w:spacing w:after="0"/>
              <w:rPr>
                <w:rFonts w:ascii="Arial" w:cs="Arial" w:eastAsia="Arial" w:hAnsi="Arial"/>
                <w:sz w:val="16"/>
                <w:szCs w:val="16"/>
                <w:u w:val="single" w:color="auto"/>
                <w:color w:val="0F7C7F"/>
              </w:rPr>
            </w:pPr>
            <w:hyperlink w:anchor="page51">
              <w:r>
                <w:rPr>
                  <w:rFonts w:ascii="Arial" w:cs="Arial" w:eastAsia="Arial" w:hAnsi="Arial"/>
                  <w:sz w:val="16"/>
                  <w:szCs w:val="16"/>
                  <w:u w:val="single" w:color="auto"/>
                  <w:color w:val="0F7C7F"/>
                </w:rPr>
                <w:t>Quantitative and Qualitative Disclosures About Market Risk</w:t>
              </w:r>
            </w:hyperlink>
          </w:p>
        </w:tc>
        <w:tc>
          <w:tcPr>
            <w:tcW w:w="1520" w:type="dxa"/>
            <w:vAlign w:val="bottom"/>
          </w:tcPr>
          <w:p>
            <w:pPr>
              <w:jc w:val="right"/>
              <w:spacing w:after="0"/>
              <w:rPr>
                <w:rFonts w:ascii="Arial" w:cs="Arial" w:eastAsia="Arial" w:hAnsi="Arial"/>
                <w:sz w:val="16"/>
                <w:szCs w:val="16"/>
                <w:u w:val="single" w:color="auto"/>
                <w:color w:val="0F7C7F"/>
              </w:rPr>
            </w:pPr>
            <w:hyperlink w:anchor="page51">
              <w:r>
                <w:rPr>
                  <w:rFonts w:ascii="Arial" w:cs="Arial" w:eastAsia="Arial" w:hAnsi="Arial"/>
                  <w:sz w:val="16"/>
                  <w:szCs w:val="16"/>
                  <w:u w:val="single" w:color="auto"/>
                  <w:color w:val="0F7C7F"/>
                </w:rPr>
                <w:t>49</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8.</w:t>
            </w:r>
          </w:p>
        </w:tc>
        <w:tc>
          <w:tcPr>
            <w:tcW w:w="9100" w:type="dxa"/>
            <w:vAlign w:val="bottom"/>
            <w:gridSpan w:val="2"/>
          </w:tcPr>
          <w:p>
            <w:pPr>
              <w:spacing w:after="0"/>
              <w:rPr>
                <w:rFonts w:ascii="Arial" w:cs="Arial" w:eastAsia="Arial" w:hAnsi="Arial"/>
                <w:sz w:val="16"/>
                <w:szCs w:val="16"/>
                <w:u w:val="single" w:color="auto"/>
                <w:color w:val="0F7C7F"/>
              </w:rPr>
            </w:pPr>
            <w:hyperlink w:anchor="page52">
              <w:r>
                <w:rPr>
                  <w:rFonts w:ascii="Arial" w:cs="Arial" w:eastAsia="Arial" w:hAnsi="Arial"/>
                  <w:sz w:val="16"/>
                  <w:szCs w:val="16"/>
                  <w:u w:val="single" w:color="auto"/>
                  <w:color w:val="0F7C7F"/>
                </w:rPr>
                <w:t>Financial Statements and Supplementary Data</w:t>
              </w:r>
            </w:hyperlink>
          </w:p>
        </w:tc>
        <w:tc>
          <w:tcPr>
            <w:tcW w:w="1520" w:type="dxa"/>
            <w:vAlign w:val="bottom"/>
          </w:tcPr>
          <w:p>
            <w:pPr>
              <w:jc w:val="right"/>
              <w:spacing w:after="0"/>
              <w:rPr>
                <w:rFonts w:ascii="Arial" w:cs="Arial" w:eastAsia="Arial" w:hAnsi="Arial"/>
                <w:sz w:val="16"/>
                <w:szCs w:val="16"/>
                <w:u w:val="single" w:color="auto"/>
                <w:color w:val="0F7C7F"/>
              </w:rPr>
            </w:pPr>
            <w:hyperlink w:anchor="page52">
              <w:r>
                <w:rPr>
                  <w:rFonts w:ascii="Arial" w:cs="Arial" w:eastAsia="Arial" w:hAnsi="Arial"/>
                  <w:sz w:val="16"/>
                  <w:szCs w:val="16"/>
                  <w:u w:val="single" w:color="auto"/>
                  <w:color w:val="0F7C7F"/>
                </w:rPr>
                <w:t>50</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9.</w:t>
            </w:r>
          </w:p>
        </w:tc>
        <w:tc>
          <w:tcPr>
            <w:tcW w:w="9100" w:type="dxa"/>
            <w:vAlign w:val="bottom"/>
            <w:gridSpan w:val="2"/>
          </w:tcPr>
          <w:p>
            <w:pPr>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52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9A.</w:t>
            </w:r>
          </w:p>
        </w:tc>
        <w:tc>
          <w:tcPr>
            <w:tcW w:w="9100" w:type="dxa"/>
            <w:vAlign w:val="bottom"/>
            <w:gridSpan w:val="2"/>
          </w:tcPr>
          <w:p>
            <w:pPr>
              <w:spacing w:after="0"/>
              <w:rPr>
                <w:rFonts w:ascii="Arial" w:cs="Arial" w:eastAsia="Arial" w:hAnsi="Arial"/>
                <w:sz w:val="16"/>
                <w:szCs w:val="16"/>
                <w:u w:val="single" w:color="auto"/>
                <w:color w:val="0F7C7F"/>
              </w:rPr>
            </w:pPr>
            <w:hyperlink w:anchor="page92">
              <w:r>
                <w:rPr>
                  <w:rFonts w:ascii="Arial" w:cs="Arial" w:eastAsia="Arial" w:hAnsi="Arial"/>
                  <w:sz w:val="16"/>
                  <w:szCs w:val="16"/>
                  <w:u w:val="single" w:color="auto"/>
                  <w:color w:val="0F7C7F"/>
                </w:rPr>
                <w:t>Controls and Procedures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2">
              <w:r>
                <w:rPr>
                  <w:rFonts w:ascii="Arial" w:cs="Arial" w:eastAsia="Arial" w:hAnsi="Arial"/>
                  <w:sz w:val="16"/>
                  <w:szCs w:val="16"/>
                  <w:u w:val="single" w:color="auto"/>
                  <w:color w:val="0F7C7F"/>
                </w:rPr>
                <w:t>90</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9B.</w:t>
            </w:r>
          </w:p>
        </w:tc>
        <w:tc>
          <w:tcPr>
            <w:tcW w:w="9100" w:type="dxa"/>
            <w:vAlign w:val="bottom"/>
            <w:gridSpan w:val="2"/>
          </w:tcPr>
          <w:p>
            <w:pPr>
              <w:spacing w:after="0"/>
              <w:rPr>
                <w:rFonts w:ascii="Arial" w:cs="Arial" w:eastAsia="Arial" w:hAnsi="Arial"/>
                <w:sz w:val="16"/>
                <w:szCs w:val="16"/>
                <w:u w:val="single" w:color="auto"/>
                <w:color w:val="0F7C7F"/>
              </w:rPr>
            </w:pPr>
            <w:hyperlink w:anchor="page98">
              <w:r>
                <w:rPr>
                  <w:rFonts w:ascii="Arial" w:cs="Arial" w:eastAsia="Arial" w:hAnsi="Arial"/>
                  <w:sz w:val="16"/>
                  <w:szCs w:val="16"/>
                  <w:u w:val="single" w:color="auto"/>
                  <w:color w:val="0F7C7F"/>
                </w:rPr>
                <w:t>Other Information</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8">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360" w:type="dxa"/>
            <w:vAlign w:val="bottom"/>
          </w:tcPr>
          <w:p>
            <w:pPr>
              <w:jc w:val="center"/>
              <w:ind w:right="739"/>
              <w:spacing w:after="0"/>
              <w:rPr>
                <w:sz w:val="20"/>
                <w:szCs w:val="20"/>
                <w:color w:val="auto"/>
              </w:rPr>
            </w:pPr>
            <w:r>
              <w:rPr>
                <w:rFonts w:ascii="Arial" w:cs="Arial" w:eastAsia="Arial" w:hAnsi="Arial"/>
                <w:sz w:val="16"/>
                <w:szCs w:val="16"/>
                <w:b w:val="1"/>
                <w:bCs w:val="1"/>
                <w:color w:val="auto"/>
              </w:rPr>
              <w:t>Part III</w:t>
            </w:r>
          </w:p>
        </w:tc>
        <w:tc>
          <w:tcPr>
            <w:tcW w:w="15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10.</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Directors, Executive Officers and Corporate Governance</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11.</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Executive Compensation</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12.</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Security Ownership of Certain Beneficial Owners and Management and Related Stockholder Matters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13.</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Certain Relationships and Related Transactions, and Director Independence</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14.</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Principal Accountant Fees and Services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96</w:t>
              </w:r>
            </w:hyperlink>
          </w:p>
        </w:tc>
      </w:tr>
      <w:tr>
        <w:trPr>
          <w:trHeight w:val="270"/>
        </w:trPr>
        <w:tc>
          <w:tcPr>
            <w:tcW w:w="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360" w:type="dxa"/>
            <w:vAlign w:val="bottom"/>
          </w:tcPr>
          <w:p>
            <w:pPr>
              <w:jc w:val="center"/>
              <w:ind w:right="739"/>
              <w:spacing w:after="0"/>
              <w:rPr>
                <w:sz w:val="20"/>
                <w:szCs w:val="20"/>
                <w:color w:val="auto"/>
              </w:rPr>
            </w:pPr>
            <w:r>
              <w:rPr>
                <w:rFonts w:ascii="Arial" w:cs="Arial" w:eastAsia="Arial" w:hAnsi="Arial"/>
                <w:sz w:val="16"/>
                <w:szCs w:val="16"/>
                <w:b w:val="1"/>
                <w:bCs w:val="1"/>
                <w:color w:val="auto"/>
                <w:w w:val="98"/>
              </w:rPr>
              <w:t>Part IV</w:t>
            </w:r>
          </w:p>
        </w:tc>
        <w:tc>
          <w:tcPr>
            <w:tcW w:w="15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15.</w:t>
            </w:r>
          </w:p>
        </w:tc>
        <w:tc>
          <w:tcPr>
            <w:tcW w:w="9100" w:type="dxa"/>
            <w:vAlign w:val="bottom"/>
            <w:gridSpan w:val="2"/>
          </w:tcPr>
          <w:p>
            <w:pPr>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Exhibits and Financial Statement Schedules</w:t>
              </w:r>
            </w:hyperlink>
          </w:p>
        </w:tc>
        <w:tc>
          <w:tcPr>
            <w:tcW w:w="1520" w:type="dxa"/>
            <w:vAlign w:val="bottom"/>
          </w:tcPr>
          <w:p>
            <w:pPr>
              <w:jc w:val="right"/>
              <w:spacing w:after="0"/>
              <w:rPr>
                <w:rFonts w:ascii="Arial" w:cs="Arial" w:eastAsia="Arial" w:hAnsi="Arial"/>
                <w:sz w:val="16"/>
                <w:szCs w:val="16"/>
                <w:u w:val="single" w:color="auto"/>
                <w:color w:val="0F7C7F"/>
              </w:rPr>
            </w:pPr>
            <w:hyperlink w:anchor="page99">
              <w:r>
                <w:rPr>
                  <w:rFonts w:ascii="Arial" w:cs="Arial" w:eastAsia="Arial" w:hAnsi="Arial"/>
                  <w:sz w:val="16"/>
                  <w:szCs w:val="16"/>
                  <w:u w:val="single" w:color="auto"/>
                  <w:color w:val="0F7C7F"/>
                </w:rPr>
                <w:t>97</w:t>
              </w:r>
            </w:hyperlink>
          </w:p>
        </w:tc>
      </w:tr>
      <w:tr>
        <w:trPr>
          <w:trHeight w:val="270"/>
        </w:trPr>
        <w:tc>
          <w:tcPr>
            <w:tcW w:w="580" w:type="dxa"/>
            <w:vAlign w:val="bottom"/>
          </w:tcPr>
          <w:p>
            <w:pPr>
              <w:spacing w:after="0"/>
              <w:rPr>
                <w:sz w:val="20"/>
                <w:szCs w:val="20"/>
                <w:color w:val="auto"/>
              </w:rPr>
            </w:pPr>
            <w:r>
              <w:rPr>
                <w:rFonts w:ascii="Arial" w:cs="Arial" w:eastAsia="Arial" w:hAnsi="Arial"/>
                <w:sz w:val="16"/>
                <w:szCs w:val="16"/>
                <w:color w:val="auto"/>
              </w:rPr>
              <w:t>16.</w:t>
            </w:r>
          </w:p>
        </w:tc>
        <w:tc>
          <w:tcPr>
            <w:tcW w:w="9100" w:type="dxa"/>
            <w:vAlign w:val="bottom"/>
            <w:gridSpan w:val="2"/>
          </w:tcPr>
          <w:p>
            <w:pPr>
              <w:spacing w:after="0"/>
              <w:rPr>
                <w:sz w:val="20"/>
                <w:szCs w:val="20"/>
                <w:color w:val="auto"/>
              </w:rPr>
            </w:pPr>
            <w:r>
              <w:rPr>
                <w:rFonts w:ascii="Arial" w:cs="Arial" w:eastAsia="Arial" w:hAnsi="Arial"/>
                <w:sz w:val="16"/>
                <w:szCs w:val="16"/>
                <w:color w:val="auto"/>
              </w:rPr>
              <w:t>Form 10-K Summary</w:t>
            </w:r>
          </w:p>
        </w:tc>
        <w:tc>
          <w:tcPr>
            <w:tcW w:w="1520" w:type="dxa"/>
            <w:vAlign w:val="bottom"/>
          </w:tcPr>
          <w:p>
            <w:pPr>
              <w:jc w:val="right"/>
              <w:spacing w:after="0"/>
              <w:rPr>
                <w:sz w:val="20"/>
                <w:szCs w:val="20"/>
                <w:color w:val="auto"/>
              </w:rPr>
            </w:pPr>
            <w:r>
              <w:rPr>
                <w:rFonts w:ascii="Arial" w:cs="Arial" w:eastAsia="Arial" w:hAnsi="Arial"/>
                <w:sz w:val="16"/>
                <w:szCs w:val="16"/>
                <w:color w:val="auto"/>
              </w:rPr>
              <w:t>Not Applicable.</w:t>
            </w:r>
          </w:p>
        </w:tc>
      </w:tr>
    </w:tbl>
    <w:p>
      <w:pPr>
        <w:spacing w:after="0" w:line="96" w:lineRule="exact"/>
        <w:rPr>
          <w:sz w:val="20"/>
          <w:szCs w:val="20"/>
          <w:color w:val="auto"/>
        </w:rPr>
      </w:pPr>
    </w:p>
    <w:p>
      <w:pPr>
        <w:spacing w:after="0"/>
        <w:rPr>
          <w:rFonts w:ascii="Arial" w:cs="Arial" w:eastAsia="Arial" w:hAnsi="Arial"/>
          <w:sz w:val="16"/>
          <w:szCs w:val="16"/>
          <w:b w:val="1"/>
          <w:bCs w:val="1"/>
          <w:i w:val="1"/>
          <w:iCs w:val="1"/>
          <w:u w:val="single" w:color="auto"/>
          <w:color w:val="0F7C7F"/>
        </w:rPr>
      </w:pPr>
      <w:hyperlink w:anchor="page100">
        <w:r>
          <w:rPr>
            <w:rFonts w:ascii="Arial" w:cs="Arial" w:eastAsia="Arial" w:hAnsi="Arial"/>
            <w:sz w:val="16"/>
            <w:szCs w:val="16"/>
            <w:b w:val="1"/>
            <w:bCs w:val="1"/>
            <w:i w:val="1"/>
            <w:iCs w:val="1"/>
            <w:u w:val="single" w:color="auto"/>
            <w:color w:val="0F7C7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0F7C7F"/>
        </w:rPr>
        <w:t>FORWARD LOOKING STATEMENTS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the Private Securities Litigation Reform Act of 1995 that involve risks and uncertainties.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the following:</w:t>
      </w:r>
    </w:p>
    <w:p>
      <w:pPr>
        <w:spacing w:after="0" w:line="8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w:t>
      </w:r>
    </w:p>
    <w:p>
      <w:pPr>
        <w:spacing w:after="0" w:line="27" w:lineRule="exact"/>
        <w:rPr>
          <w:rFonts w:ascii="Arial" w:cs="Arial" w:eastAsia="Arial" w:hAnsi="Arial"/>
          <w:sz w:val="18"/>
          <w:szCs w:val="18"/>
          <w:i w:val="1"/>
          <w:iCs w:val="1"/>
          <w:color w:val="auto"/>
        </w:rPr>
      </w:pPr>
    </w:p>
    <w:p>
      <w:pPr>
        <w:ind w:left="340" w:right="420" w:hanging="332"/>
        <w:spacing w:after="0" w:line="265" w:lineRule="auto"/>
        <w:tabs>
          <w:tab w:leader="none" w:pos="33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numerous political, judicial, and market-based uncertainties associated with the Affordable Care Act (the “ACA”), including the ultimate outcome of the California et al. v Texas et al. matter currently pending for decision before the United States Supreme Court;</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Ohio, California, and Texas;</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6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40" w:right="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and Passport, and announced acquisition of Affinity;</w:t>
      </w: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ind w:left="340" w:right="40" w:hanging="332"/>
        <w:spacing w:after="0" w:line="261"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 w:name="page5"/>
    <w:bookmarkEnd w:id="4"/>
    <w:p>
      <w:pPr>
        <w:ind w:left="340" w:right="200" w:hanging="332"/>
        <w:spacing w:after="0" w:line="26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32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and the return of our capital;</w:t>
      </w: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0F7C7F"/>
        </w:rPr>
        <w:t>OVERVIEW</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ABOUT MOLINA HEALTHCARE</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Molina was founded in 1980 as a provider organization serving low-income families in Southern California. We were originally organized in California as a health plan holding company and reincorporated in Delaware in 2002.</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Through our locally operated health plans in 15 states, we served approximately 4.0 million members as of December 31, 2020. In addition, in connection with our acquisition of Magellan Complete Care on December 31, 2020, we added approximately 200,000 members, and now operate health plans in 18 states. These health plans are generally operated by our respective wholly owned subsidiaries in those states, and licensed as health maintenance organizations (“HMOs”).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FINANCIAL HIGHLIGHTS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2020</w:t>
            </w:r>
          </w:p>
        </w:tc>
        <w:tc>
          <w:tcPr>
            <w:tcW w:w="440" w:type="dxa"/>
            <w:vAlign w:val="bottom"/>
            <w:vMerge w:val="restart"/>
          </w:tcPr>
          <w:p>
            <w:pPr>
              <w:spacing w:after="0"/>
              <w:rPr>
                <w:sz w:val="20"/>
                <w:szCs w:val="20"/>
                <w:color w:val="auto"/>
              </w:rPr>
            </w:pPr>
            <w:r>
              <w:rPr>
                <w:rFonts w:ascii="Arial" w:cs="Arial" w:eastAsia="Arial" w:hAnsi="Arial"/>
                <w:sz w:val="16"/>
                <w:szCs w:val="16"/>
                <w:b w:val="1"/>
                <w:bCs w:val="1"/>
                <w:color w:val="auto"/>
                <w:w w:val="82"/>
              </w:rPr>
              <w:t>except</w:t>
            </w:r>
          </w:p>
        </w:tc>
        <w:tc>
          <w:tcPr>
            <w:tcW w:w="2780" w:type="dxa"/>
            <w:vAlign w:val="bottom"/>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2019</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tcPr>
          <w:p>
            <w:pPr>
              <w:ind w:left="1200"/>
              <w:spacing w:after="0"/>
              <w:rPr>
                <w:sz w:val="20"/>
                <w:szCs w:val="20"/>
                <w:color w:val="auto"/>
              </w:rPr>
            </w:pPr>
            <w:r>
              <w:rPr>
                <w:rFonts w:ascii="Arial" w:cs="Arial" w:eastAsia="Arial" w:hAnsi="Arial"/>
                <w:sz w:val="16"/>
                <w:szCs w:val="16"/>
                <w:b w:val="1"/>
                <w:bCs w:val="1"/>
                <w:color w:val="auto"/>
              </w:rPr>
              <w:t>(Dollars in millions,</w:t>
            </w:r>
          </w:p>
        </w:tc>
        <w:tc>
          <w:tcPr>
            <w:tcW w:w="440" w:type="dxa"/>
            <w:vAlign w:val="bottom"/>
            <w:vMerge w:val="continue"/>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per-share amounts)</w:t>
            </w: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44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3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0F7C7F"/>
            </w:tcBorders>
            <w:shd w:val="clear" w:color="auto" w:fill="0F7C7F"/>
          </w:tcPr>
          <w:p>
            <w:pPr>
              <w:ind w:left="20"/>
              <w:spacing w:after="0"/>
              <w:rPr>
                <w:sz w:val="20"/>
                <w:szCs w:val="20"/>
                <w:color w:val="auto"/>
              </w:rPr>
            </w:pPr>
            <w:r>
              <w:rPr>
                <w:rFonts w:ascii="Arial" w:cs="Arial" w:eastAsia="Arial" w:hAnsi="Arial"/>
                <w:sz w:val="18"/>
                <w:szCs w:val="18"/>
                <w:b w:val="1"/>
                <w:bCs w:val="1"/>
                <w:color w:val="FFFFFF"/>
              </w:rPr>
              <w:t>Premium Revenue</w:t>
            </w:r>
          </w:p>
        </w:tc>
        <w:tc>
          <w:tcPr>
            <w:tcW w:w="440" w:type="dxa"/>
            <w:vAlign w:val="bottom"/>
            <w:vMerge w:val="continue"/>
          </w:tcPr>
          <w:p>
            <w:pPr>
              <w:spacing w:after="0"/>
              <w:rPr>
                <w:sz w:val="22"/>
                <w:szCs w:val="22"/>
                <w:color w:val="auto"/>
              </w:rPr>
            </w:pPr>
          </w:p>
        </w:tc>
        <w:tc>
          <w:tcPr>
            <w:tcW w:w="2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8"/>
                <w:szCs w:val="18"/>
                <w:b w:val="1"/>
                <w:bCs w:val="1"/>
                <w:color w:val="FFFFFF"/>
              </w:rPr>
              <w:t>$18,299</w:t>
            </w:r>
          </w:p>
        </w:tc>
        <w:tc>
          <w:tcPr>
            <w:tcW w:w="440" w:type="dxa"/>
            <w:vAlign w:val="bottom"/>
          </w:tcPr>
          <w:p>
            <w:pPr>
              <w:spacing w:after="0"/>
              <w:rPr>
                <w:sz w:val="22"/>
                <w:szCs w:val="22"/>
                <w:color w:val="auto"/>
              </w:rPr>
            </w:pPr>
          </w:p>
        </w:tc>
        <w:tc>
          <w:tcPr>
            <w:tcW w:w="278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$16,208</w:t>
            </w:r>
          </w:p>
        </w:tc>
        <w:tc>
          <w:tcPr>
            <w:tcW w:w="0" w:type="dxa"/>
            <w:vAlign w:val="bottom"/>
          </w:tcPr>
          <w:p>
            <w:pPr>
              <w:spacing w:after="0"/>
              <w:rPr>
                <w:sz w:val="1"/>
                <w:szCs w:val="1"/>
                <w:color w:val="auto"/>
              </w:rPr>
            </w:pP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$19,423</w:t>
            </w:r>
          </w:p>
        </w:tc>
        <w:tc>
          <w:tcPr>
            <w:tcW w:w="322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8"/>
              </w:rPr>
              <w:t>$16,829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60" w:type="dxa"/>
            <w:vAlign w:val="bottom"/>
            <w:shd w:val="clear" w:color="auto" w:fill="0F7C7F"/>
          </w:tcPr>
          <w:p>
            <w:pPr>
              <w:ind w:left="20"/>
              <w:spacing w:after="0"/>
              <w:rPr>
                <w:sz w:val="20"/>
                <w:szCs w:val="20"/>
                <w:color w:val="auto"/>
              </w:rPr>
            </w:pPr>
            <w:r>
              <w:rPr>
                <w:rFonts w:ascii="Arial" w:cs="Arial" w:eastAsia="Arial" w:hAnsi="Arial"/>
                <w:sz w:val="18"/>
                <w:szCs w:val="18"/>
                <w:b w:val="1"/>
                <w:bCs w:val="1"/>
                <w:color w:val="FFFFFF"/>
              </w:rPr>
              <w:t xml:space="preserve">Medical Care Ratio (“MCR”) </w:t>
            </w:r>
            <w:r>
              <w:rPr>
                <w:rFonts w:ascii="Arial" w:cs="Arial" w:eastAsia="Arial" w:hAnsi="Arial"/>
                <w:sz w:val="23"/>
                <w:szCs w:val="23"/>
                <w:b w:val="1"/>
                <w:bCs w:val="1"/>
                <w:color w:val="FFFFFF"/>
                <w:vertAlign w:val="superscript"/>
              </w:rPr>
              <w:t>(1)</w:t>
            </w:r>
          </w:p>
        </w:tc>
        <w:tc>
          <w:tcPr>
            <w:tcW w:w="440" w:type="dxa"/>
            <w:vAlign w:val="bottom"/>
            <w:vMerge w:val="continue"/>
          </w:tcPr>
          <w:p>
            <w:pPr>
              <w:spacing w:after="0"/>
              <w:rPr>
                <w:sz w:val="24"/>
                <w:szCs w:val="24"/>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7"/>
              </w:rPr>
              <w:t>86.5%</w:t>
            </w:r>
          </w:p>
        </w:tc>
        <w:tc>
          <w:tcPr>
            <w:tcW w:w="440" w:type="dxa"/>
            <w:vAlign w:val="bottom"/>
          </w:tcPr>
          <w:p>
            <w:pPr>
              <w:spacing w:after="0"/>
              <w:rPr>
                <w:sz w:val="24"/>
                <w:szCs w:val="24"/>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85.8%</w:t>
            </w:r>
          </w:p>
        </w:tc>
        <w:tc>
          <w:tcPr>
            <w:tcW w:w="0" w:type="dxa"/>
            <w:vAlign w:val="bottom"/>
          </w:tcPr>
          <w:p>
            <w:pPr>
              <w:spacing w:after="0"/>
              <w:rPr>
                <w:sz w:val="1"/>
                <w:szCs w:val="1"/>
                <w:color w:val="auto"/>
              </w:rPr>
            </w:pPr>
          </w:p>
        </w:tc>
      </w:tr>
      <w:tr>
        <w:trPr>
          <w:trHeight w:val="283"/>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 xml:space="preserve">After-Tax Margin </w:t>
            </w:r>
            <w:r>
              <w:rPr>
                <w:rFonts w:ascii="Arial" w:cs="Arial" w:eastAsia="Arial" w:hAnsi="Arial"/>
                <w:sz w:val="23"/>
                <w:szCs w:val="23"/>
                <w:b w:val="1"/>
                <w:bCs w:val="1"/>
                <w:color w:val="auto"/>
                <w:vertAlign w:val="superscript"/>
              </w:rPr>
              <w:t>(2)</w:t>
            </w:r>
          </w:p>
        </w:tc>
        <w:tc>
          <w:tcPr>
            <w:tcW w:w="44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3.5%</w:t>
            </w:r>
          </w:p>
        </w:tc>
        <w:tc>
          <w:tcPr>
            <w:tcW w:w="322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7"/>
              </w:rPr>
              <w:t>4.4%</w:t>
            </w:r>
          </w:p>
        </w:tc>
        <w:tc>
          <w:tcPr>
            <w:tcW w:w="0" w:type="dxa"/>
            <w:vAlign w:val="bottom"/>
          </w:tcPr>
          <w:p>
            <w:pPr>
              <w:spacing w:after="0"/>
              <w:rPr>
                <w:sz w:val="1"/>
                <w:szCs w:val="1"/>
                <w:color w:val="auto"/>
              </w:rPr>
            </w:pPr>
          </w:p>
        </w:tc>
      </w:tr>
      <w:tr>
        <w:trPr>
          <w:trHeight w:val="257"/>
        </w:trPr>
        <w:tc>
          <w:tcPr>
            <w:tcW w:w="4760" w:type="dxa"/>
            <w:vAlign w:val="bottom"/>
            <w:shd w:val="clear" w:color="auto" w:fill="0F7C7F"/>
          </w:tcPr>
          <w:p>
            <w:pPr>
              <w:ind w:left="20"/>
              <w:spacing w:after="0"/>
              <w:rPr>
                <w:sz w:val="20"/>
                <w:szCs w:val="20"/>
                <w:color w:val="auto"/>
              </w:rPr>
            </w:pPr>
            <w:r>
              <w:rPr>
                <w:rFonts w:ascii="Arial" w:cs="Arial" w:eastAsia="Arial" w:hAnsi="Arial"/>
                <w:sz w:val="18"/>
                <w:szCs w:val="18"/>
                <w:b w:val="1"/>
                <w:bCs w:val="1"/>
                <w:color w:val="FFFFFF"/>
              </w:rPr>
              <w:t>Net Income per Diluted Share</w:t>
            </w:r>
          </w:p>
        </w:tc>
        <w:tc>
          <w:tcPr>
            <w:tcW w:w="440" w:type="dxa"/>
            <w:vAlign w:val="bottom"/>
          </w:tcPr>
          <w:p>
            <w:pPr>
              <w:spacing w:after="0"/>
              <w:rPr>
                <w:sz w:val="22"/>
                <w:szCs w:val="22"/>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$11.23</w:t>
            </w:r>
          </w:p>
        </w:tc>
        <w:tc>
          <w:tcPr>
            <w:tcW w:w="440" w:type="dxa"/>
            <w:vAlign w:val="bottom"/>
          </w:tcPr>
          <w:p>
            <w:pPr>
              <w:spacing w:after="0"/>
              <w:rPr>
                <w:sz w:val="22"/>
                <w:szCs w:val="22"/>
                <w:color w:val="auto"/>
              </w:rPr>
            </w:pPr>
          </w:p>
        </w:tc>
        <w:tc>
          <w:tcPr>
            <w:tcW w:w="278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$11.47</w:t>
            </w:r>
          </w:p>
        </w:tc>
        <w:tc>
          <w:tcPr>
            <w:tcW w:w="0" w:type="dxa"/>
            <w:vAlign w:val="bottom"/>
          </w:tcPr>
          <w:p>
            <w:pPr>
              <w:spacing w:after="0"/>
              <w:rPr>
                <w:sz w:val="1"/>
                <w:szCs w:val="1"/>
                <w:color w:val="auto"/>
              </w:rPr>
            </w:pPr>
          </w:p>
        </w:tc>
      </w:tr>
      <w:tr>
        <w:trPr>
          <w:trHeight w:val="27"/>
        </w:trPr>
        <w:tc>
          <w:tcPr>
            <w:tcW w:w="4760" w:type="dxa"/>
            <w:vAlign w:val="bottom"/>
            <w:shd w:val="clear" w:color="auto" w:fill="0F7C7F"/>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shd w:val="clear" w:color="auto" w:fill="0F7C7F"/>
          </w:tcPr>
          <w:p>
            <w:pPr>
              <w:spacing w:after="0"/>
              <w:rPr>
                <w:sz w:val="2"/>
                <w:szCs w:val="2"/>
                <w:color w:val="auto"/>
              </w:rPr>
            </w:pPr>
          </w:p>
        </w:tc>
        <w:tc>
          <w:tcPr>
            <w:tcW w:w="440" w:type="dxa"/>
            <w:vAlign w:val="bottom"/>
          </w:tcPr>
          <w:p>
            <w:pPr>
              <w:spacing w:after="0"/>
              <w:rPr>
                <w:sz w:val="2"/>
                <w:szCs w:val="2"/>
                <w:color w:val="auto"/>
              </w:rPr>
            </w:pPr>
          </w:p>
        </w:tc>
        <w:tc>
          <w:tcPr>
            <w:tcW w:w="2780" w:type="dxa"/>
            <w:vAlign w:val="bottom"/>
            <w:shd w:val="clear" w:color="auto" w:fill="0F7C7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828282"/>
        </w:rPr>
        <w:t>2020 EXECUTIVE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2020, we drove strong operating performance in a challenging COVID-19 pandemic environment, particularly in the following areas: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w:t>
      </w:r>
    </w:p>
    <w:p>
      <w:pPr>
        <w:spacing w:after="0" w:line="1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Operated remotely for majority of the year in unprecedented pandemic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Effected transition of workforce to remote status in March while maintaining or improving operating metrics;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Addressed workforce hardships by implementing assistance programs, including dependent-care and other stipends, and a short-term incentive program for eligible non-executive employees;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Did not reduce workforce.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 Portfolio</w:t>
      </w:r>
    </w:p>
    <w:p>
      <w:pPr>
        <w:spacing w:after="0" w:line="139" w:lineRule="exact"/>
        <w:rPr>
          <w:sz w:val="20"/>
          <w:szCs w:val="20"/>
          <w:color w:val="auto"/>
        </w:rPr>
      </w:pPr>
    </w:p>
    <w:p>
      <w:pPr>
        <w:jc w:val="both"/>
        <w:ind w:left="660" w:right="18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health plan acquisitions including Magellan Complete Care (in Arizona, Florida, Massachusetts, New York, Virginia and Wisconsin), Affinity (in New York) and Passport (in Kentucky), representing annualized aggregate premium revenues exceeding $6 billion;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Closed on acquisitions of Magellan Complete Care, Passport and YourCare (in New York);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a dedicated integration management function to help ensure that we achieve the expected business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Exited Puerto Rico operations without financial hardship; and</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Won the Medicaid contract request for proposal (“RFP”) in Kentucky, and successfully protested the outcome of the Medicaid RFP awards for certain regions of Texas, preserving our Medicaid membership in that state.</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Other Notable Achievements</w:t>
      </w:r>
    </w:p>
    <w:p>
      <w:pPr>
        <w:spacing w:after="0" w:line="139" w:lineRule="exact"/>
        <w:rPr>
          <w:sz w:val="20"/>
          <w:szCs w:val="20"/>
          <w:color w:val="auto"/>
        </w:rPr>
      </w:pPr>
    </w:p>
    <w:p>
      <w:pPr>
        <w:ind w:left="660" w:right="2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Organized, announced and initially funded the “MolinaCares” Molina Healthcare Charitable Foundation, an independent charitable organization;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Drove over 20% improvement in annual employee engagement survey;</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capital structure overhaul with the issuance of two high-yield senior notes amounting to $1.5 billion, in the aggregate, and increased credit facility capacity to $1 billion;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bolstered senior and middle management talent.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business footprint, as of December 31, 2020,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74930</wp:posOffset>
            </wp:positionV>
            <wp:extent cx="4286250" cy="3214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OUR SEGMENTS</w:t>
      </w:r>
    </w:p>
    <w:p>
      <w:pPr>
        <w:spacing w:after="0" w:line="1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2020, we had two reportable segments: the Health Plans segment, and the Other segment. Our reportable segments are consistent with how we currently manage the business and view the markets we serve.</w:t>
      </w:r>
    </w:p>
    <w:p>
      <w:pPr>
        <w:spacing w:after="0" w:line="9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Health Plans reportable segment includes our regulated health plan operating segments, along with the recently acquired Magellan Complete Care health plans operating segment. Because this acquisition closed on December 31, 2020, Magellan Complete Care’s operating results were insignificant to our consolidated results of operations for the year ended December 31, 2020. Management will continue to evaluate the composition of its operating and reportable segments for future filings. The Other segment, which is insignificant to our consolidated results of operations, includes certain corporate amounts not associated with or allocated to the Health Plans segment.</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Refer to Notes to Consolidated Financial Statements, Note 16, “Segments,” for further information, including segment revenue and profit information, and Note 2, “Significant Accounting Policies” for premium revenue information by health plan.</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828282"/>
        </w:rPr>
        <w:t>MEMBERSHIP BY HEALTH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212"/>
        </w:trPr>
        <w:tc>
          <w:tcPr>
            <w:tcW w:w="8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Florida</w:t>
            </w:r>
          </w:p>
        </w:tc>
        <w:tc>
          <w:tcPr>
            <w:tcW w:w="1440" w:type="dxa"/>
            <w:vAlign w:val="bottom"/>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132,000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Kentucky</w:t>
            </w:r>
          </w:p>
        </w:tc>
        <w:tc>
          <w:tcPr>
            <w:tcW w:w="1440" w:type="dxa"/>
            <w:vAlign w:val="bottom"/>
          </w:tcPr>
          <w:p>
            <w:pPr>
              <w:jc w:val="right"/>
              <w:spacing w:after="0"/>
              <w:rPr>
                <w:sz w:val="20"/>
                <w:szCs w:val="20"/>
                <w:color w:val="auto"/>
              </w:rPr>
            </w:pPr>
            <w:r>
              <w:rPr>
                <w:rFonts w:ascii="Arial" w:cs="Arial" w:eastAsia="Arial" w:hAnsi="Arial"/>
                <w:sz w:val="16"/>
                <w:szCs w:val="16"/>
                <w:color w:val="auto"/>
              </w:rPr>
              <w:t>337,000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Ohio</w:t>
            </w:r>
          </w:p>
        </w:tc>
        <w:tc>
          <w:tcPr>
            <w:tcW w:w="1440" w:type="dxa"/>
            <w:vAlign w:val="bottom"/>
          </w:tcPr>
          <w:p>
            <w:pPr>
              <w:jc w:val="right"/>
              <w:spacing w:after="0"/>
              <w:rPr>
                <w:sz w:val="20"/>
                <w:szCs w:val="20"/>
                <w:color w:val="auto"/>
              </w:rPr>
            </w:pPr>
            <w:r>
              <w:rPr>
                <w:rFonts w:ascii="Arial" w:cs="Arial" w:eastAsia="Arial" w:hAnsi="Arial"/>
                <w:sz w:val="16"/>
                <w:szCs w:val="16"/>
                <w:color w:val="auto"/>
              </w:rPr>
              <w:t>352,000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288,000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440" w:type="dxa"/>
            <w:vAlign w:val="bottom"/>
          </w:tcPr>
          <w:p>
            <w:pPr>
              <w:jc w:val="right"/>
              <w:spacing w:after="0"/>
              <w:rPr>
                <w:sz w:val="20"/>
                <w:szCs w:val="20"/>
                <w:color w:val="auto"/>
              </w:rPr>
            </w:pPr>
            <w:r>
              <w:rPr>
                <w:rFonts w:ascii="Arial" w:cs="Arial" w:eastAsia="Arial" w:hAnsi="Arial"/>
                <w:sz w:val="16"/>
                <w:szCs w:val="16"/>
                <w:color w:val="auto"/>
              </w:rPr>
              <w:t>977,000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832,000</w:t>
            </w:r>
          </w:p>
        </w:tc>
      </w:tr>
      <w:tr>
        <w:trPr>
          <w:trHeight w:val="219"/>
        </w:trPr>
        <w:tc>
          <w:tcPr>
            <w:tcW w:w="8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587,000</w:t>
            </w:r>
          </w:p>
        </w:tc>
      </w:tr>
      <w:tr>
        <w:trPr>
          <w:trHeight w:val="210"/>
        </w:trPr>
        <w:tc>
          <w:tcPr>
            <w:tcW w:w="8240" w:type="dxa"/>
            <w:vAlign w:val="bottom"/>
          </w:tcPr>
          <w:p>
            <w:pPr>
              <w:ind w:left="140"/>
              <w:spacing w:after="0" w:line="210"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3,331,000</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6" w:lineRule="exact"/>
        <w:rPr>
          <w:sz w:val="20"/>
          <w:szCs w:val="20"/>
          <w:color w:val="auto"/>
        </w:rPr>
      </w:pPr>
    </w:p>
    <w:p>
      <w:pPr>
        <w:ind w:left="340" w:right="80" w:hanging="332"/>
        <w:spacing w:after="0" w:line="246"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Puerto Rico, South Carolina, Utah, and Wisconsin health plans, which were individually insignificant to our consolidated operating results for the periods presented.</w:t>
      </w:r>
    </w:p>
    <w:p>
      <w:pPr>
        <w:ind w:left="340" w:right="160" w:hanging="332"/>
        <w:spacing w:after="0" w:line="260"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2020 totals for both “Membership by Health Plan,” and “Membership by Program,” do not include approximately 200,000 Magellan Complete Care members from the acquisition closed on December 31, 2020.</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MEMBERSHIP BY PROGRAM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As of December 31,</w:t>
            </w:r>
          </w:p>
        </w:tc>
      </w:tr>
      <w:tr>
        <w:trPr>
          <w:trHeight w:val="212"/>
        </w:trPr>
        <w:tc>
          <w:tcPr>
            <w:tcW w:w="8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2,956,000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spacing w:after="0"/>
              <w:rPr>
                <w:sz w:val="20"/>
                <w:szCs w:val="20"/>
                <w:color w:val="auto"/>
              </w:rPr>
            </w:pPr>
            <w:r>
              <w:rPr>
                <w:rFonts w:ascii="Arial" w:cs="Arial" w:eastAsia="Arial" w:hAnsi="Arial"/>
                <w:sz w:val="16"/>
                <w:szCs w:val="16"/>
                <w:color w:val="auto"/>
              </w:rPr>
              <w:t>115,000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101,000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274,000</w:t>
            </w:r>
          </w:p>
        </w:tc>
      </w:tr>
      <w:tr>
        <w:trPr>
          <w:trHeight w:val="212"/>
        </w:trPr>
        <w:tc>
          <w:tcPr>
            <w:tcW w:w="8240" w:type="dxa"/>
            <w:vAlign w:val="bottom"/>
          </w:tcPr>
          <w:p>
            <w:pPr>
              <w:ind w:left="1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3,331,000</w:t>
            </w: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improve the health and lives of our members by delivering high-quality healthcare.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will distinguish ourselves as the low cost, most effective and reliable health plan delivering government-sponsored care.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STRATEGY</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growth strategy continues to be anchored by our capital allocation priorities: first, organic growth of our core businesses; second, inorganic growth through accretive acquisitions; and third, programmatically returning excess capital to shareholders, for example, in the form of targeted share repurchase programs. The key capabilities that enable our growth strategy follow:</w:t>
      </w:r>
    </w:p>
    <w:p>
      <w:pPr>
        <w:spacing w:after="0" w:line="76"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i w:val="1"/>
          <w:iCs w:val="1"/>
          <w:color w:val="auto"/>
        </w:rPr>
        <w:t>Low Cost</w:t>
      </w:r>
      <w:r>
        <w:rPr>
          <w:rFonts w:ascii="Arial" w:cs="Arial" w:eastAsia="Arial" w:hAnsi="Arial"/>
          <w:sz w:val="18"/>
          <w:szCs w:val="18"/>
          <w:color w:val="auto"/>
        </w:rPr>
        <w:t>: We provide low-cost health plans to our state customers for Medicaid, and to our members in the MMP and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High Quality and Appropriate Access to Care</w:t>
      </w:r>
      <w:r>
        <w:rPr>
          <w:rFonts w:ascii="Arial" w:cs="Arial" w:eastAsia="Arial" w:hAnsi="Arial"/>
          <w:sz w:val="18"/>
          <w:szCs w:val="18"/>
          <w:color w:val="auto"/>
        </w:rPr>
        <w:t>: We provide our members effective and appropriate access to care at the right time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setting.</w:t>
      </w:r>
    </w:p>
    <w:p>
      <w:pPr>
        <w:spacing w:after="0" w:line="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i w:val="1"/>
          <w:iCs w:val="1"/>
          <w:color w:val="auto"/>
        </w:rPr>
        <w:t>Reliable Service and Seamless Experience</w:t>
      </w:r>
      <w:r>
        <w:rPr>
          <w:rFonts w:ascii="Arial" w:cs="Arial" w:eastAsia="Arial" w:hAnsi="Arial"/>
          <w:sz w:val="18"/>
          <w:szCs w:val="18"/>
          <w:color w:val="auto"/>
        </w:rPr>
        <w:t>: We offer our state customers, members, and providers reliable service and a seamless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0F7C7F"/>
        </w:rPr>
        <w:t>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MEDICAID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Medicaid was established in 1965 under the U.S. Social Security Act to provide healthcare and long-term care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60%, and currently ranges from a federally established FMAP floor of 50% to as high as 78%. See further discussion regarding the FMAP below in “COVID-19 Pandemic—Federal Economic Stabilization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participate in the following Medicaid programs:</w:t>
      </w:r>
    </w:p>
    <w:p>
      <w:pPr>
        <w:spacing w:after="0" w:line="117" w:lineRule="exact"/>
        <w:rPr>
          <w:sz w:val="20"/>
          <w:szCs w:val="20"/>
          <w:color w:val="auto"/>
        </w:rPr>
      </w:pPr>
    </w:p>
    <w:p>
      <w:pPr>
        <w:ind w:left="660" w:right="40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Temporary Assistance for Needy Families (“TANF”) - This is the most common Medicaid program. It primarily covers low-income families with children.</w:t>
      </w:r>
    </w:p>
    <w:p>
      <w:pPr>
        <w:spacing w:after="0" w:line="89"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spacing w:after="0" w:line="93"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Children’s Health Insurance Program (“CHIP”) - CHIP is a joint federal and state matching program that provides healthcare coverage to children whose families earn too much to qualify for Medicaid coverage. States have the option of administering CHIP through their Medicaid programs.</w:t>
      </w:r>
    </w:p>
    <w:p>
      <w:pPr>
        <w:spacing w:after="0" w:line="9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Medicaid Expansion - In states that have elected to participate, Medicaid Expansion provides eligibility to nearly all low-income individuals under age 65 with incomes at or below 138% of the federal poverty line.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Significant Contracts</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consolidated Medicaid premium revenue constituted 73% of our total revenue in the year ended December 31, 2020. Our Medicaid contracts with each of the states of California, Ohio, Texas and Washington accounted for approximately 10% or more of our consolidated Medicaid premium revenues in each of the years ended December 31, 2020, and 2019. The current status of each of these contracts is described below.</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northern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Los Angeles County, California, as a subcontractor to another health plan holding a direct contract with the state). These contracts are effective through December 31, 2021, which we expect to be renewed annually until the effectiveness of new forms of contract following RFP awards. DHCS has publicly indicated it expects to release the final Medicaid RFP in 2021, for implementation in January 2024. Our California Medicaid contracts represented premium revenue of approximately $1,694 million, or 12%, of our consolidated Medicaid premium revenue in 2020.</w:t>
      </w:r>
    </w:p>
    <w:p>
      <w:pPr>
        <w:spacing w:after="0" w:line="7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Ohio</w:t>
      </w:r>
      <w:r>
        <w:rPr>
          <w:rFonts w:ascii="Arial" w:cs="Arial" w:eastAsia="Arial" w:hAnsi="Arial"/>
          <w:sz w:val="18"/>
          <w:szCs w:val="18"/>
          <w:color w:val="auto"/>
        </w:rPr>
        <w:t>. Our managed care contract with the Ohio Department of Medicaid (“ODM”) is effective through July 1, 2021. In September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ODM released the RFP for the Ohio Medicaid program, which will be regionally based on the current three regions (Central/Southeast, Northeast and West). Health plans were able to bid on one or all regions, and be awarded one or all regions. As of February 16, 2021, ODM had not announced the winning bidders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 w:name="page10"/>
    <w:bookmarkEnd w:id="9"/>
    <w:p>
      <w:pPr>
        <w:spacing w:after="0" w:line="261" w:lineRule="auto"/>
        <w:rPr>
          <w:sz w:val="20"/>
          <w:szCs w:val="20"/>
          <w:color w:val="auto"/>
        </w:rPr>
      </w:pPr>
      <w:r>
        <w:rPr>
          <w:rFonts w:ascii="Arial" w:cs="Arial" w:eastAsia="Arial" w:hAnsi="Arial"/>
          <w:sz w:val="18"/>
          <w:szCs w:val="18"/>
          <w:color w:val="auto"/>
        </w:rPr>
        <w:t>for the RFP. Our Ohio Medicaid contract represented approximately $2,231 million, or 16%, of our consolidated Medicaid premium revenue in 2020.</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March 2020, the Texas Health and Human Services Commission (“HHSC”) notified our Texas health plan that HHSC had upheld</w:t>
      </w:r>
      <w:r>
        <w:rPr>
          <w:rFonts w:ascii="Arial" w:cs="Arial" w:eastAsia="Arial" w:hAnsi="Arial"/>
          <w:sz w:val="18"/>
          <w:szCs w:val="18"/>
          <w:i w:val="1"/>
          <w:iCs w:val="1"/>
          <w:color w:val="auto"/>
        </w:rPr>
        <w:t xml:space="preserve"> </w:t>
      </w:r>
      <w:r>
        <w:rPr>
          <w:rFonts w:ascii="Arial" w:cs="Arial" w:eastAsia="Arial" w:hAnsi="Arial"/>
          <w:sz w:val="18"/>
          <w:szCs w:val="18"/>
          <w:color w:val="auto"/>
        </w:rPr>
        <w:t>our protest and had canceled all previously awarded contracts associated with the re-procurement awards announced in October 2019 for the ABD program (known in Texas as “STAR+PLUS”). In addition, HHSC canceled the pending re-procurement associated with the TANF and CHIP programs (known in Texas as “STAR/CHIP”). HHSC has indicated that the STAR+PLUS RFP will be posted in late 2021 or early 2022, with awards estimated to be announced in the second quarter of 2022, and start of operations in the fourth quarter of 2023. HHSC has also indicated that the STAR/CHIP RFP will be posted in the fourth quarter of 2022, with awards estimated to be announced in late 2022 or early 2023, and start of operations in the third quarter of 2024. Our Texas Medicaid contracts represented approximately $2,151 million, or 15%, of consolidated Medicaid premium revenue in 2020.</w:t>
      </w:r>
    </w:p>
    <w:p>
      <w:pPr>
        <w:spacing w:after="0" w:line="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Our managed care contract with the Washington State Health Care Authority (“HCA”) covers all ten regions of the state’s Apple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Integrated Managed Care program, and is effective through December 31, 2021. We expect the HCA to exercise its renewal option for at least one year, through December 31, 2022. Our Washington Medicaid contract represented approximately $2,804 million, or 20%, of consolidated Medicaid premium revenue in 2020.</w:t>
      </w:r>
    </w:p>
    <w:p>
      <w:pPr>
        <w:spacing w:after="0" w:line="9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loss of any of our significant Medicaid contracts could have a material adverse effect on our business, financial condition, cash flows,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Magellan Complete Care</w:t>
      </w:r>
      <w:r>
        <w:rPr>
          <w:rFonts w:ascii="Arial" w:cs="Arial" w:eastAsia="Arial" w:hAnsi="Arial"/>
          <w:sz w:val="18"/>
          <w:szCs w:val="18"/>
          <w:color w:val="auto"/>
        </w:rPr>
        <w:t>. On December 31, 2020, we closed on our acquisition of 100% of the outstanding equity interests of the Magellan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Care line of business of Magellan Health, Inc., for total purchase consideration of approximately $1,037 million. Total purchase consideration paid in cash amounted to $1,008 million, which consisted of the base purchase price of $850 million, plus approximately $158 million in preliminary closing adjustments, primarily relating to excess regulatory capital. Total purchase consideration also included assumed liabilities of $29 million. Magellan Complete Care is a managed care organization serving members in six states, including Medicaid members in Arizona and statewide in Virginia, and integrated acute care members in Florida. Through its Senior Whole Health branded plans, Magellan Complete Care provides fully integrated plans for Medicaid and Medicare dual beneficiaries in Massachusetts, as well as managed long-term care in New York. As of December 31, 2020, Magellan Complete Care served approximately 200,000 members in its managed care plans. Magellan Complete Care also provides consultative services to participants who self-direct their care through Wisconsin’s long-term services and supports (“LTSS”) program. For the year ended December 31, 2020, Magellan Complete Care’s total 2020 revenue was approximately $2.9 billion.</w:t>
      </w:r>
    </w:p>
    <w:p>
      <w:pPr>
        <w:spacing w:after="0" w:line="8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In September 2020, we entered into a definitive agreement to acquire substantially all the assets of Affinity Health Plan,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purchase price for the transaction is approximately $380 million, subject to various adjustments at closing, which we intend to fund with cash on hand. We currently expect the transaction to close as early as the second quarter of 2021.</w:t>
      </w:r>
    </w:p>
    <w:p>
      <w:pPr>
        <w:spacing w:after="0" w:line="8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On July 1, 2020, we closed on the acquisition of certain assets of YourCare Health Plan, Inc., a Medicaid health plan operating in certain regions of New York, for a cash purchase price of $42 million.</w:t>
      </w:r>
    </w:p>
    <w:p>
      <w:pPr>
        <w:spacing w:after="0" w:line="7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Kentucky</w:t>
      </w:r>
      <w:r>
        <w:rPr>
          <w:rFonts w:ascii="Arial" w:cs="Arial" w:eastAsia="Arial" w:hAnsi="Arial"/>
          <w:sz w:val="18"/>
          <w:szCs w:val="18"/>
          <w:color w:val="auto"/>
        </w:rPr>
        <w:t>. In May 2020, our Kentucky health plan was selected as an awardee pursuant to the statewide Medicaid managed care RFP</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the Kentucky Cabinet for Health and Family Services, Department of Medicaid Services. On September 1, 2020, we closed on the acquisition of certain assets of Passport Health Plan, Inc., a Medicaid health plan, for a purchase price of $66 million. Effective on that same date, the Kentucky Medicaid agency approved the novation of Passport’s Medicaid contract to Molina Healthcare of Kentucky, Inc., thereby ensuring continuity of care for Passport’s Medicaid members.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Medicaid health plans may benefit from auto-assignment of individuals who do not choose a plan, but for whom participation in managed care programs is mandatory. Each state differs in its approach to auto-assignment, but 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 w:name="page11"/>
    <w:bookmarkEnd w:id="10"/>
    <w:p>
      <w:pPr>
        <w:ind w:right="160"/>
        <w:spacing w:after="0" w:line="254" w:lineRule="auto"/>
        <w:rPr>
          <w:sz w:val="20"/>
          <w:szCs w:val="20"/>
          <w:color w:val="auto"/>
        </w:rPr>
      </w:pPr>
      <w:r>
        <w:rPr>
          <w:rFonts w:ascii="Arial" w:cs="Arial" w:eastAsia="Arial" w:hAnsi="Arial"/>
          <w:sz w:val="18"/>
          <w:szCs w:val="18"/>
          <w:color w:val="auto"/>
        </w:rPr>
        <w:t>or more of the following criteria is typical in auto-assignment algorithms: a Medicaid beneficiary's previous enrollment with a health plan or experience with a particular provider contracted with a health plan, enrolling family 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Medicaid marketing efforts are regulated by the states in which we operate, each of which imposes different requirements for, or restrictions on, Medicaid sales and marketing. These requirements and restrictions are revised from time to time. None of the jurisdictions in which we operate permit direct sales by Medicaid health plans.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MEDICARE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Medicare Advantage. </w:t>
      </w:r>
      <w:r>
        <w:rPr>
          <w:rFonts w:ascii="Arial" w:cs="Arial" w:eastAsia="Arial" w:hAnsi="Arial"/>
          <w:sz w:val="18"/>
          <w:szCs w:val="18"/>
          <w:color w:val="auto"/>
        </w:rPr>
        <w:t>Medicare is a federal program that provides eligible persons age 65 and over and some disabled persons with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hospital, medical insurance, and prescription drug benefits. Medicare is funded by Congress, and administered by the Centers for Medicare and Medicaid Services (“CMS”). Medicare beneficiaries may enroll in a Medicare Advantage plan, under which managed care plans contract with CMS to provide benefits that are comparable to original Medicare. Such benefits are provided in exchange for a fixed per-member per-month (“PMPM”) premium payment that varies based on the county in which a member resides, the demographics of the member, and the member’s health condition. Since 2006, Medicare beneficiaries have had the option of selecting a prescription drug benefit from an existing Medicare Advantage plan. The drug benefit, available to beneficiaries for a monthly premium, is subject to certain cost sharing depending upon the specific benefit design of the selected plan.</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Medicare-Medicaid Plans, or MMPs</w:t>
      </w:r>
      <w:r>
        <w:rPr>
          <w:rFonts w:ascii="Arial" w:cs="Arial" w:eastAsia="Arial" w:hAnsi="Arial"/>
          <w:sz w:val="18"/>
          <w:szCs w:val="18"/>
          <w:color w:val="auto"/>
        </w:rPr>
        <w:t>. Over 12 million low-income elderly and disabled people qualify for both the Medicare and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 helping to cover Medicare’s premiums and cost-sharing requirements. Together, these two programs help to shield very low-income Medicare beneficiaries from potentially unaffordable out-of-pocket medical and long-term care costs. To coordinate care and deliver services in a more financially efficient manner, some states have undertaken demonstration programs to integrate Medicare and Medicaid services for dual-eligible individuals. The health plans participating in such demonstrations are referred to as MMPs. We operate MMPs in six states, as described further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enter into Medicare and MMP contracts with CMS, in partnership with each state’s department of health and human services. Such contracts typically have terms of one to three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MMP Contracts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California, Illinois and Ohio MMP contracts are effective through December 31, 2022, which represented aggregate premium revenue of approximately $947 million in 2020. Our South Carolina and Texas MMP contracts are effective through December 31, 2023, which represented aggregate premium revenue of approximately $492 million in 2020.</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Michigan, we have a one-year contract extension effective through December 31, 2021, which represented premium revenue of approximately $281 million in 2020. The state has submitted a formal letter of intent to extend the contract for five years through 2026; the five-year contract extension is under development.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2020, CMS announced its introduction of a new direct contracting model aimed at utilizing Medicaid Managed Care Organizations (“MCOs”) to increase holistic care coordination and improve outcomes for the dually eligible population. The new model will roll out in January 2022, with requests for applications expected to be released in early 2021. Participating MCO-based direct contracting entities will have new incentives to provide whole-person care and better serve their full-benefit dually eligible enrollees.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Medicare members may be enrolled through auto-assignment, as described above in “Medicaid—Member Enrollment and Marketing,” or by enrolling in our plans with the assistance of insurance agents employed by Molina, outside brokers, or via the Internet.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 benefits, describing the operations of our managed care plans, and providing information about eligibility requirements.</w:t>
      </w:r>
    </w:p>
    <w:p>
      <w:pPr>
        <w:spacing w:after="0" w:line="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828282"/>
        </w:rPr>
        <w:t>MARKETPLACE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Effective January 1, 2014, the Affordable Care Act (“ACA”) authorized the creation of Marketplace insurance exchanges, allowing individuals and small groups to purchase federally subsidized health insurance.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2021, we are participating in the Marketplace in all our markets except Idaho, Illinois, Kentucky, New York, and the Magellan Complete Care markets in Arizona, Massachusetts, and Virginia.</w:t>
      </w:r>
    </w:p>
    <w:p>
      <w:pPr>
        <w:spacing w:after="0" w:line="8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2021, we expect Marketplace enrollment to grow approximately 25%, to a total of 400,000 members at the end of 2021.This would represent premium revenue growth of approximately $485 million in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enter into contracts with CMS annually for the state Marketplace programs. These contracts have a one-year term ending on December 31, and must be renewed annually.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Special Enrollment Period. </w:t>
      </w:r>
      <w:r>
        <w:rPr>
          <w:rFonts w:ascii="Arial" w:cs="Arial" w:eastAsia="Arial" w:hAnsi="Arial"/>
          <w:sz w:val="18"/>
          <w:szCs w:val="18"/>
          <w:color w:val="auto"/>
        </w:rPr>
        <w:t>In January 2021, President Biden issued the</w:t>
      </w:r>
      <w:r>
        <w:rPr>
          <w:rFonts w:ascii="Arial" w:cs="Arial" w:eastAsia="Arial" w:hAnsi="Arial"/>
          <w:sz w:val="18"/>
          <w:szCs w:val="18"/>
          <w:i w:val="1"/>
          <w:iCs w:val="1"/>
          <w:color w:val="auto"/>
        </w:rPr>
        <w:t xml:space="preserve"> Executive Order on Strengthening Medicaid and the Affordable Care Act</w:t>
      </w:r>
      <w:r>
        <w:rPr>
          <w:rFonts w:ascii="Arial" w:cs="Arial" w:eastAsia="Arial" w:hAnsi="Arial"/>
          <w:sz w:val="18"/>
          <w:szCs w:val="18"/>
          <w:color w:val="auto"/>
        </w:rPr>
        <w:t>. As a result of the order, a new three-month special enrollment period will be launched to allow uninsured and under-insured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to obtain Marketplace coverage. The special enrollment period will be open from February 15, 2021 to May 15, 2021.</w:t>
      </w:r>
    </w:p>
    <w:p>
      <w:pPr>
        <w:spacing w:after="0" w:line="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Marketplace Risk Corridor Judgment. </w:t>
      </w:r>
      <w:r>
        <w:rPr>
          <w:rFonts w:ascii="Arial" w:cs="Arial" w:eastAsia="Arial" w:hAnsi="Arial"/>
          <w:sz w:val="18"/>
          <w:szCs w:val="18"/>
          <w:color w:val="auto"/>
        </w:rPr>
        <w:t>In April 2020, the United States Supreme Court held that §1342 of the Affordable Care Act obligated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government to pay participating insurers the full Marketplace risk corridor amounts calculated by that statute, and that impacted insurers may sue the federal government in the U.S. Court of Federal Claims to recover damages for breach of that obligation. In June 2020, the Claims Court granted us judgment in the amount of $128 million for 2014, 2015, and 2016 Marketplace risk corridor claims, which we received in October 2020. Consistent with the timing of the cash receipt, the gain was recognized in our fourth quarter 2020 financial results and reported in “Marketplace risk corridor judgment” in our consolidated statements of income. The judgment did not create additional Minimum MLR rebates.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2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Marketplace members enroll in our plans with the assistance of insurance agents employed by Molina, outside brokers, vendors, direct to consumer marketing and via the Internet.</w:t>
      </w:r>
    </w:p>
    <w:p>
      <w:pPr>
        <w:spacing w:after="0" w:line="6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8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Marketplace sales and marketing strategy is to provide high quality, affordable, compliant and consumer 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 CMS and the departments of insurance in the states in which we participate. Our sales cycle typically peaks during the annual Open Enrollment Period (“OEP”) as defined and regulated by CMS and the applicable FFM and SBM.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color w:val="828282"/>
        </w:rPr>
        <w:t>BASIS FOR PREMIUM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premium revenue by program for the periods indicated: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8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Medicare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2,243</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12"/>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16,208</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Under our Medicaid contracts, state government agencies pay our health plans fixed PMPM rates that vary by state, line of business, demographics and, in most instances, health risk factors. CMS requires these rates to be actuarially sound. In exchange for the payment received, Molina arranges, pays for, and manages healthcare services provided to Medicaid beneficiaries. Therefore, our health plans are at risk for the medical costs associated with their members’ healthcare. Payments to us under each of our Medicaid contracts are subject to each state’s annual appropriation process. The amount of the premiums paid to our health plans may vary substantially between states and among various government programs. For the year ended December 31, 2020, Medicaid program PMPM premium revenues ranged from $190.00 to $1,560.00.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Medicare Advantage, managed care plans contract with CMS to provide benefits in exchange for a fixed PMPM premium payment that varies based on health plan star rating and member demographics, including county residence and health risk factors. CMS also considers inflation, changes in utilization patterns and average per capita fee-for-service Medicare costs in the calculation of the fixed PMPM premium payment. Amounts payable to us under the Medicare Advantage contracts are subject to annual revision by CMS, including any federal budget cuts or tax changes applicable to Medicare. We elect to participate in each Medicare service area or region on an annual basis. Medicare Advantage premiums paid to us are subject to federal government reviews and audits which can result, and have resulted, in retroactive and prospective premium adjustments. Compared with our Medicaid plans, Medicare Advantage and MMP contracts generate higher average PMPM revenues and healthcare costs. For the year ended December 31, 2020, Medicare program PMPM premium revenues ranged from $1,060.00 to $3,150.00.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 federal authorities in accordance with the rules and regulations applicable to the ACA individual market, including, but not limited to, minimum loss ratio thresholds and adjustments for permissible rate variations by age, geographic area, and variations in plan design. In the year ended December 31, 2020, Marketplace program PMPM premium revenues ranged from $310.00 to $590.00, excluding the risk corridor judgment described above.</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COVID-19 PANDEMIC</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the COVID-19 pandemic continues to evolve, its ultimate impact to our business, results of operations, financial condition and cash flows is uncertain and difficult to predict. Specific trends and uncertainties related to our Health Plans segment follow.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Economic Stabilization Programs</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a result of the pandemic, various stabilization programs were enacted beginning in March 2020, which may impact our business directly or indirectly, including the following:</w:t>
      </w:r>
    </w:p>
    <w:p>
      <w:pPr>
        <w:spacing w:after="0" w:line="72" w:lineRule="exact"/>
        <w:rPr>
          <w:sz w:val="20"/>
          <w:szCs w:val="20"/>
          <w:color w:val="auto"/>
        </w:rPr>
      </w:pPr>
    </w:p>
    <w:p>
      <w:pPr>
        <w:ind w:left="660" w:right="380"/>
        <w:spacing w:after="0" w:line="282" w:lineRule="auto"/>
        <w:rPr>
          <w:sz w:val="20"/>
          <w:szCs w:val="20"/>
          <w:color w:val="auto"/>
        </w:rPr>
      </w:pPr>
      <w:r>
        <w:rPr>
          <w:rFonts w:ascii="Arial" w:cs="Arial" w:eastAsia="Arial" w:hAnsi="Arial"/>
          <w:sz w:val="18"/>
          <w:szCs w:val="18"/>
          <w:i w:val="1"/>
          <w:iCs w:val="1"/>
          <w:color w:val="auto"/>
        </w:rPr>
        <w:t xml:space="preserve">Coronavirus Preparedness and Response Supplemental Appropriations Act. </w:t>
      </w:r>
      <w:r>
        <w:rPr>
          <w:rFonts w:ascii="Arial" w:cs="Arial" w:eastAsia="Arial" w:hAnsi="Arial"/>
          <w:sz w:val="18"/>
          <w:szCs w:val="18"/>
          <w:color w:val="auto"/>
        </w:rPr>
        <w:t>Enacted on March 6, 2020, this legislation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$8.3 billion in COVID-19 response funding for developing a vaccine and preventing further spread of the virus.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3" w:name="page14"/>
    <w:bookmarkEnd w:id="13"/>
    <w:p>
      <w:pPr>
        <w:ind w:left="660" w:right="60"/>
        <w:spacing w:after="0" w:line="255" w:lineRule="auto"/>
        <w:rPr>
          <w:sz w:val="20"/>
          <w:szCs w:val="20"/>
          <w:color w:val="auto"/>
        </w:rPr>
      </w:pPr>
      <w:r>
        <w:rPr>
          <w:rFonts w:ascii="Arial" w:cs="Arial" w:eastAsia="Arial" w:hAnsi="Arial"/>
          <w:sz w:val="18"/>
          <w:szCs w:val="18"/>
          <w:i w:val="1"/>
          <w:iCs w:val="1"/>
          <w:color w:val="auto"/>
        </w:rPr>
        <w:t>Families First Coronavirus Response Act</w:t>
      </w:r>
      <w:r>
        <w:rPr>
          <w:rFonts w:ascii="Arial" w:cs="Arial" w:eastAsia="Arial" w:hAnsi="Arial"/>
          <w:sz w:val="18"/>
          <w:szCs w:val="18"/>
          <w:color w:val="auto"/>
        </w:rPr>
        <w:t>. Enacted on March 18, 2020, this legislation provided $100 billion in worker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temporarily increased each qualifying state and territory’s FMAP by 6.2% beginning January 1, 2020, and waived cost sharing for COVID-19 testing. The federal government guarantees matching funds to states for qualifying Medicaid expenditures based on each state’s FMAP. The enhanced FMAP rate has been extended through the end of the second quarter of 2021. The accompanying requirement that bans the loss of coverage from state eligibility redeterminations has been extended through the end of April 2021. Redetermination is the process through which Medicaid enrollees demonstrate whether they continue to meet the requirements for participation in the Medicaid program, in particular maximum household income. This is likely a positive indicator for continued membership gains, and to provide more support for an actuarially sound rate environment.</w:t>
      </w:r>
    </w:p>
    <w:p>
      <w:pPr>
        <w:spacing w:after="0" w:line="77"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i w:val="1"/>
          <w:iCs w:val="1"/>
          <w:color w:val="auto"/>
        </w:rPr>
        <w:t>Coronavirus Aid, Relief, and Economic Security Act (the “CARES Act”)</w:t>
      </w:r>
      <w:r>
        <w:rPr>
          <w:rFonts w:ascii="Arial" w:cs="Arial" w:eastAsia="Arial" w:hAnsi="Arial"/>
          <w:sz w:val="18"/>
          <w:szCs w:val="18"/>
          <w:color w:val="auto"/>
        </w:rPr>
        <w:t>. Enacted on March 27, 2020, the CARES Act provided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$2 trillion to fight the COVID-19 pandemic and stimulate the U.S. economy. This assistance included loans and support to major industries, including airlines and small businesses, direct payments to individuals and families, and $175 billion in relief funds to hospitals and other healthcare providers.</w:t>
      </w:r>
    </w:p>
    <w:p>
      <w:pPr>
        <w:spacing w:after="0" w:line="7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Paycheck Protection Program and Health Care Enhancement Act</w:t>
      </w:r>
      <w:r>
        <w:rPr>
          <w:rFonts w:ascii="Arial" w:cs="Arial" w:eastAsia="Arial" w:hAnsi="Arial"/>
          <w:sz w:val="18"/>
          <w:szCs w:val="18"/>
          <w:color w:val="auto"/>
        </w:rPr>
        <w:t>. Enacted on April 24, 2020, this legislation provided $310 billion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depleted Paycheck Protection Program, and additional funding for hospitals and testing.</w:t>
      </w:r>
    </w:p>
    <w:p>
      <w:pPr>
        <w:spacing w:after="0" w:line="54" w:lineRule="exact"/>
        <w:rPr>
          <w:sz w:val="20"/>
          <w:szCs w:val="20"/>
          <w:color w:val="auto"/>
        </w:rPr>
      </w:pPr>
    </w:p>
    <w:p>
      <w:pPr>
        <w:ind w:left="660" w:right="80"/>
        <w:spacing w:after="0" w:line="256" w:lineRule="auto"/>
        <w:rPr>
          <w:sz w:val="20"/>
          <w:szCs w:val="20"/>
          <w:color w:val="auto"/>
        </w:rPr>
      </w:pPr>
      <w:r>
        <w:rPr>
          <w:rFonts w:ascii="Arial" w:cs="Arial" w:eastAsia="Arial" w:hAnsi="Arial"/>
          <w:sz w:val="18"/>
          <w:szCs w:val="18"/>
          <w:i w:val="1"/>
          <w:iCs w:val="1"/>
          <w:color w:val="auto"/>
        </w:rPr>
        <w:t xml:space="preserve">Coronavirus Response and Relief Supplemental Appropriations Act. </w:t>
      </w:r>
      <w:r>
        <w:rPr>
          <w:rFonts w:ascii="Arial" w:cs="Arial" w:eastAsia="Arial" w:hAnsi="Arial"/>
          <w:sz w:val="18"/>
          <w:szCs w:val="18"/>
          <w:color w:val="auto"/>
        </w:rPr>
        <w:t>Enacted on December 27, 2020, this $ 900 billion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stimulus package was attached to a $1.4 trillion omnibus spending bill to fund the U.S. government through September 30, 2021. The legislation aims to support the U.S. economy by reauthorizing and providing additional funding for the fiscal support programs established by the CARES Act, and included small business relief funding of $325 billion, $82 billion in school funding, $69 billion for vaccine procurement and distribution, direct payments to individuals and families, and extended unemployment benefits, among other relief funding.</w:t>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Due to the uncertainty as to the duration and breadth of the COVID-19 pandemic, we are unable to reasonably estimate the ultimate impact of the economic stabilization programs to our business, financial condition, and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Plan Operations</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pandemic has impacted our business, and we currently expect it to further impact our business in the areas described below. In 2020, the combination of COVID-related impacts netted to a significant negative impact on earnings.</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Medical Care Costs and Demand for Healthcare Services. </w:t>
      </w:r>
      <w:r>
        <w:rPr>
          <w:rFonts w:ascii="Arial" w:cs="Arial" w:eastAsia="Arial" w:hAnsi="Arial"/>
          <w:sz w:val="18"/>
          <w:szCs w:val="18"/>
          <w:color w:val="auto"/>
        </w:rPr>
        <w:t>Beginning in early 2020 the pandemic, along with the related quarantine and</w:t>
      </w:r>
      <w:r>
        <w:rPr>
          <w:rFonts w:ascii="Arial" w:cs="Arial" w:eastAsia="Arial" w:hAnsi="Arial"/>
          <w:sz w:val="18"/>
          <w:szCs w:val="18"/>
          <w:i w:val="1"/>
          <w:iCs w:val="1"/>
          <w:color w:val="auto"/>
        </w:rPr>
        <w:t xml:space="preserve"> </w:t>
      </w:r>
      <w:r>
        <w:rPr>
          <w:rFonts w:ascii="Arial" w:cs="Arial" w:eastAsia="Arial" w:hAnsi="Arial"/>
          <w:sz w:val="18"/>
          <w:szCs w:val="18"/>
          <w:color w:val="auto"/>
        </w:rPr>
        <w:t>social distancing measures, reduced demand for certain routine and non-critical medical services, while at the same time increased demand for other medical services, such as COVID-19 testing and emergency services. Early in the second quarter of 2020, we began to experience significantly lower utilization in a variety of cost categories, representing approximately two-thirds of our total medical cost spend, with utilization levels increasing slowly as the year progressed. We experienced several significant COVID-related impacts on medical care costs in 2020 as follows:</w:t>
      </w:r>
    </w:p>
    <w:p>
      <w:pPr>
        <w:spacing w:after="0" w:line="97" w:lineRule="exact"/>
        <w:rPr>
          <w:sz w:val="20"/>
          <w:szCs w:val="20"/>
          <w:color w:val="auto"/>
        </w:rPr>
      </w:pPr>
    </w:p>
    <w:p>
      <w:pPr>
        <w:ind w:left="660" w:right="1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to care for COVID patients totaled $205 million in 2020, as a resurgence of COVID infections and episodes occurred in places such as Texas and California, and also disproportionately impacted certain of our Marketplace members.</w:t>
      </w:r>
    </w:p>
    <w:p>
      <w:pPr>
        <w:ind w:left="660" w:right="4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2020, utilization was curtailed, and generally remained below normal levels for the remainder of the year. The effect of the curtailed utilization, net of the direct cost to care discussed above, reduced medical care costs and increased pretax earnings by approximately $420 million.</w:t>
      </w:r>
    </w:p>
    <w:p>
      <w:pPr>
        <w:spacing w:after="0" w:line="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acquisitions and our planned exit from Puerto Rico, we have added approximately 415,000 new Medicaid members since March 31, 2020, and we believe that the acuity of that population is lower than our average.</w:t>
      </w:r>
    </w:p>
    <w:p>
      <w:pPr>
        <w:spacing w:after="0" w:line="9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With regard to the recently approved vaccines, all such vaccines are purchased by the federal government, at no cost to us or our members. For our Medicaid and Marketplace members, we will cover the costs to administer the vaccine, which we do not expect to be significant. The costs to administer the vaccine to our Medicare members is generally covered by CMS.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ind w:right="100"/>
        <w:spacing w:after="0" w:line="256" w:lineRule="auto"/>
        <w:rPr>
          <w:sz w:val="20"/>
          <w:szCs w:val="20"/>
          <w:color w:val="auto"/>
        </w:rPr>
      </w:pPr>
      <w:r>
        <w:rPr>
          <w:rFonts w:ascii="Arial" w:cs="Arial" w:eastAsia="Arial" w:hAnsi="Arial"/>
          <w:sz w:val="18"/>
          <w:szCs w:val="18"/>
          <w:i w:val="1"/>
          <w:iCs w:val="1"/>
          <w:color w:val="auto"/>
        </w:rPr>
        <w:t>Medicaid Premium Actions</w:t>
      </w:r>
      <w:r>
        <w:rPr>
          <w:rFonts w:ascii="Arial" w:cs="Arial" w:eastAsia="Arial" w:hAnsi="Arial"/>
          <w:sz w:val="18"/>
          <w:szCs w:val="18"/>
          <w:color w:val="auto"/>
        </w:rPr>
        <w:t>. In 2020, various states enacted temporary premium refunds and related actions in response to the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medical services stemming from COVID-19, which resulted in a reduction of our medical margin. In some cases, these premium actions were retroactive to earlier periods in 2020, or as early as the beginning of the states’ fiscal years in 2019. Beginning in the second quarter of 2020, we have recognized retroactive premium actions that we believe to be probable, and where the ultimate premium amount is reasonably estimable. We recognized $564 million related to these retroactive premium refunds, in the aggregate, in 2020, including approximately $37 million related to MMP plans.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position on rate adequacy has been consistent:</w:t>
      </w:r>
    </w:p>
    <w:p>
      <w:pPr>
        <w:spacing w:after="0" w:line="117" w:lineRule="exact"/>
        <w:rPr>
          <w:sz w:val="20"/>
          <w:szCs w:val="20"/>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intend, nor do we want, to keep state Medicaid money that was supposed to be spent on medical benefits but was not due to utilization curtailment caused by COVID;</w:t>
      </w:r>
    </w:p>
    <w:p>
      <w:pPr>
        <w:ind w:left="660" w:right="5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many of our legacy Medicaid states, there are already mechanisms in place to protect against a surplus margin, as there are Minimum MLRs in seven of our states and profit caps in two others; and</w:t>
      </w:r>
    </w:p>
    <w:p>
      <w:pPr>
        <w:ind w:left="660" w:right="4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Once the COVID-19 pandemic abates, we believe that the traditional process of establishing prospective actuarially sound rates based on a credible medical cost baseline and cost trend off that baseline will resume.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Medicaid premium actions, COVID may impact premium revenue in our Medicare and Marketplace programs. For these programs, which utilize risk adjustment methodologies, medical care patterns disrupted by COVID may temporarily affect our ability to obtain complete member health status information.</w:t>
      </w:r>
    </w:p>
    <w:p>
      <w:pPr>
        <w:spacing w:after="0" w:line="7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i w:val="1"/>
          <w:iCs w:val="1"/>
          <w:color w:val="auto"/>
        </w:rPr>
        <w:t>Member Enrollment</w:t>
      </w:r>
      <w:r>
        <w:rPr>
          <w:rFonts w:ascii="Arial" w:cs="Arial" w:eastAsia="Arial" w:hAnsi="Arial"/>
          <w:sz w:val="18"/>
          <w:szCs w:val="18"/>
          <w:color w:val="auto"/>
        </w:rPr>
        <w:t>. Excluding acquisitions and our planned exit from Puerto Rico, we have added approximately 415,000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w:t>
      </w:r>
    </w:p>
    <w:p>
      <w:pPr>
        <w:spacing w:after="0" w:line="8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It remains unclear how high the COVID-related membership peak will be, how quickly it will fall as the economy recovers, and where it will ultimately settle. However it does now appear that since unemployment nationally has fallen to 6.3% as of January 2021, the initial industry estimates of unemployment-related Medicaid membership increases were somewhat overstated. On a related note, the declaration of the extension of the public health emergency period to April 2021, with a potential extension from the Biden administration for the public health emergency to remain in place for all of 2021, will also likely have an impact. Therefore, we are currently unable to predict the timing or amount of the expected increases in enrollment. Increased membership would increase our premium revenue, but would also likely result in a significant increase in medical care claims and related costs. We believe that we have the scalability necessary to both serve new members, and ably partner with our state customers for increases in membership.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Financial Resources</w:t>
      </w:r>
      <w:r>
        <w:rPr>
          <w:rFonts w:ascii="Arial" w:cs="Arial" w:eastAsia="Arial" w:hAnsi="Arial"/>
          <w:sz w:val="18"/>
          <w:szCs w:val="18"/>
          <w:color w:val="auto"/>
        </w:rPr>
        <w:t>. Refer to “Liquidity and Financial Condition” below for a discussion of our capital and financial resources.</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LEGISLATIVE AND POLITICAL ENVIRONMENT</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PRESSURES ON MEDICAID FUNDING</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Due to states’ budget challenges, including shortfalls resulting from the COVID-19 pandemic,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healthcare and, if enacted, could have a material adverse effect on our business, financial condition, cash flows, or results of operations. These proposals include elements such as the following, as well as numerous other potential changes and reforms: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ind w:left="660" w:right="780" w:hanging="328"/>
        <w:spacing w:after="0" w:line="26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entitlement nature of Medicaid (and perhaps Medicare as well) by capping future increases in federal health spending for these programs, and shifting much more of the risk for health costs in the future to states and consumers;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Medicaid beneficiaries to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Constitutionality Court Case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individual mandate of the Affordable Care Act (the “ACA”)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 Supreme Court, and the Supreme Court heard oral arguments in the case on November 10, 2020. The Supreme Court’s decision is expected by June 2021. If the Supreme Court were to rule that the individual mandate is unconstitutional, and that the individual mandate is not severable from the balance of the ACA, or that the entirety of the ACA is unconstitutional, that ruling could have a material adverse effect on our business, financial condition, cash flows, or results of operations.</w:t>
      </w:r>
    </w:p>
    <w:p>
      <w:pPr>
        <w:spacing w:after="0" w:line="10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of December 31, 2020, we served a significant number of members enrolled in programs created by the ACA, including approximately 771,000 Medicaid Expansion members and 318,000 Marketplace members. In the year ended December 31, 2020, premium revenue associated with these members amounted to $4,904 million, and contributed Medical Margin of $826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Proposed Changes and Reforms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proposed changes and reforms to the ACA have included, or may include the following: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the federal government from operating Marketplaces;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Eliminating the advanced premium tax credits, and cost sharing reductions for low income individuals who purchase their health insurance through the Marketplaces;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and encouraging the use of private health savings accounts;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insurance plans that offer fewer and less extensive health insurance benefits than under the ACA’s essential health benefits package, including broader use of catastrophic coverage plans, or short-term health insurance;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funding high risk pools or reinsurance programs for individuals with chronic or high cost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Allowing insurers to sell insurance across state lines.</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passage of any of these changes or other reforms could have a material adverse effect on our business, financial condition, cash flows, or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OPERATIONS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QUALITY</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long-term success depends, to a significant degree, on the quality of the services we provide. As of December 31, 2020, 13 of our health plans were accredited by the National Committee for Quality Assurance (“NCQA”), of which 12 of those health plans also received the Multicultural Health Care Distinction, which is awarded to organizations that meet or exceed NCQA’s rigorous requirements for multicultural healthcare.</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right="560"/>
        <w:spacing w:after="0" w:line="256" w:lineRule="auto"/>
        <w:rPr>
          <w:sz w:val="20"/>
          <w:szCs w:val="20"/>
          <w:color w:val="auto"/>
        </w:rPr>
      </w:pPr>
      <w:r>
        <w:rPr>
          <w:rFonts w:ascii="Arial" w:cs="Arial" w:eastAsia="Arial" w:hAnsi="Arial"/>
          <w:sz w:val="18"/>
          <w:szCs w:val="18"/>
          <w:color w:val="auto"/>
        </w:rPr>
        <w:t>We believe that these objective measures of quality are important to state Medicaid agencies, as a growing number of states link reimbursement and patient assignment to quality scores. Additionally, Medicare pays quality bonuses to health plans that achieve high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-7620</wp:posOffset>
            </wp:positionV>
            <wp:extent cx="4714875" cy="3900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__________________</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NCQA Health Insurance Plan Ratings for 2020-2021 (Medicaid) have not been released due to COVID-19.</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28282"/>
        </w:rPr>
        <w:t>PROVIDERS</w:t>
      </w:r>
    </w:p>
    <w:p>
      <w:pPr>
        <w:spacing w:after="0" w:line="11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arrange healthcare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 insight into the needs of both our members and our providers.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healthcare providers receive fixed, pre-arranged monthly payments per enrolled member, whereas under fee-for-service payment arrangements, healthcare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Hospitals</w:t>
      </w:r>
    </w:p>
    <w:p>
      <w:pPr>
        <w:spacing w:after="0" w:line="13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generally contract with hospitals that have significant experience dealing with the medical needs of the Medicaid population. We reimburse hospitals under a variety of payment methods, including fee-for-service, per diems,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diagnostic-related groups, capitation, and case rates.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Providers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outsource pharmacy benefit management services, including claims processing, pharmacy network contracting, rebate processing and mail and specialty pharmacy fulfillment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consolidated medical care costs by type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3"/>
                <w:szCs w:val="13"/>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6"/>
                <w:szCs w:val="16"/>
                <w:b w:val="1"/>
                <w:bCs w:val="1"/>
                <w:color w:val="auto"/>
              </w:rPr>
              <w:t>PMPM</w:t>
            </w:r>
          </w:p>
        </w:tc>
        <w:tc>
          <w:tcPr>
            <w:tcW w:w="1500" w:type="dxa"/>
            <w:vAlign w:val="bottom"/>
          </w:tcPr>
          <w:p>
            <w:pPr>
              <w:ind w:left="580"/>
              <w:spacing w:after="0" w:line="156"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3"/>
                <w:szCs w:val="13"/>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6"/>
                <w:szCs w:val="16"/>
                <w:b w:val="1"/>
                <w:bCs w:val="1"/>
                <w:color w:val="auto"/>
              </w:rPr>
              <w:t>PMPM</w:t>
            </w:r>
          </w:p>
        </w:tc>
        <w:tc>
          <w:tcPr>
            <w:tcW w:w="1520" w:type="dxa"/>
            <w:vAlign w:val="bottom"/>
          </w:tcPr>
          <w:p>
            <w:pPr>
              <w:jc w:val="right"/>
              <w:ind w:right="519"/>
              <w:spacing w:after="0" w:line="156"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60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 except PMPM amounts)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75.1 %</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Pharmacy</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45.37</w:t>
            </w:r>
          </w:p>
        </w:tc>
        <w:tc>
          <w:tcPr>
            <w:tcW w:w="120" w:type="dxa"/>
            <w:vAlign w:val="bottom"/>
          </w:tcPr>
          <w:p>
            <w:pPr>
              <w:spacing w:after="0"/>
              <w:rPr>
                <w:sz w:val="18"/>
                <w:szCs w:val="18"/>
                <w:color w:val="auto"/>
              </w:rPr>
            </w:pP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4"/>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356.65</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340.99</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20" w:lineRule="exact"/>
        <w:rPr>
          <w:sz w:val="20"/>
          <w:szCs w:val="20"/>
          <w:color w:val="auto"/>
        </w:rPr>
      </w:pPr>
    </w:p>
    <w:p>
      <w:pPr>
        <w:ind w:left="340" w:right="200" w:hanging="332"/>
        <w:spacing w:after="0" w:line="253"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includes all medically-related administrative costs, certain provider incentive costs, provider claims, and other healthcare expenses. Medically-related administrative costs include, for example, expenses relating to health education, quality assurance, case management, care coordination, disease management, and 24-hour on-call nurses.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828282"/>
        </w:rPr>
        <w:t>MEDICAL MANAGEMENT</w:t>
      </w:r>
    </w:p>
    <w:p>
      <w:pPr>
        <w:spacing w:after="0" w:line="11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mission is to improve the health and lives of our members by delivering high-quality healthcare. We believe our singular focus on government-sponsored healthcare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Management</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goal is to optimize access to low-cost, high-quality care. This is achieved by sound clinical policy based on current evidence-based practices. Additionally, we continuously monitor utilization patterns and strive to identify new opportunities to reduce cost and improve quality of care. Our utilization management process serves as a bridge to identify at-risk members for referral into internally developed case management programs such as “</w:t>
      </w:r>
      <w:r>
        <w:rPr>
          <w:rFonts w:ascii="Arial" w:cs="Arial" w:eastAsia="Arial" w:hAnsi="Arial"/>
          <w:sz w:val="18"/>
          <w:szCs w:val="18"/>
          <w:i w:val="1"/>
          <w:iCs w:val="1"/>
          <w:color w:val="auto"/>
        </w:rPr>
        <w:t>Transitions of Care</w:t>
      </w:r>
      <w:r>
        <w:rPr>
          <w:rFonts w:ascii="Arial" w:cs="Arial" w:eastAsia="Arial" w:hAnsi="Arial"/>
          <w:sz w:val="18"/>
          <w:szCs w:val="18"/>
          <w:color w:val="auto"/>
        </w:rPr>
        <w:t>,” which facilitates post-discharge safety and appropriate outcomes.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Management</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 comprehensive and customized approach is designed to help members achieve their goals and improve their overall quality of life.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Management</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 w:name="page19"/>
    <w:bookmarkEnd w:id="18"/>
    <w:p>
      <w:pPr>
        <w:spacing w:after="0"/>
        <w:rPr>
          <w:sz w:val="20"/>
          <w:szCs w:val="20"/>
          <w:color w:val="auto"/>
        </w:rPr>
      </w:pPr>
      <w:r>
        <w:rPr>
          <w:rFonts w:ascii="Arial" w:cs="Arial" w:eastAsia="Arial" w:hAnsi="Arial"/>
          <w:sz w:val="25"/>
          <w:szCs w:val="25"/>
          <w:color w:val="828282"/>
        </w:rPr>
        <w:t>INFORMATION TECHNOLOGY</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In 2019, we entered into an agreement with a third-party vendor who manages certain of our information technology services including, among other things, our infrastructure operations, end-user services, data centers, public cloud and application management. As a result of the agreement, we were able to reduce our administrative expenses, while improving the reliability of our information technology functions, and maintain targeted levels of service and operating performance. A segment of these services are provided on our premises, while other portions of the services are performed at the vendor’s facilities.</w:t>
      </w:r>
    </w:p>
    <w:p>
      <w:pPr>
        <w:spacing w:after="0" w:line="9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acquisitions and increased security risks.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CENTRALIZED SERVICES</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COMPETITIVE CONDITIONS AND ENVIRONMENT</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Medicaid managed care industry is subject to ongoing changes as a result of healthcare reform, business consolidations and new strategic alliances. We compete with national, regional, and local Medicaid service providers, principally on the basis of size, location, quality of the provider network, quality of service, and reputation. Our primary competitors in the Medicaid managed care industry include Centene Corporation, UnitedHealth Group Incorporated, Anthem, Inc., Aetna Inc., and other large not-for-profit healthcare organizations. Competition can vary considerably from state to state.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Medicare market is highly competitive across the country, with large competitors, such as UnitedHealth Group Incorporated, Humana Inc., and Aetna Inc., holding significant market share.</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Low-income members who receive government subsidies comprise the vast majority of Marketplace membership, which is served by a limited number of health plans. Our primary competitor for low-income Marketplace membership is Centene Corporation.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REGULATION</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Such agencies have become increasingly active in recent years in their review and scrutiny of health insurers and managed care organizations, including those operating in the Medicaid and Medicare programs.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HIPAA AND THE HITECH ACT</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1996, Congress enacted the Health Insurance Portability and Accountability Act (“HIPAA”). All health plans are subject to HIPAA, including ours. HIPAA generally requires health plans to:</w:t>
      </w:r>
    </w:p>
    <w:p>
      <w:pPr>
        <w:spacing w:after="0" w:line="90" w:lineRule="exact"/>
        <w:rPr>
          <w:sz w:val="20"/>
          <w:szCs w:val="20"/>
          <w:color w:val="auto"/>
        </w:rPr>
      </w:pPr>
    </w:p>
    <w:p>
      <w:pPr>
        <w:ind w:left="660" w:right="8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the capability to receive and transmit electronically certain administrative healthcare transactions, such as claims payments, in a standardized format;</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Afford privacy to patient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 the privacy of patient health information through physical and electronic security measures.</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and/or a business associate. HIPAA privacy regulations do not preempt more stringent state laws and regulations that may apply to us.</w:t>
      </w:r>
    </w:p>
    <w:p>
      <w:pPr>
        <w:spacing w:after="0" w:line="9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maintain a HIPAA compliance program, which we believe complies with HIPAA privacy and security regulations, and have dedicated resources to monitor compliance with this program.</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Healthcare reform created additional tools for fraud prevention, including increased oversight of providers and suppliers participating or enrolling in Medicaid, CHIP, and Medicare. Those enhancements included mandatory licensure for all providers, and site visits, fingerprinting, and criminal background checks for higher risk providers.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FRAUD AND ABUSE LAWS AND THE FALSE CLAIMS ACT</w:t>
      </w:r>
    </w:p>
    <w:p>
      <w:pPr>
        <w:spacing w:after="0" w:line="1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0" w:name="page21"/>
    <w:bookmarkEnd w:id="20"/>
    <w:p>
      <w:pPr>
        <w:ind w:right="140"/>
        <w:spacing w:after="0" w:line="252"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can be brought by any individual on behalf of the government.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have to defend a false claim action, pay fines, or be excluded from the Medicare, Medicaid, or other state or federal healthcare programs as a result of an investigation arising out of such action.</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828282"/>
        </w:rPr>
        <w:t>LICENSING AND SOLVENCY</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health plans are generally licensed by the insurance departments in the states in which they operate, except the following: our California health plan is licensed by the California Department of Managed Health Care; one of our New York health plans is licensed as a prepaid health services plan by the New York State Department of Health; and our Massachusetts Plan acquired on December 31, 2020, is regulated as a risk-bearing entity by the Massachusetts Executive Office of Health and Human Services.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15, “Commitments and Contingencies—Regulatory Capital Requirements and Dividend Restrictions.”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HUMAN CAPITAL</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2020, we had approximately 10,500 employees, and added approximately 2,500 employees from the Magellan Complete Care and Passport acquisitions, effective January 1, 2021. Our employee base is multicultural and reflects the diverse membership we serve.</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Over the past few years, management has launched a workplace modernization program that regularly introduces new human capital programs related to development, compensation and other workplace practices. We believe this workplace modernization program will allow us to achieve our overarching goal to become a destination employer in the government-sponsored healthcare industry.</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Examples of recent programs include a cash bonus plan for all non-executive employees, improvements to our employee benefits, development resources for all employees, enhanced employee recognition programs, and the launch of a formal diversity, equity, and inclusion program. Additionally, we routinely engage with employees through use of engagement surveys, to evaluate employee satisfaction and obtain feedback on various facets of employee-related matters including workplace modernization programs.</w:t>
      </w:r>
    </w:p>
    <w:p>
      <w:pPr>
        <w:spacing w:after="0" w:line="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Management continually evaluates human capital opportunities such as employee retention, engagement, succession planning and talent pipelines, performance rating distributions, and associated compensation actions. The board of directors is updated regularly on employee engagement, key executive vacancies, succession planning and workplace modernization progress.</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also offer formal leadership development programs such as new leader orientation, executive onboarding, front- line leadership essentials, and experienced leader training. We have targeted development plans for critical roles in the organization with an emphasis on leadership and business skills.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invest in our workforce by offering competitive salaries and wages, as well as other employee benefits. Our compensation programs are designed to attract, retain, motivate, and reward employees, and recruit new employees. In addition, to foster a stronger sense of ownership and align the interests of employees with shareholders, we offer employees ownership in Molina through an employee stock purchase program, and grant eligible employees equity-based compensation under our equity incentive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 comprehensive suite of benefits to all eligible employees, including, among others:</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Comprehensive health insurance coverage for employees working 30 hours or more per week;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401(k) matching contributions of up to 100% on the first 4% contributed by the employee;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time off that provides employees with paid time away from work, combining vacation and sick leave;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COVID-19 time off that provides employees with up to 80 hours of paid time away from work to recover from COVID-19;</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ind w:left="660" w:right="2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Volunteer time off that provides employees with paid time away from work to build strong community partnerships and connect with the people we serve;</w:t>
      </w:r>
    </w:p>
    <w:p>
      <w:pPr>
        <w:ind w:left="660" w:right="3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wellness programs that provide tools and incentives to live a healthy life focusing on physical, emotional, financial and work well-being;</w:t>
      </w:r>
    </w:p>
    <w:p>
      <w:pPr>
        <w:ind w:left="660" w:right="4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 to ten dependent-care back-up visits per year for a low co-pay, and five hours of homework and tutoring support per child per month at no cost;</w:t>
      </w:r>
    </w:p>
    <w:p>
      <w:pPr>
        <w:ind w:left="660" w:right="5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assistance program benefits that provides up to six confidential counseling sessions per rolling 12-month period and includes assistance with physical, emotional, and financial related matters;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discount and other programs, including tuition reimbursement.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AVAILABLE INFORMATION</w:t>
      </w:r>
    </w:p>
    <w:p>
      <w:pPr>
        <w:spacing w:after="0" w:line="1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principal executive offices are located at 200 Oceangate, Suite 100, Long Beach, California 90802, and our telephone number is (562) 435-3666. The Company also maintains corporate offices in New York City, New York.</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 can access our website at </w:t>
      </w:r>
      <w:r>
        <w:rPr>
          <w:rFonts w:ascii="Arial" w:cs="Arial" w:eastAsia="Arial" w:hAnsi="Arial"/>
          <w:sz w:val="18"/>
          <w:szCs w:val="18"/>
          <w:i w:val="1"/>
          <w:iCs w:val="1"/>
          <w:color w:val="auto"/>
        </w:rPr>
        <w:t>www.molinahealthcare.com</w:t>
      </w:r>
      <w:r>
        <w:rPr>
          <w:rFonts w:ascii="Arial" w:cs="Arial" w:eastAsia="Arial" w:hAnsi="Arial"/>
          <w:sz w:val="18"/>
          <w:szCs w:val="18"/>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and Code of Business Conduct and Ethics. We make periodic reports and amendments available, free of charge, as soon as reasonably practicable after we file or furnish these reports to the U.S. Securities and Exchange Commission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 The risks described in the following section are not the only risks facing our Company.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 risks that we are unaware of, or that we currently believe are not material, may also become important factors that adversely affect our business. In addition to the risks relating to the COVID-19 pandemic that are specifically described in these risk factors, the effects of the COVID-19 pandemic may also have the effect of significantly heightening many of the other risks associated with our business, including those described below.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RISKS RELATED TO OUR INDUSTRY</w:t>
      </w:r>
    </w:p>
    <w:p>
      <w:pPr>
        <w:spacing w:after="0" w:line="9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cash flows, and results of operations will continue to be impacted by the COVID-19 pandemic, and the extent of such impact cannot be reasonably foreseen at this time.</w:t>
      </w:r>
    </w:p>
    <w:p>
      <w:pPr>
        <w:spacing w:after="0" w:line="6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currently expect that the COVID-19 pandemic will continue to impact our business, financial condition, cash flows, and results of operations in a number of ways, including the following:</w:t>
      </w:r>
    </w:p>
    <w:p>
      <w:pPr>
        <w:spacing w:after="0" w:line="90" w:lineRule="exact"/>
        <w:rPr>
          <w:sz w:val="20"/>
          <w:szCs w:val="20"/>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will have an adverse impact on the health of an indeterminate number of our members, resulting in increases in their medical care costs, as well as increased costs related to testing and vaccination protocols;</w:t>
      </w:r>
    </w:p>
    <w:p>
      <w:pPr>
        <w:ind w:left="660" w:right="1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and variability associated with the demand for medical services may lead states to pursue retroactive rate refunds (as has already occurred in certain instances), or to impose medical cost risk corridors or rate cuts that exceed the ultimate demand for medical services;</w:t>
      </w:r>
    </w:p>
    <w:p>
      <w:pPr>
        <w:spacing w:after="0" w:line="1" w:lineRule="exact"/>
        <w:rPr>
          <w:rFonts w:ascii="Arial" w:cs="Arial" w:eastAsia="Arial" w:hAnsi="Arial"/>
          <w:sz w:val="18"/>
          <w:szCs w:val="18"/>
          <w:color w:val="auto"/>
        </w:rPr>
      </w:pPr>
    </w:p>
    <w:p>
      <w:pPr>
        <w:ind w:left="660" w:right="48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Disrupted care patterns, as a result of the pandemic, may temporarily affect the ability to obtain complete member health status information, impacting future revenue in our Medicare and Marketplace lines of business, which utilize risk adjustment methodologies;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right="1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the pandemic’s impact on the national economy, state tax revenues have declined significantly and may not recover in 2021, resulting in the extension of risk corridors or rate cuts, and also threatening the ability of states to make timely monthly capitation payments to us;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reduced demand for certain routine and non-critical medical services has created financial stress for certain providers and could result in the insolvency of such providers;</w:t>
      </w:r>
    </w:p>
    <w:p>
      <w:pPr>
        <w:ind w:left="660" w:right="2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pandemic may continue to cause increased volatility in the capital markets and such volatility could have a negative impact on our ability to access those markets on acceptable terms;</w:t>
      </w:r>
    </w:p>
    <w:p>
      <w:pPr>
        <w:ind w:left="660" w:right="1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continue to incur increased costs associated with the measures we are currently implementing and planning to implement to mitigate the implications of the COVID-19 pandemic;</w:t>
      </w:r>
    </w:p>
    <w:p>
      <w:pPr>
        <w:ind w:left="660" w:right="5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continuing work-from-home status of our workforce may heighten the risk of a cybersecurity incident or HIPAA (as defined below) breach; and</w:t>
      </w:r>
    </w:p>
    <w:p>
      <w:pPr>
        <w:ind w:left="660" w:right="2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pandemic may impact the ability of our outsourced information technology service providers, and other third-party vendors, to perform contracted services.</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Due to the uncertainty around the duration and breadth of the COVID-19 pandemic and its broad cascading effects, the ultimate impact on our business, financial condition, cash flows, and operating results cannot be reasonably estimated at this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uncertain political and judicial environment which creates uncertainties with regard to our future prospects.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individual mandate of the Affordable Care Act (the “ACA”)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Supreme Court, and the Supreme Court heard oral arguments in the case on November 10, 2020. The Supreme Court’s decision is expected by June 2021. If the Supreme Court were to rule that the individual mandate is unconstitutional, and that the individual mandate is not severable from the balance of the ACA, or that the entirety of the ACA is unconstitutional, that ruling could have a material adverse effect on our business, financial condition, cash flows, or results of operations.</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State and federal budget deficits may result in Medicaid, CHIP, or Medicare funding cuts which could have a material adverse effect on our business, financial condition, cash flows, or results of operations.</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Nearly all of our premium revenues come from the joint federal and state funding of the Medicaid, Medicare, and CHIP programs. The states in which we operate regularly face significant budgetary pressures. State budgetary pressures may result in unexpected Medicaid, CHIP, or Medicare rate cuts which could reduce our revenues and profit margins. For example, in 2020, various states enacted temporary premium refunds and related actions in response to the reduced demand for medical services stemming from COVID-19, which resulted in a reduction of our medical margin. In some cases, these premium actions were retroactive to earlier periods in 2020, or as early as the beginning of the states’ fiscal years in 2019. Beginning in the second quarter of 2020, we have recognized retroactive premium actions that we believe to be probable, and where the ultimate premium amount is reasonably estimable. We recognized $ 564 million related to these retroactive premium actions, in the aggregate, in 2020. It is possible that certain states could increase the level of existing premium refunds, and it is also possible that other states could implement some form of retroactive premium refund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The Medicare-Medicaid Duals Demonstration Pilot Programs could be discontinued or altered, resulting in a loss of premium revenue.</w:t>
      </w:r>
    </w:p>
    <w:p>
      <w:pPr>
        <w:spacing w:after="0" w:line="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coordinate care for those who qualify to receive both Medicare and Medicaid services (the “dual eligibles”), and to deliver services to these individuals in a more financially efficient manner, under the direction of CMS some states implemented demonstration pilot programs to integrate Medicare and Medicaid services for the dual eligibles. The health plans participating in such demonstrations are referred to as Medicare-Medicaid Plans (“MMPs”). We operate MMPs in six states: California, Illinois, Michigan, Ohio, South Carolina, and Texas. At December 31, 2020, our membership included approximately 62,000 integrated MMP members, representing approximately 2% of our total membership. However, the capitation paid to us for dual eligibles is significantly higher than the capitation paid for other members, representing 9% of our total premium revenues in 2020. If the states running the MMP pilot programs conclude that the demonstration pilot programs are not delivering better coordinated care and reduced</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costs, they could decide to discontinue or substantially alter such programs, resulting in a reduction to our premium revenues.</w:t>
      </w:r>
    </w:p>
    <w:p>
      <w:pPr>
        <w:spacing w:after="0" w:line="9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will depend on their operating results and will be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general, our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$635 million and $1,373 million in dividends from our regulated health plan subsidiaries during 2020 and 2019,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and other non-public information, including protected health information or PHI, is subject to federal and state privacy and security regulations, and our failure to comply with those regulations or to adequately secure the information we hold could result in significant liability or reputational harm.</w:t>
      </w:r>
    </w:p>
    <w:p>
      <w:pPr>
        <w:spacing w:after="0" w:line="8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State and federal laws and regulations including, but not limited to, the Health Insurance Portability and Accountability Act, as amended by the Health Information Technology for Economic and Clinical Health Act, and all regulations promulgated thereunder (collectively, “HIPAA”), the California Consumer Privacy Act (the “CCPA”) and the Gramm-Leach-Bliley Act, govern the collection, dissemination, use, privacy, confidentiality, security, availability, and integrity of personally identifiable information (“PII”), including protected health information (“PHI”). HIPAA establishes basic national privacy and security standards for protection of PHI by covered entities and business associates, including health plans such as ours. HIPAA requires covered entities like us to develop and maintain policies and procedures regarding PHI, and to adopt administrative, physical, and technical safeguards to protect PHI.</w:t>
      </w:r>
    </w:p>
    <w:p>
      <w:pPr>
        <w:spacing w:after="0" w:line="9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HIPAA violations may result in significant civil penalties. HIPAA authorizes state attorneys general to file suit under HIPAA on behalf of state residents. Courts can award damages, costs, and attorneys’ fees related to violations of HIPAA in such cases. We have experienced HIPAA breaches in the past, including breaches affecting over 500 individuals.</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many of which differ from each other in significant ways, thus complicating compliance efforts. For example, California enacted the CCPA, which became effective on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we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a third party, such as our</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ind w:right="360"/>
        <w:spacing w:after="0" w:line="261" w:lineRule="auto"/>
        <w:rPr>
          <w:sz w:val="20"/>
          <w:szCs w:val="20"/>
          <w:color w:val="auto"/>
        </w:rPr>
      </w:pPr>
      <w:r>
        <w:rPr>
          <w:rFonts w:ascii="Arial" w:cs="Arial" w:eastAsia="Arial" w:hAnsi="Arial"/>
          <w:sz w:val="18"/>
          <w:szCs w:val="18"/>
          <w:color w:val="auto"/>
        </w:rPr>
        <w:t>vendors, could subject us to civil and criminal penalties, divert management’s time and energy, and have a material adverse effect on our business, financial condition, cash flows, or results of operations.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Unforeseen changes in pharmaceutical regulations or market conditions may impact our revenues and adversely affect our results of operations.</w:t>
      </w:r>
    </w:p>
    <w:p>
      <w:pPr>
        <w:spacing w:after="0" w:line="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Pharmaceutical products and services are a significant component of our healthcare costs.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the price of pharmaceuticals, geographic variation in utilization of new and existing pharmaceuticals, and changes in discounts. The unpredictable nature of these factors may have a material adverse effect on our business, financial condition, cash flows, or results of operations.</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The exorbitant cost of specialty drugs and new generic drugs could have a material adverse effect on the level of our medical costs and our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Introduction of new high cost specialty drugs and sudden cost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would have an adverse impact on our financial condition and results of operations. In addition,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geographic variation in utilization of new and existing pharmaceuticals, and changes in discounts. Although we will continue to work with state Medicaid agencies in an effort to ensure that we receive appropriate and actuarially sound reimbursement for all new drug therapies and pharmaceuticals trends, there can be no assurance that we will be successful in this regard.</w:t>
      </w:r>
    </w:p>
    <w:p>
      <w:pPr>
        <w:spacing w:after="0" w:line="8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Large-scale medical emergencies in one or more states in which we operate our health plans could significantly increase utilization rates and medical costs.</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Large-scale medical emergencies can take many forms and be associated with widespread illness or medical conditions. For example, natural disasters, such as a major earthquake or wildfire in California, or a major hurricane affecting Florida, South Carolina or Texas, could have a significant impact on the health of a large number of our covered members. Other conditions that could impact our members include a virulent flu season or epidemic, newly emergent mosquito-borne illnesses, such as the Zika virus, the West Nile virus, or the Chikungunya virus, or new viruses such as COVID-19, conditions for which vaccines may not exist, are not effective, or have not been widely administered.</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If one of the states in which we operate were to experience a large-scale natural disaster, a significant terrorist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ind w:right="920"/>
        <w:spacing w:after="0" w:line="287" w:lineRule="auto"/>
        <w:rPr>
          <w:sz w:val="20"/>
          <w:szCs w:val="20"/>
          <w:color w:val="auto"/>
        </w:rPr>
      </w:pPr>
      <w:r>
        <w:rPr>
          <w:rFonts w:ascii="Arial" w:cs="Arial" w:eastAsia="Arial" w:hAnsi="Arial"/>
          <w:sz w:val="18"/>
          <w:szCs w:val="18"/>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These laws and regulations, along with the terms of our government contracts, regulate how we do business, what services we offer, and how we interact with our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 other costs, increasing mandated benefits, forcing us to restructure our relationships with providers, requiring us to implement additional or different programs and systems, or making it more difficult to predict future results. Changes in the interpretation of our contracts could also reduce our profitability if we have detrimentally relied on a prior interpretation.</w:t>
      </w:r>
    </w:p>
    <w:p>
      <w:pPr>
        <w:spacing w:after="0" w:line="8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can be brought by any individual on behalf of the government.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have to defend a false claim action, pay fines, or be excluded from the Medicare, Medicaid, or other state or federal healthcare programs as a result of an investigation arising out of such action. We have been the subject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in the past and other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may be filed against us in the future. If we are subject to liability under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other actions, our business, financial condition, cash flows, or results of operations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828282"/>
        </w:rPr>
        <w:t>RISKS RELATED TO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May 2020 contract award to our Kentucky Medicaid plan, and its acquisition of Passport, is the subject of a legal challenge.</w:t>
      </w:r>
    </w:p>
    <w:p>
      <w:pPr>
        <w:spacing w:after="0" w:line="1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October 2020, pursuant to the appeal of a protest denial with regard to the May 2020 Kentucky RFP awards, a court ordered the addition of a sixth health plan to the Kentucky Medicaid program for 2021. That ruling did not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6" w:name="page27"/>
    <w:bookmarkEnd w:id="26"/>
    <w:p>
      <w:pPr>
        <w:ind w:right="60"/>
        <w:spacing w:after="0" w:line="290" w:lineRule="auto"/>
        <w:rPr>
          <w:sz w:val="20"/>
          <w:szCs w:val="20"/>
          <w:color w:val="auto"/>
        </w:rPr>
      </w:pPr>
      <w:r>
        <w:rPr>
          <w:rFonts w:ascii="Arial" w:cs="Arial" w:eastAsia="Arial" w:hAnsi="Arial"/>
          <w:sz w:val="17"/>
          <w:szCs w:val="17"/>
          <w:color w:val="auto"/>
        </w:rPr>
        <w:t>rescind the Medicaid contract award to our Kentucky health plan for 2021, nor did it impact the earlier novation of the Passport Medicaid contract to us. On October 27, 2020, a different health plan filed an appeal with regard to the court’s October 2020 order. In addition, another</w:t>
      </w:r>
    </w:p>
    <w:p>
      <w:pPr>
        <w:ind w:right="180"/>
        <w:spacing w:after="0" w:line="256" w:lineRule="auto"/>
        <w:rPr>
          <w:sz w:val="20"/>
          <w:szCs w:val="20"/>
          <w:color w:val="auto"/>
        </w:rPr>
      </w:pPr>
      <w:r>
        <w:rPr>
          <w:rFonts w:ascii="Arial" w:cs="Arial" w:eastAsia="Arial" w:hAnsi="Arial"/>
          <w:sz w:val="18"/>
          <w:szCs w:val="18"/>
          <w:color w:val="auto"/>
        </w:rPr>
        <w:t>health plan filed a legal challenge with regard to our acquisition of Passport. The outcome of this litigation and any appellate proceedings is inherently unpredictable. In the event the contract award to our Kentucky health plan or the novation of the Passport Medicaid contract is overturned, the business and revenues of our Kentucky health plan may be materially affected.</w:t>
      </w:r>
    </w:p>
    <w:p>
      <w:pPr>
        <w:spacing w:after="0" w:line="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If the responsive bids of our health plans for new or renewed Medicaid contracts are not successful, or if our government contracts are terminated or are not renewed on favorable terms, our premium revenues could be materially reduced and our operating results could be negatively impacted.</w:t>
      </w:r>
    </w:p>
    <w:p>
      <w:pPr>
        <w:spacing w:after="0" w:line="8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currently derive our premium revenues from health plans that operate in 18 states, including the states added in our acquisition of Magellan Complete Care on December 31, 2020. Our consolidated Medicaid premium revenue constituted 73% of our total revenue in the year ended December 31, 2020. Measured by Medicaid premium revenue by health plan, our top four health plans were in California, Ohio, Texas, and Washington, with aggregate Medicaid premium revenue of $8.9 billion, or approximately 63% of consolidated Medicaid premium revenue, in the year ended December 31, 2020.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Many of our government contracts are effective only for a fixed period of time and will only be extended for an additional period of time if the contracting entity elects to do so. For example, our contract in California is expected to be subject to re-procurement in late 2021. When our government contracts expire, they may be opened for bidding by competing health plans, and there is no guarantee that the contracts will be renewed or extended. Even if our contracts are renewed or extended, there can be no assurance that they will be renewed or extended on the same terms or without a reduction in the applicable service areas.</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7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sustain a cyber-attack or suffer data privacy or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designed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or that of third parties, create system disruptions, or cause damage, security issues, or shutdowns. They also may be able to develop and deploy viruses, worms, and other malicious software programs that attack our systems or otherwise exploit security vulnerabilities. As a result of the COVID-19 pandemic, we may face increased cybersecurity risks due to our reliance on internet technology and the number of our employees who are working remotely, which may create additional opportunities for cybercriminals to exploit vulnerabilities.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 or implement adequate preventive measures, resulting in potential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7" w:name="page28"/>
    <w:bookmarkEnd w:id="27"/>
    <w:p>
      <w:pPr>
        <w:ind w:right="40"/>
        <w:spacing w:after="0" w:line="251" w:lineRule="auto"/>
        <w:rPr>
          <w:sz w:val="20"/>
          <w:szCs w:val="20"/>
          <w:color w:val="auto"/>
        </w:rPr>
      </w:pPr>
      <w:r>
        <w:rPr>
          <w:rFonts w:ascii="Arial" w:cs="Arial" w:eastAsia="Arial" w:hAnsi="Arial"/>
          <w:sz w:val="18"/>
          <w:szCs w:val="18"/>
          <w:color w:val="auto"/>
        </w:rPr>
        <w:t>Moreover, we face the ongoing challenge of managing access controls in a complex environment. The process of enhancing our protective measures can itself create a risk of systems disruptions and security issues. Given the 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third-parties before they can be deployed, all could further increase our risks.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our acquisitions or realize the anticipated benefits of such acquisitions.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growth strategy includes the pursuit of targeted inorganic growth opportunities that we believe will provide a strategic fit, leverage operational synergies, and lead to incremental earnings accretion. For example, in the third quarter of 2020, we closed on two business combinations, the acquisition of certain assets of YourCare Health Plan, Inc. and the acquisition of certain assets of Passport Health Plan, Inc. On December 31, 2020, we closed on our acquisition of the Magellan Complete Care line of business of Magellan Health, Inc. and, in the second quarter of 2021, we expect to close on our pending acquisition of substantially all of the assets of Affinity Health Plan, Inc. The integration of acquired businesses with our existing business is a complex, costly and time-consuming process. The success of acquisitions we make will depend, in part, on our ability to successfully combine our existing business with such acquired businesses and realize the anticipated benefits, including synergies, cost savings, growth in earnings, innovation, and operational efficiencies, from the combinations. If we are unable to achieve these objectives within the anticipated time frame, or at all, the anticipated benefits may not be realized fully or at all, or may take longer to realize than expected.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acquisitions and the related integration activities involve a number of risks, including the following:</w:t>
      </w:r>
    </w:p>
    <w:p>
      <w:pPr>
        <w:spacing w:after="0" w:line="117" w:lineRule="exact"/>
        <w:rPr>
          <w:sz w:val="20"/>
          <w:szCs w:val="20"/>
          <w:color w:val="auto"/>
        </w:rPr>
      </w:pPr>
    </w:p>
    <w:p>
      <w:pPr>
        <w:jc w:val="both"/>
        <w:ind w:left="660" w:right="5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transition services that a seller may have agreed to provide following the closing, such as those Magellan Health, Inc. has agreed to provide following the closing of the Magellan Complete Care transaction, may not be provided in a timely or efficient manner, or certain necessary transition services may not be provided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 and/or integration;</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assumptions underlying our expectations regarding the integration process or the expected benefits to be achieved from an acquisition may prove to be incorrect;</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retaining the business and operational relationships of the acquired business, and attracting new business and operational relationships;</w:t>
      </w:r>
    </w:p>
    <w:p>
      <w:pPr>
        <w:ind w:left="660" w:right="2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attrition in the membership of the acquired business pending the completion of the proposed transaction or after the closing of the transaction;</w:t>
      </w:r>
    </w:p>
    <w:p>
      <w:pPr>
        <w:ind w:left="660" w:right="1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difficulties or costs in integrating information technology, communications and other systems, consolidating corporate and administrative infrastructures, and eliminating duplicative operations;</w:t>
      </w:r>
    </w:p>
    <w:p>
      <w:pPr>
        <w:ind w:left="660" w:right="8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Attention to integration activities may divert management’s attention from ongoing business concerns, which could result in performance shortfalls;</w:t>
      </w:r>
    </w:p>
    <w:p>
      <w:pPr>
        <w:ind w:left="660" w:right="9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addressing the challenges inherent in managing a larger company and coordinating geographically separate organizations; and</w:t>
      </w:r>
    </w:p>
    <w:p>
      <w:pPr>
        <w:ind w:left="660" w:right="1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state or federal regulatory approvals, or such approvals may impose conditions that were not anticipated.</w:t>
      </w:r>
    </w:p>
    <w:p>
      <w:pPr>
        <w:spacing w:after="0" w:line="9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Many of these factors are outside of our control and any one of them could result in delays, increased costs, decreases in the amount of expected revenues, and diversion of management's time and energy, which could materially affect our financial position, results of operations, or cash flows. There can be no assurances that we will be successful in managing our expanded operations as a result of acquisitions or that we will realize the expected growth in earnings, operating efficiencies, cost savings, or other benefits.</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spacing w:after="0" w:line="262" w:lineRule="auto"/>
        <w:rPr>
          <w:sz w:val="20"/>
          <w:szCs w:val="20"/>
          <w:color w:val="auto"/>
        </w:rPr>
      </w:pPr>
      <w:r>
        <w:rPr>
          <w:rFonts w:ascii="Arial" w:cs="Arial" w:eastAsia="Arial" w:hAnsi="Arial"/>
          <w:sz w:val="18"/>
          <w:szCs w:val="18"/>
          <w:b w:val="1"/>
          <w:bCs w:val="1"/>
          <w:i w:val="1"/>
          <w:iCs w:val="1"/>
          <w:color w:val="auto"/>
        </w:rPr>
        <w:t>If we lose contracts that constitute a significant amount of our premium revenue, we will lose the administrative cost efficiencies or cost leverage that is inherent in a larger revenue base. In such circumstances, we may not be able to reduce fixed costs proportionally with our lower revenue, and the financial impact of lost contracts may exceed the net income ascribed to those contracts.</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or cost leverage, and the resulting stranded administrative costs, could have a material and adverse impact on our business, financial condition, cash flows, or results of operations.</w:t>
      </w:r>
    </w:p>
    <w:p>
      <w:pPr>
        <w:spacing w:after="0" w:line="7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Our health plans operate with very low profit margins, and small changes in operating performance or slight changes to our accounting estimates will have a disproportionate impact on our reported net income.</w:t>
      </w:r>
    </w:p>
    <w:p>
      <w:pPr>
        <w:spacing w:after="0" w:line="6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10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addition, many of our contracts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which could have a material adverse effect on our business, financial condition, cash flows, or results of operations.</w:t>
      </w:r>
    </w:p>
    <w:p>
      <w:pPr>
        <w:spacing w:after="0" w:line="7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b w:val="1"/>
          <w:bCs w:val="1"/>
          <w:i w:val="1"/>
          <w:iCs w:val="1"/>
          <w:color w:val="auto"/>
        </w:rPr>
        <w:t>We are subject to retroactive adjustment to our Medicaid premium revenue as a result of retroactive risk adjustment; retroactive changes to contract terms and the resolution of differing interpretations of those terms; the difficulty of estimating performance-based premium.</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7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If, in the interest of long-term profitability, we decide to exit certain state contractual arrangements, make changes to our provider networks, or make changes to our administrative infrastructure, we may incur disruptions to our business that could in the short term materially reduce our premium revenues and our net income.</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Decisions that we make with regard to retaining or exiting our portfolio of state or federal contracts, and changes to the manner in which we serve the members of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accurately estimate incurred but not paid medical care costs may negatively impact our results of operations.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Because of the lag in time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or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healthcare service utilization trends, cost trends, product mix, seasonality, prior authorization of medical services, benefit changes, known incidence of disease, including COVID-19, or increased incidence of illness such as the flu,</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p>
      <w:pPr>
        <w:ind w:right="60"/>
        <w:spacing w:after="0" w:line="256" w:lineRule="auto"/>
        <w:rPr>
          <w:sz w:val="20"/>
          <w:szCs w:val="20"/>
          <w:color w:val="auto"/>
        </w:rPr>
      </w:pPr>
      <w:r>
        <w:rPr>
          <w:rFonts w:ascii="Arial" w:cs="Arial" w:eastAsia="Arial" w:hAnsi="Arial"/>
          <w:sz w:val="18"/>
          <w:szCs w:val="18"/>
          <w:color w:val="auto"/>
        </w:rPr>
        <w:t>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7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If we fail to accurately predict and effectively manage our medical care costs, our operating results could be materially and adversely affected.</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86.5% for the year ended December 31, 2020, had been one percentage point higher, or 87.5%, our net income per diluted share for the year ended December 31, 2020 would have been approximately $8.88 rather than our actual net income per diluted share of $11.23, a difference of $2.35.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Many factors may affect our medical care costs, including:</w:t>
      </w:r>
    </w:p>
    <w:p>
      <w:pPr>
        <w:spacing w:after="0" w:line="117" w:lineRule="exact"/>
        <w:rPr>
          <w:sz w:val="20"/>
          <w:szCs w:val="20"/>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utilization of healthcare services;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underlying risk acuity of our membership;</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patterns in the annual flu season;</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hospital costs;</w:t>
      </w:r>
    </w:p>
    <w:p>
      <w:pPr>
        <w:spacing w:after="0" w:line="9" w:lineRule="exact"/>
        <w:rPr>
          <w:rFonts w:ascii="Arial" w:cs="Arial" w:eastAsia="Arial" w:hAnsi="Arial"/>
          <w:sz w:val="18"/>
          <w:szCs w:val="18"/>
          <w:color w:val="auto"/>
        </w:rPr>
      </w:pPr>
    </w:p>
    <w:p>
      <w:pPr>
        <w:ind w:left="700" w:right="160" w:hanging="328"/>
        <w:spacing w:after="0" w:line="250"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incidences or acuity of high dollar claims related to catastrophic illnesses or medical conditions for which we do not have adequate reinsurance coverage;</w:t>
      </w: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maternity costs;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state eligibility certification methodologies;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relatively low levels of hospital and specialty provider competition in certain geographic areas;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cost of pharmaceutical products and services;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healthcare regulations and practices;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epidemics;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medical technologies;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various external factors.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Many of these factors are beyond our control. The inability to forecast and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ind w:right="300"/>
        <w:spacing w:after="0" w:line="256" w:lineRule="auto"/>
        <w:rPr>
          <w:sz w:val="20"/>
          <w:szCs w:val="20"/>
          <w:color w:val="auto"/>
        </w:rPr>
      </w:pPr>
      <w:r>
        <w:rPr>
          <w:rFonts w:ascii="Arial" w:cs="Arial" w:eastAsia="Arial" w:hAnsi="Arial"/>
          <w:sz w:val="18"/>
          <w:szCs w:val="18"/>
          <w:color w:val="auto"/>
        </w:rPr>
        <w:t>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some markets, certain providers, particularly hospitals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Some providers that render services to our members are not contracted with our health plans. In those cases, there is no pre-established understanding between the provider and our health plan about the amount of compensation that is due to the provider. In some states, the amount of compensation is defined by law or regulation, but in most instances it is either not defined or it is established by a standard that is not clearly translatable into dollars. In such instances, providers may claim they are underpaid for their services and may either litigate or arbitrate their dispute with our health plan. The uncertainty of the amount to pay to such providers and the possibility of subsequent adjustment of the payment or litigation with the provider that results in an adverse decision could adversely affect our business, financial condition, cash flows, or results of operations.</w:t>
      </w:r>
    </w:p>
    <w:p>
      <w:pPr>
        <w:spacing w:after="0" w:line="7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rely on the accuracy of eligibility lists provided by state governments. Inaccuracies in those lists would negatively affect our results of operations.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 reduction in Medicaid membership, which could have an adverse effect on our premium revenues and results of operations.</w:t>
      </w:r>
    </w:p>
    <w:p>
      <w:pPr>
        <w:spacing w:after="0" w:line="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8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Receipt of inadequate or significantly delayed premiums could negatively affect our business, financial condition, cash flows, or results of operations.</w:t>
      </w:r>
    </w:p>
    <w:p>
      <w:pPr>
        <w:spacing w:after="0" w:line="6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We use a large portion of our revenues to pay the costs of healthcare services delivered to our members. If premiums do not increase when</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spacing w:after="0" w:line="252" w:lineRule="auto"/>
        <w:rPr>
          <w:sz w:val="20"/>
          <w:szCs w:val="20"/>
          <w:color w:val="auto"/>
        </w:rPr>
      </w:pPr>
      <w:r>
        <w:rPr>
          <w:rFonts w:ascii="Arial" w:cs="Arial" w:eastAsia="Arial" w:hAnsi="Arial"/>
          <w:sz w:val="18"/>
          <w:szCs w:val="18"/>
          <w:color w:val="auto"/>
        </w:rPr>
        <w:t>expenses related to healthcare services rise, our medical margins will be compressed, and our earnings will be negatively affected. A state could increase hospital or other provider rates without making a commensurate increase in the rates paid to us, or could lower our rates without making a commensurate reduction in the rates paid to hospitals or other providers.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7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6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7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Failure to attain profitability in any newly acquired health plans or new start-up operations could negatively affect our results of operations.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Start-up costs associated with a new business can be substantial. For example, to obtain a certificate of authority to operate as a health maintenance organization in most jurisdictions, we must first establish a provider network, have infrastructure and required systems in place, and demonstrate our ability to obtain a state contract and process claims. Often, we are also required to contribute significant capital to fund mandated net worth requirements, performance bonds or escrows, or contingency guaranties. If we are unsuccessful in obtaining the certificate of authority, winning the bid to provide services, or attracting members in sufficient numbers to cover our costs, the new business could fail.</w:t>
      </w:r>
    </w:p>
    <w:p>
      <w:pPr>
        <w:spacing w:after="0" w:line="1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expenses associated with starting up a health plan in a new jurisdiction, expanding a health plan in an existing jurisdiction, or acquiring a new health plan, could have a material adverse effect on our business, financial condition, cash flows, or results of operations.</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 If we experience a reduction in the performance, reliability, or availability of our information and medical management systems, our operations, ability to pay claims, ability to produce timely and accurate reports, and ability to maintain proper security measures could be adversely affected.</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For example, in February 2019, we 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outsourcing services and functions to third parties.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contract with third party vendors and service providers who provide services to us and our subsidiaries or to whom we delegate selected functions. Some of these third-parties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Any contractual remedies and/or indemnification obligations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ind w:right="20"/>
        <w:spacing w:after="0" w:line="251" w:lineRule="auto"/>
        <w:rPr>
          <w:sz w:val="20"/>
          <w:szCs w:val="20"/>
          <w:color w:val="auto"/>
        </w:rPr>
      </w:pPr>
      <w:r>
        <w:rPr>
          <w:rFonts w:ascii="Arial" w:cs="Arial" w:eastAsia="Arial" w:hAnsi="Arial"/>
          <w:sz w:val="18"/>
          <w:szCs w:val="18"/>
          <w:color w:val="auto"/>
        </w:rPr>
        <w:t>we may have for vendor or service provider failures or incidents may not be adequate to fully compensate us for any losses suffered as a result of any vendor’s failure to satisfy its obligations to us or under applicable law.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and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w:t>
      </w:r>
    </w:p>
    <w:p>
      <w:pPr>
        <w:spacing w:after="0" w:line="8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encounter data may be inaccurate or incomplete, which could have a material adverse effect on our results of operations, financial condition, cash flows and ability to bid for, and continue to participate in, certain programs.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w:t>
      </w:r>
    </w:p>
    <w:p>
      <w:pPr>
        <w:spacing w:after="0" w:line="10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growth strategy.</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2020, we had $2,352 million of indebtedness outstanding, including long-term finance lease liabilities. As of December 31, 2020, we also had approximately $1 billion available for borrowings under our Revolving Credit Facility.</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substantial indebtedness could have a material adverse effect on our business, financial condition, cash flows, or results of operations by, among other things:</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ind w:left="660" w:right="26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requiring a substantial portion of our cash flows from operations to be dedicated to the payment of principal and interest on our indebtedness, therefore reducing our ability to use our cash flows to fund operations, capital expenditures, and future acquisitions;</w:t>
      </w:r>
    </w:p>
    <w:p>
      <w:pPr>
        <w:ind w:left="660" w:right="2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including under our Credit Agreement and our outstanding senior notes, and any failure to comply with the obligations of any of our debt instruments, including restrictive covenants and borrowing conditions, could result in an event of default under our Credit Agreement or the indenture governing our outstanding senior notes;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and</w:t>
      </w:r>
    </w:p>
    <w:p>
      <w:pPr>
        <w:spacing w:after="0" w:line="9" w:lineRule="exact"/>
        <w:rPr>
          <w:rFonts w:ascii="Arial" w:cs="Arial" w:eastAsia="Arial" w:hAnsi="Arial"/>
          <w:sz w:val="18"/>
          <w:szCs w:val="18"/>
          <w:color w:val="auto"/>
        </w:rPr>
      </w:pPr>
    </w:p>
    <w:p>
      <w:pPr>
        <w:jc w:val="both"/>
        <w:ind w:left="660" w:right="44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substantial indebtedness may prevent us from exploiting.</w:t>
      </w:r>
    </w:p>
    <w:p>
      <w:pPr>
        <w:spacing w:after="0" w:line="7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An impairment charge with respect to our recorded goodwill, or our finite-lived intangible assets, could have a material impact on our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carrying amount of goodwill was $692 million, and intangible assets, net, were $249 million.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ind w:right="60"/>
        <w:spacing w:after="0" w:line="254" w:lineRule="auto"/>
        <w:rPr>
          <w:sz w:val="20"/>
          <w:szCs w:val="20"/>
          <w:color w:val="auto"/>
        </w:rPr>
      </w:pPr>
      <w:r>
        <w:rPr>
          <w:rFonts w:ascii="Arial" w:cs="Arial" w:eastAsia="Arial" w:hAnsi="Arial"/>
          <w:sz w:val="18"/>
          <w:szCs w:val="18"/>
          <w:color w:val="auto"/>
        </w:rPr>
        <w:t>deterioration or losses, significant losses of membership, loss of state funding, loss of state contracts, and other factors. Goodwill is impaired if the carrying amount of the reporting unit (one of our state health plans) exceeds its estimated fair value. This excess is recorded as an impairment loss and adjusted if necessary for the impact of tax-deductible goodwill. The loss recognized may not exceed the total goodwill allocated to the reporting unit.</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event could occur that would cause us to revise our estimates and assumptions used in analyzing the value of our goodwill, and intangible assets, net. For example, if the responsive bid of one or more of our health plans is not successful, we will lose our Medicaid contract in the applicable state or states. If such state health plans have recorded goodwill and intangible assets, net, the contract loss would result in a non-cash impairment charge. Such a non-cash impairment charge could have a material adverse impact on our financial results.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GENERAL RISK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leadership of our chief executive officer and other executive officers and key employees.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success of our business and the ability to execute our strategy are highly dependent on the efforts of Mr. Zubretsky, our chief executive officer,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claims related to litigation which could result in substantial monetary damages.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are subject to a variety of legal actions, including provider claims, employment related disputes, healthcare regulatory law-based litigation and enforcement actions, breach of contract actions,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False Claims Act actions, and securities class actions. If we incur liability materially in excess of the amount for which we have insurance coverage, our profitability would suffer. Even if any claims brought against us are unsuccessful or without merit, we may have to defend ourselves against such claims. The defense of any such actions may be time-consuming and costly, and may distract our management’s attention. Such legal actions could have a material adverse effect on our business, financial condition, results of operations, or cash flows.</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Because our corporate headquarters are located in Southern California, our business operations may be significantly disrupted as a result of a major earthquake or wildfire.</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corporate headquarters are located in Long Beach, California. In addition, some of our health plans’ claims are processed in Long Beach, California. Southern California is exposed to a statistically greater risk of a major earthquake and wildfires than most other parts of the United States. If a major earthquake or wildfire were to strike Southern California, our corporate functions and claims processing could be significantly impaired for a substantial period of time. If there is a major Southern California earthquake or wildfire, there can be no assurances that our disaster recovery plan will be successful or that the business operations of our health plans, including those that are remote from any such event, would not be substantially impacted.</w:t>
      </w:r>
    </w:p>
    <w:p>
      <w:pPr>
        <w:spacing w:after="0" w:line="7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our consolidated financial statements may contain material misstatements and we could be required to restate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spacing w:after="0"/>
        <w:rPr>
          <w:sz w:val="20"/>
          <w:szCs w:val="20"/>
          <w:color w:val="auto"/>
        </w:rPr>
      </w:pPr>
      <w:r>
        <w:rPr>
          <w:rFonts w:ascii="Arial" w:cs="Arial" w:eastAsia="Arial" w:hAnsi="Arial"/>
          <w:sz w:val="25"/>
          <w:szCs w:val="25"/>
          <w:b w:val="1"/>
          <w:bCs w:val="1"/>
          <w:color w:val="0F7C7F"/>
        </w:rPr>
        <w:t>PROPERTIES</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own and lease certain real properties to support the business operations of our reportable segments. While we believe our current and anticipated facilities are adequate to meet our operational needs in the near term, we continually evaluate the adequacy of our properties for our anticipated future needs.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winning bidder health plans, including Molina Healthcare of Kentucky, Inc., Civil Action No. 20-CI-00719. In its action, Anthem requested that the court disqualify Molina Healthcare of Kentucky, find that the Kentucky RFP scoring was erroneous and violated procedures or was arbitrary and capricious, set aside the contract awards and conduct a new RFP evaluation process, and award injunctive relief, including stopping the implementation of the contracts awarded under the RFP. On September 28, 2020, the court issued a temporary restraining order preserving the status quo, and on October 23, 2020, the court issued a temporary injunction directing that the RFP readiness review and open enrollment proceed with six health plans, including both Anthem and Molina Healthcare.</w:t>
      </w:r>
    </w:p>
    <w:p>
      <w:pPr>
        <w:spacing w:after="0" w:line="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22, 2020, the court granted a motion by UnitedHealthcare of Kentucky LTD. to assert a cross-claim against the Kentucky Cabinet for Health and Family Services, which sought in part a disqualification of Anthem or Molina Healthcare and a declaratory judgment that the Kentucky Medicaid program proceed with only five health plans. On December 23, 2020, Humana Health Plan, Inc. brought a separate action against the Commonwealth of Kentucky and the winning bidder health plans, including Molina Healthcare of Kentucky, Civil Action 20-CI-00987. On January 11, 2021, both actions were consolidated before the Franklin County Circuit Court. Humana requests a declaratory judgment finding that the Commonwealth violated the Medicaid contract by allocating Passport members to Molina Healthcare for 2021 so that Passport members would instead be allocated to Humana and other winning health plans, or, in the alternative, monetary damages from the Commonwealth.</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Molina Healthcare believes it has meritorious defenses to the claims of Anthem, United, and Humana, and intends to vigorously defend its position, including its twice being a winning bidder of the Kentucky Medicaid RFP, and its protection of the continuity of care for Passport Medicaid members. This matter remains subject to significant additional legal proceedings, and no assurances can be given regarding the ultimate outcome. Under the court’s temporary injunction, Molina Healthcare of Kentucky continues to operate under its contract and provide care to Kentucky Medicaid members.</w:t>
      </w:r>
    </w:p>
    <w:p>
      <w:pPr>
        <w:spacing w:after="0" w:line="9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Refer to the Notes to Consolidated Financial Statements, Note 15, “Commitments and Contingencies—Legal Proceedings,” for further information.</w:t>
      </w:r>
    </w:p>
    <w:p>
      <w:pPr>
        <w:spacing w:after="0" w:line="200" w:lineRule="exact"/>
        <w:rPr>
          <w:sz w:val="20"/>
          <w:szCs w:val="20"/>
          <w:color w:val="auto"/>
        </w:rPr>
      </w:pPr>
    </w:p>
    <w:p>
      <w:pPr>
        <w:spacing w:after="0" w:line="211" w:lineRule="exact"/>
        <w:rPr>
          <w:sz w:val="20"/>
          <w:szCs w:val="20"/>
          <w:color w:val="auto"/>
        </w:rPr>
      </w:pPr>
    </w:p>
    <w:p>
      <w:pPr>
        <w:ind w:right="180"/>
        <w:spacing w:after="0" w:line="288" w:lineRule="auto"/>
        <w:rPr>
          <w:sz w:val="20"/>
          <w:szCs w:val="20"/>
          <w:color w:val="auto"/>
        </w:rPr>
      </w:pPr>
      <w:r>
        <w:rPr>
          <w:rFonts w:ascii="Arial" w:cs="Arial" w:eastAsia="Arial" w:hAnsi="Arial"/>
          <w:sz w:val="25"/>
          <w:szCs w:val="25"/>
          <w:b w:val="1"/>
          <w:bCs w:val="1"/>
          <w:color w:val="0F7C7F"/>
        </w:rPr>
        <w:t>MARKET FOR REGISTRANT’S COMMON EQUITY, RELATED STOCKHOLDER MATTERS AND ISSUER PURCHASES OF EQUITY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STOCK REPURCHASE PROGRAMS</w:t>
      </w:r>
    </w:p>
    <w:p>
      <w:pPr>
        <w:spacing w:after="0" w:line="1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Purchases of common stock made by us, or on our behalf during the quarter ended December 31, 2020,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Average Price Paid</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Shares That May Yet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per</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the Plans or</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8"/>
              </w:rPr>
              <w:t xml:space="preserve">Purchased </w:t>
            </w:r>
            <w:r>
              <w:rPr>
                <w:rFonts w:ascii="Arial" w:cs="Arial" w:eastAsia="Arial" w:hAnsi="Arial"/>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Share</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 xml:space="preserve">Programs </w:t>
            </w:r>
            <w:r>
              <w:rPr>
                <w:rFonts w:ascii="Arial" w:cs="Arial" w:eastAsia="Arial" w:hAnsi="Arial"/>
                <w:sz w:val="21"/>
                <w:szCs w:val="21"/>
                <w:b w:val="1"/>
                <w:bCs w:val="1"/>
                <w:color w:val="auto"/>
                <w:w w:val="95"/>
                <w:vertAlign w:val="superscript"/>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9"/>
              <w:spacing w:after="0" w:line="216" w:lineRule="exact"/>
              <w:rPr>
                <w:sz w:val="20"/>
                <w:szCs w:val="20"/>
                <w:color w:val="auto"/>
              </w:rPr>
            </w:pPr>
            <w:r>
              <w:rPr>
                <w:rFonts w:ascii="Arial" w:cs="Arial" w:eastAsia="Arial" w:hAnsi="Arial"/>
                <w:sz w:val="16"/>
                <w:szCs w:val="16"/>
                <w:b w:val="1"/>
                <w:bCs w:val="1"/>
                <w:color w:val="auto"/>
                <w:w w:val="95"/>
              </w:rPr>
              <w:t xml:space="preserve">Programs </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 October 31</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188.27</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November 1 — November 30</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323,000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432,000,000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December 31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443,000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341,000,000</w:t>
            </w:r>
          </w:p>
        </w:tc>
        <w:tc>
          <w:tcPr>
            <w:tcW w:w="0" w:type="dxa"/>
            <w:vAlign w:val="bottom"/>
          </w:tcPr>
          <w:p>
            <w:pPr>
              <w:spacing w:after="0"/>
              <w:rPr>
                <w:sz w:val="1"/>
                <w:szCs w:val="1"/>
                <w:color w:val="auto"/>
              </w:rPr>
            </w:pPr>
          </w:p>
        </w:tc>
      </w:tr>
      <w:tr>
        <w:trPr>
          <w:trHeight w:val="212"/>
        </w:trPr>
        <w:tc>
          <w:tcPr>
            <w:tcW w:w="36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188.27</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35" w:name="page36"/>
    <w:bookmarkEnd w:id="35"/>
    <w:p>
      <w:pPr>
        <w:ind w:left="340" w:right="600" w:hanging="332"/>
        <w:spacing w:after="0" w:line="253"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three months ended December 31, 2020, we withheld approximately 1,000 shares of common stock to settle employee income tax obligations for releases of awards granted under the Molina Healthcare, Inc. 2019 Equity Incentive Plan. For further information refer to Notes to Consolidated Financial Statements, Note 13, “Stockholders' Equity.”</w:t>
      </w:r>
    </w:p>
    <w:p>
      <w:pPr>
        <w:spacing w:after="0" w:line="93" w:lineRule="exact"/>
        <w:rPr>
          <w:rFonts w:ascii="Arial" w:cs="Arial" w:eastAsia="Arial" w:hAnsi="Arial"/>
          <w:sz w:val="16"/>
          <w:szCs w:val="16"/>
          <w:color w:val="auto"/>
        </w:rPr>
      </w:pPr>
    </w:p>
    <w:p>
      <w:pPr>
        <w:ind w:left="340" w:right="20" w:hanging="332"/>
        <w:spacing w:after="0" w:line="250"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September 2020, our board of directors authorized the purchase of up to $500 million, in the aggregate, of our 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766,000 shares of our common stock for $159 million in November and December 2020 (average cost of $208.37 per share).</w:t>
      </w:r>
    </w:p>
    <w:p>
      <w:pPr>
        <w:spacing w:after="0" w:line="94" w:lineRule="exact"/>
        <w:rPr>
          <w:sz w:val="20"/>
          <w:szCs w:val="20"/>
          <w:color w:val="auto"/>
        </w:rPr>
      </w:pPr>
    </w:p>
    <w:p>
      <w:pPr>
        <w:spacing w:after="0"/>
        <w:rPr>
          <w:sz w:val="20"/>
          <w:szCs w:val="20"/>
          <w:color w:val="auto"/>
        </w:rPr>
      </w:pPr>
      <w:r>
        <w:rPr>
          <w:rFonts w:ascii="Arial" w:cs="Arial" w:eastAsia="Arial" w:hAnsi="Arial"/>
          <w:sz w:val="25"/>
          <w:szCs w:val="25"/>
          <w:color w:val="828282"/>
        </w:rPr>
        <w:t>STOCK PERFORMANCE GRAPH</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The following graph and related discussion are being furnished solely to accompany this Annual Report on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line graph compares the percentage change in the cumulative total return on our common stock against the cumulative total return of the Standard &amp; Poor’s Corporation Composite 500 Index (the “S&amp;P 500”) and a peer group index for the five-year period from December 31, 2015 to December 31, 2020. The comparison assumes $100 was invested on December 31, 2015, in our common stock and in each of the foregoing indices and assumes reinvestment of dividends. The stock performance shown on the graph below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336550</wp:posOffset>
            </wp:positionV>
            <wp:extent cx="4714875" cy="3651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487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2020 peer group index consists of Acadia Healthcare Company, Inc. (ACHC), Anthem, Inc. (ANTM), Centene Corporation (CNC), Cigna Corporation (CI), Community Health Systems, Inc. (CYH), HCA Healthcare, Inc. (HCA), Humana, Inc. (HUM), Laboratory Corporation of America Holdings (LH), Magellan Health, Inc. (MGLN), Quest Diagnostics Incorporated (DGX), Tenet Healthcare Corporation (THC) and Universal Health Services, Inc. (UHS).</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36" w:name="page37"/>
    <w:bookmarkEnd w:id="36"/>
    <w:p>
      <w:pPr>
        <w:ind w:right="280"/>
        <w:spacing w:after="0" w:line="254" w:lineRule="auto"/>
        <w:rPr>
          <w:sz w:val="20"/>
          <w:szCs w:val="20"/>
          <w:color w:val="auto"/>
        </w:rPr>
      </w:pPr>
      <w:r>
        <w:rPr>
          <w:rFonts w:ascii="Arial" w:cs="Arial" w:eastAsia="Arial" w:hAnsi="Arial"/>
          <w:sz w:val="18"/>
          <w:szCs w:val="18"/>
          <w:color w:val="auto"/>
        </w:rPr>
        <w:t>The 2019 peer group index, used in last year’s Annual Report on Form 10-K and also set forth above, consists of Centene Corporation (CNC), Cigna Corporation (CI), DaVita HealthCare Partners, Inc. (DVA), Humana Inc. (HUM), Magellan Health, Inc. (MGLN), Team Health Holdings, Inc. (TMH), Tenet Healthcare Corporation (THC), Triple-S Management Corporation (GTS), Universal American Corporation (UAM), Universal Health Services, Inc. (UHS) and WellCare Health Plans, Inc. (WCG).</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828282"/>
        </w:rPr>
        <w:t>STOCK TRADING SYMBOL AND DIVIDENDS</w:t>
      </w:r>
    </w:p>
    <w:p>
      <w:pPr>
        <w:spacing w:after="0" w:line="11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common stock is listed on the New York Stock Exchange under the trading symbol “MOH.” As of February 12, 2021, there were 12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Our ability to pay dividends is partially dependent on, among other things, our receipt of cash dividends from our regulated subsidiaries. The ability of our regulated subsidiaries to pay dividends to us is limited by the state departments of insurance in the states in which we operate or may operate, as well as requirements of the government-sponsored health programs in which we participate. Additionally, the indentures governing our outstanding senior notes and credit agreement contain various covenants that limit our ability to pay dividends on our common stock.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15, “Commitments and Contingencies —Regulatory Capital Requirements and Dividend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right="420"/>
        <w:spacing w:after="0" w:line="260"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as of and for the years ended December 31, 2020 and 2019, are presented in the sections that follow. Our MD&amp;A as of and for the year ended December 31, 2018, may be found in our 2019 Annual Report on Form 10-K, which prior disclosure is incorporated by reference herein.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in 15 states, we served approximately 4.0 million members as of December 31, 2020. In addition, in connection with our acquisition of Magellan Complete Care on December 31, 2020, we added approximately 200,000 members, and now operate health plans in 18 states. These health plans are generally operated by our respective wholly owned subsidiaries in those states, and licensed as health maintenance organizations (“HMOs”).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2020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2020 results included the following:</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per diluted share of $11.23, with net income of $673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revenue of $19.4 billion, which increased 15% compared to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Premium revenue of $18.3 billion, which increased 13% compared to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medical care ratio (“MCR”) of 86.5%, compared to 85.8% in 2019;</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estimate the net effect of COVID decreased net income for the full year 2020 by $2.30 per diluted share, and increased the MCR by approximately 50 basis points;</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were positively impacted by certain non-recurring and other items, mainly including the proceeds from the Marketplace risk corridor judgment;</w:t>
      </w:r>
    </w:p>
    <w:p>
      <w:pPr>
        <w:jc w:val="both"/>
        <w:ind w:left="660" w:right="2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Membership, including Magellan Complete Care, increased approximately 900,000 members to 4.2 million at December 31, 2020. Roughly half of this increase was from our recent acquisitions of Magellan Complete Care, Passport in Kentucky and YourCare in New York, with the balance from suspension of Medicaid redeterminations noted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and administrative expense ratio (“G&amp;A ratio”) of 7.6%, compared to 7.7% in 2019;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After-tax margin of 3.5%, despite the underperformance of our Marketplace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Impacts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the combined net effect of COVID-related impacts reduced our 2020 earnings and included:</w:t>
      </w:r>
    </w:p>
    <w:p>
      <w:pPr>
        <w:spacing w:after="0" w:line="117" w:lineRule="exact"/>
        <w:rPr>
          <w:sz w:val="20"/>
          <w:szCs w:val="20"/>
          <w:color w:val="auto"/>
        </w:rPr>
      </w:pPr>
    </w:p>
    <w:p>
      <w:pPr>
        <w:ind w:left="660" w:right="4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medical costs due to COVID-related utilization curtailment throughout most of year of approximately $420 million, which was partially offset by direct care related to COVID patients;</w:t>
      </w:r>
    </w:p>
    <w:p>
      <w:pPr>
        <w:ind w:left="660" w:right="3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Premium refunds and related actions enacted by a number of our state customers in response to the COVID-related utilization curtailment of approximately $564 million, including $401 million recognized in the fourth quarter, mostly associated with recently-enacted risk sharing corridors;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our G&amp;A spending on activities related to COVID;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Membership growth due to suspension of redeterminations in Medicaid.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Initiatives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made major strides in 2020 related to our growth strategy. On December 31, 2020, we closed on the acquisition of Magellan Complete Care. In September 2020, we signed a definitive agreement to purchase the net assets of Affinity Health Plan in New York, which we expect to close as early as the second quarter of 2021. We closed on the Passport acquisition in Kentucky on September 1, 2020, and we closed on the YourCare acquisition in upstate New York on July 1, 2020. Each of these acquisitions involve financially underperforming health plans, but with stable membership and revenue bases. We believe they provide attractive opportunities for margin improvement, operating leverage and membership growth. Our growth initiatives continue to be anchored by our capital allocation priorities: first, organic growth; second, inorganic growth through accretive acquisitions; and third, programmatically returning excess capital to shareholders.</w:t>
      </w:r>
    </w:p>
    <w:p>
      <w:pPr>
        <w:spacing w:after="0" w:line="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summary, we continue to perform well, our fundamentals remain strong, and we continue to grow revenue as a result of our focus on top-line growth.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0F7C7F"/>
        </w:rPr>
        <w:t>FINANCIAL RESULTS SUMMARY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183"/>
        </w:trPr>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gridSpan w:val="4"/>
          </w:tcPr>
          <w:p>
            <w:pPr>
              <w:jc w:val="right"/>
              <w:ind w:right="179"/>
              <w:spacing w:after="0"/>
              <w:rPr>
                <w:sz w:val="20"/>
                <w:szCs w:val="20"/>
                <w:color w:val="auto"/>
              </w:rPr>
            </w:pPr>
            <w:r>
              <w:rPr>
                <w:rFonts w:ascii="Arial" w:cs="Arial" w:eastAsia="Arial" w:hAnsi="Arial"/>
                <w:sz w:val="14"/>
                <w:szCs w:val="14"/>
                <w:b w:val="1"/>
                <w:bCs w:val="1"/>
                <w:i w:val="1"/>
                <w:iCs w:val="1"/>
                <w:color w:val="auto"/>
              </w:rPr>
              <w:t>(In millions, except per-share amounts)</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16,208</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13,905</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2,303</w:t>
            </w:r>
          </w:p>
        </w:tc>
      </w:tr>
      <w:tr>
        <w:trPr>
          <w:trHeight w:val="216"/>
        </w:trPr>
        <w:tc>
          <w:tcPr>
            <w:tcW w:w="8000" w:type="dxa"/>
            <w:vAlign w:val="bottom"/>
          </w:tcPr>
          <w:p>
            <w:pPr>
              <w:ind w:left="12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86.5 %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85.8 %</w:t>
            </w:r>
          </w:p>
        </w:tc>
      </w:tr>
      <w:tr>
        <w:trPr>
          <w:trHeight w:val="148"/>
        </w:trPr>
        <w:tc>
          <w:tcPr>
            <w:tcW w:w="8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Health insurer fees reimbursed</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and other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Marketplace risk corridor judgment</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151"/>
        </w:trPr>
        <w:tc>
          <w:tcPr>
            <w:tcW w:w="8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1,296</w:t>
            </w:r>
          </w:p>
        </w:tc>
      </w:tr>
      <w:tr>
        <w:trPr>
          <w:trHeight w:val="219"/>
        </w:trPr>
        <w:tc>
          <w:tcPr>
            <w:tcW w:w="800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7.7 %</w:t>
            </w:r>
          </w:p>
        </w:tc>
      </w:tr>
      <w:tr>
        <w:trPr>
          <w:trHeight w:val="148"/>
        </w:trPr>
        <w:tc>
          <w:tcPr>
            <w:tcW w:w="8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Health insurer fees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1,044</w:t>
            </w:r>
          </w:p>
        </w:tc>
      </w:tr>
      <w:tr>
        <w:trPr>
          <w:trHeight w:val="148"/>
        </w:trPr>
        <w:tc>
          <w:tcPr>
            <w:tcW w:w="8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(income), net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r>
      <w:tr>
        <w:trPr>
          <w:trHeight w:val="131"/>
        </w:trPr>
        <w:tc>
          <w:tcPr>
            <w:tcW w:w="8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972</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5"/>
        </w:trPr>
        <w:tc>
          <w:tcPr>
            <w:tcW w:w="8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Net income per diluted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8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Ending Membership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19"/>
        </w:trPr>
        <w:tc>
          <w:tcPr>
            <w:tcW w:w="80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Does not include approximately 200,000 Magellan Complete Care members from the acquisition closed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income amounted to $673 million, or $11.23 per diluted share in 2020, compared with net income of $737 million, or $11.47 per diluted share, in 2019. Our after-tax margin decreased to 3.5% for 2020, compared to 4.4% for 2019.</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was $1,078 million in 2020, compared with $1,044 million in 2019. We estimate that the net effect of COVID-19 decreased pretax income in 2020 by approximately $180 million, or $2.30 per diluted share. Operating income increased in 2020, despite the net effect of COVID-19, due to growth in membership and premiums, and a $128 million legal judgment for Marketplace risk corridor claims related to prior years, partially offset by a year-over-year decline in the underlying performance of our Marketplace business.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Net income per share in 2020 was favorably impacted by the reduction in common shares outstanding as a result of our share repurchase programs in 2020. See further discussion and information in “Liquidity and Financial Condition,” below, and in the Notes to Consolidated Financial Statements, Note 3, “Net Income Per Share.”</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Premium revenue increased $2,091 million, or 13%, in 2020, when compared with 2019.</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higher premium revenues reflect increased membership, primarily in Medicaid, and include the impact from the YourCare and Passport acquisitions. In 2020, we added 337,000 members from our acquisition of the Kentucky Passport business on September 1, 2020, and 47,000 members from our acquisition of the New York YourCare business on July 1, 2020. Suspension of redeterminations in Medicaid was also a driver for membership growth in 2020.</w:t>
      </w:r>
    </w:p>
    <w:p>
      <w:pPr>
        <w:spacing w:after="0" w:line="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increase in premium revenues from these acquisitions was slightly offset by the decline in membership associated with our exit of operations in Puerto Rico in 2020. The increase in premium revenue was net of approximately $564 million recognized for COVID-related premium refunds and related actions that were enacted in several states in response to lower utilization of medical services resulting from COVID-19.</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consolidated MCR in 2020 increased to 86.5%, compared to 85.8% in 2019, primarily due to the unfavorable net effect of COVID-19 impacts in all our lines of business. We estimate that the net effect of COVID-19 increased our consolidated MCR in 2020 by approximately 50 basis points.</w:t>
      </w:r>
    </w:p>
    <w:p>
      <w:pPr>
        <w:spacing w:after="0" w:line="9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Prior year reserve development in 2020 was not material. The year ended December 31, 2019, was positively impacted by 80 basis points of favorable reserve development, primarily in the Medicaid program.</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premium tax ratio increased to 3.4% in 2020, compared with 2.9% in 2019. The current year ratio increase was mainly due to the state of Illinois’ implementation of a managed care organization provider assessment in the third quarter of 2019. Additionally, the state of California implemented a new managed care organization assessment, effective January 1, 2020, after the prior assessment mechanism expired on June 30, 2019.</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2020, HIF expense amounted to $277 million and HIF reimbursements amounted to $271 million. Public Law No. 115-120 provided for a HIF moratorium in 2019; therefore, there was no HIF incurred or reimbursed in that year. Due to the reinstatement of the HIF in 2020, our effective tax rate was higher in 2020 compared with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Further Consolidated Appropriations Act, 2020, repealed the HIF effective for years after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Investment income and other revenue decreased to $76 million in 2020, compared with $132 million in 2019. The year-over-year decrease was consistent with our expectation and was due to the low interest rate environment.</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MARKETPLACE RISK CORRIDOR JUDGMENT</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June 2020, the U.S. Court of Federal Claims granted us judgment in the amount of $128 million for 2014, 2015, and 2016 Marketplace risk corridor claims, following a favorable U.S. Supreme Court decision in April 2020 which</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40" w:name="page41"/>
    <w:bookmarkEnd w:id="40"/>
    <w:p>
      <w:pPr>
        <w:ind w:right="260"/>
        <w:spacing w:after="0" w:line="254" w:lineRule="auto"/>
        <w:rPr>
          <w:sz w:val="20"/>
          <w:szCs w:val="20"/>
          <w:color w:val="auto"/>
        </w:rPr>
      </w:pPr>
      <w:r>
        <w:rPr>
          <w:rFonts w:ascii="Arial" w:cs="Arial" w:eastAsia="Arial" w:hAnsi="Arial"/>
          <w:sz w:val="18"/>
          <w:szCs w:val="18"/>
          <w:color w:val="auto"/>
        </w:rPr>
        <w:t>held §1342 of the Affordable Care Act obligated the federal government to pay participating insurers the full Marketplace risk corridor amounts calculated by that statute. We received the judgment in October 2020 and, consistent with the timing of the cash receipt, the gain was recognized in our fourth quarter 2020 financial results and reported in “Marketplace risk corridor judgment” in our consolidated statements of income. The judgment did not create additional Minimum MLR rebates.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(“G&amp;A”) EXPENSES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G&amp;A expense ratio decreased slightly to 7.6% in 2020 compared with 7.7% in 2019, due to increased revenues, partially offset by increased costs associated with the COVID-19 pandemic, due to added operational protocols, technology implementations, and benefits for our employees, and also from increased costs associated with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Interest expense increased to $102 million in 2020, compared with $87 million in 2019. Additional interest expense relating to the 4.375% Notes issued in June 2020, and the 3.875% Notes issued in November 2020, was partially offset by the decrease in interest expense resulting from the settlement of the convertible senior notes in January 2020. As further described below in “Liquidity,” a portion of the net proceeds from the 4.375% Notes offering was used to repay $600 million principal amount outstanding under the term loan facility of our prior credit agreement. Additionally, a portion of the net proceeds from the 3.875% Notes offering was used to repay the $330 million principal amount outstanding under the 4.875% Notes.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2020, we recognized losses on debt repayment of $15 million in connection with repayment of our term loan facility and other financing transactions. In 2019, we recognized a gain on debt repayment of $15 million, in connection with convertible senior notes repayment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Income tax expense amounted to $288 million in 2020, or 30.0% of pretax income, compared with income tax expense of $235 million in 2019, or 24.2% of the pretax income. The effective tax rate was higher in 2020 due to higher nondeductible expenses in 2020, primarily related to the nondeductible HIF. As discussed above, the HIF was not applicable in 2019 and has been repealed for years after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December 31, 2020, we had two reportable segments: the Health Plans segment, and the Other segment. Our reportable segments are consistent with how we currently manage the business and view the markets we serve.</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Margin for our Health Plans segment is also referred to as “Medical Margin.” Medical Margin amounted to $2.5 billion and $2.3 billion in 2020 and 2019, respectively for the Health Plans segment. Management’s discussion and analysis of the changes in Medical Margin is discussed below under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16, “Segments,”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0F7C7F"/>
        </w:rPr>
        <w:t>HEALTH PLANS</w:t>
      </w:r>
    </w:p>
    <w:p>
      <w:pPr>
        <w:spacing w:after="0" w:line="1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December 31, 2020, the Health Plans segment consisted of health plans operating in 15 states, and served approximately 4.0 million members eligible for Medicaid, Medicare, and other government-sponsored healthcare programs for low-income families and individuals, including Marketplace members, most of whom receive government premium subsidies. In addition, in connection with our acquisition of Magellan Complete Care on December 31, 2020, we added approximately 200,000 members, and now operate health plans in 18 states.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Health Plans reportable segment includes our regulated health plan operating segments, along with the recently acquired Magellan Complete Care health plans operating segment. Because this acquisition closed on December 31, 2020, Magellan Complete Care’s operating results were insignificant to our consolidated results of operations for the year ended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a discussion of the Health Plans segment’s trends, uncertainties and other developments, refer to “Item 1. Business—Our Business,” “— COVID-19 Pandemic,” and “—Legislative and Political Environment.”</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tables below summarize premium revenue, Medical Margin, and MCR by state health plan and by government program for the periods indicated (dollars in millions):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b w:val="1"/>
                <w:bCs w:val="1"/>
                <w:color w:val="auto"/>
              </w:rPr>
              <w:t>Medical</w:t>
            </w:r>
          </w:p>
        </w:tc>
        <w:tc>
          <w:tcPr>
            <w:tcW w:w="100" w:type="dxa"/>
            <w:vAlign w:val="bottom"/>
          </w:tcPr>
          <w:p>
            <w:pPr>
              <w:spacing w:after="0"/>
              <w:rPr>
                <w:sz w:val="15"/>
                <w:szCs w:val="15"/>
                <w:color w:val="auto"/>
              </w:rPr>
            </w:pPr>
          </w:p>
        </w:tc>
        <w:tc>
          <w:tcPr>
            <w:tcW w:w="12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MCR</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15"/>
                <w:szCs w:val="15"/>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Medical</w:t>
            </w:r>
          </w:p>
        </w:tc>
        <w:tc>
          <w:tcPr>
            <w:tcW w:w="100" w:type="dxa"/>
            <w:vAlign w:val="bottom"/>
          </w:tcPr>
          <w:p>
            <w:pPr>
              <w:spacing w:after="0"/>
              <w:rPr>
                <w:sz w:val="15"/>
                <w:szCs w:val="15"/>
                <w:color w:val="auto"/>
              </w:rPr>
            </w:pPr>
          </w:p>
        </w:tc>
        <w:tc>
          <w:tcPr>
            <w:tcW w:w="12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MCR</w:t>
            </w:r>
          </w:p>
        </w:tc>
        <w:tc>
          <w:tcPr>
            <w:tcW w:w="0" w:type="dxa"/>
            <w:vAlign w:val="bottom"/>
          </w:tcPr>
          <w:p>
            <w:pPr>
              <w:spacing w:after="0"/>
              <w:rPr>
                <w:sz w:val="1"/>
                <w:szCs w:val="1"/>
                <w:color w:val="auto"/>
              </w:rPr>
            </w:pPr>
          </w:p>
        </w:tc>
      </w:tr>
      <w:tr>
        <w:trPr>
          <w:trHeight w:val="215"/>
        </w:trPr>
        <w:tc>
          <w:tcPr>
            <w:tcW w:w="3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Margin</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87.7 %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81.0 %</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Florida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1320" w:type="dxa"/>
            <w:vAlign w:val="bottom"/>
            <w:gridSpan w:val="2"/>
          </w:tcPr>
          <w:p>
            <w:pPr>
              <w:ind w:left="780"/>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1340" w:type="dxa"/>
            <w:vAlign w:val="bottom"/>
            <w:gridSpan w:val="2"/>
          </w:tcPr>
          <w:p>
            <w:pPr>
              <w:jc w:val="right"/>
              <w:ind w:right="139"/>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Kentucky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320" w:type="dxa"/>
            <w:vAlign w:val="bottom"/>
            <w:gridSpan w:val="2"/>
          </w:tcPr>
          <w:p>
            <w:pPr>
              <w:ind w:left="780"/>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Ohio</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320" w:type="dxa"/>
            <w:vAlign w:val="bottom"/>
            <w:gridSpan w:val="2"/>
          </w:tcPr>
          <w:p>
            <w:pPr>
              <w:ind w:left="78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1340" w:type="dxa"/>
            <w:vAlign w:val="bottom"/>
            <w:gridSpan w:val="2"/>
          </w:tcPr>
          <w:p>
            <w:pPr>
              <w:jc w:val="right"/>
              <w:ind w:right="13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1320" w:type="dxa"/>
            <w:vAlign w:val="bottom"/>
            <w:gridSpan w:val="2"/>
          </w:tcPr>
          <w:p>
            <w:pPr>
              <w:ind w:left="780"/>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w:t>
            </w:r>
          </w:p>
        </w:tc>
        <w:tc>
          <w:tcPr>
            <w:tcW w:w="1340" w:type="dxa"/>
            <w:vAlign w:val="bottom"/>
            <w:gridSpan w:val="2"/>
          </w:tcPr>
          <w:p>
            <w:pPr>
              <w:jc w:val="right"/>
              <w:ind w:right="139"/>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9"/>
        </w:trPr>
        <w:tc>
          <w:tcPr>
            <w:tcW w:w="36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320" w:type="dxa"/>
            <w:vAlign w:val="bottom"/>
            <w:gridSpan w:val="2"/>
          </w:tcPr>
          <w:p>
            <w:pPr>
              <w:ind w:left="780"/>
              <w:spacing w:after="0"/>
              <w:rPr>
                <w:sz w:val="20"/>
                <w:szCs w:val="20"/>
                <w:color w:val="auto"/>
              </w:rPr>
            </w:pPr>
            <w:r>
              <w:rPr>
                <w:rFonts w:ascii="Arial" w:cs="Arial" w:eastAsia="Arial" w:hAnsi="Arial"/>
                <w:sz w:val="16"/>
                <w:szCs w:val="16"/>
                <w:color w:val="auto"/>
              </w:rPr>
              <w:t>86.5 %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85.8 %</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right="200" w:hanging="332"/>
        <w:spacing w:after="0" w:line="260"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Puerto Rico, South Carolina, Utah, and Wisconsin health plans, whose results are not individually significant to our consolidated operating results.</w:t>
      </w:r>
    </w:p>
    <w:p>
      <w:pPr>
        <w:spacing w:after="0" w:line="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discussed above, the combination of all the COVID-19 pandemic-related impacts decreased pretax income in 2020 and increased our consolidated MCR in 2020 by approximately 50 basis points. Some of these items increased earnings, such as lower than expected medical costs from the curtailment of utilization that benefited all our state health plans, and a meaningful increase in Medicaid membership, while others served to decrease earnings, such as the temporary, retroactive Medicaid premium refunds and related actions enacted by certain states.</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Comments relating to the performance of our health plans in California, Ohio, Texas and Washington, which represent our largest health plans from a premium revenue standpoint, follow:</w:t>
      </w:r>
    </w:p>
    <w:p>
      <w:pPr>
        <w:spacing w:after="0" w:line="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California. </w:t>
      </w:r>
      <w:r>
        <w:rPr>
          <w:rFonts w:ascii="Arial" w:cs="Arial" w:eastAsia="Arial" w:hAnsi="Arial"/>
          <w:sz w:val="18"/>
          <w:szCs w:val="18"/>
          <w:color w:val="auto"/>
        </w:rPr>
        <w:t>For the year ended December 31, 2020, Medical Margin declined when compared with 2019, as the lower medical care costs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curtailment of utilization were more than offset by retroactive Medicaid premium refunds and underperformance in the Marketplace program.</w:t>
      </w:r>
    </w:p>
    <w:p>
      <w:pPr>
        <w:spacing w:after="0" w:line="6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 xml:space="preserve">Ohio. </w:t>
      </w:r>
      <w:r>
        <w:rPr>
          <w:rFonts w:ascii="Arial" w:cs="Arial" w:eastAsia="Arial" w:hAnsi="Arial"/>
          <w:sz w:val="18"/>
          <w:szCs w:val="18"/>
          <w:color w:val="auto"/>
        </w:rPr>
        <w:t>For the year ended December 31, 2020, Medical Margin was higher when compared with 2019, due to higher premiums and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in Medicaid. Premium revenues were higher year-over-year, mainly due to increased membership, program changes and rate increases in Medicaid established before COVID-19. The</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42" w:name="page43"/>
    <w:bookmarkEnd w:id="42"/>
    <w:p>
      <w:pPr>
        <w:ind w:right="800"/>
        <w:spacing w:after="0" w:line="261" w:lineRule="auto"/>
        <w:rPr>
          <w:sz w:val="20"/>
          <w:szCs w:val="20"/>
          <w:color w:val="auto"/>
        </w:rPr>
      </w:pPr>
      <w:r>
        <w:rPr>
          <w:rFonts w:ascii="Arial" w:cs="Arial" w:eastAsia="Arial" w:hAnsi="Arial"/>
          <w:sz w:val="18"/>
          <w:szCs w:val="18"/>
          <w:color w:val="auto"/>
        </w:rPr>
        <w:t>net effects of COVID-19 had an unfavorable impact on Medical Margins in all programs in 2020, as the retroactive premium refunds exceeded the benefit from lower medical costs due to the curtailment of utilization.</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For the year ended December 31, 2020, premium revenues and Medical Margin were both slightly higher when compared with 2019.</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Margin increased due to higher premium revenues and a lower MCR in Medicaid, mostly driven by curtailment of utilization related to COVID-19 premiums, partially offset by underperformance in Marketplace. The decline in Marketplace resulted mainly from lower premiums and higher acuity mix for the new members we served.</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For the year ended December 31, 2020, Medical Margin was higher when compared with 2019, mainly due to improved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Medicaid. Medicaid premium revenues increased in the year ended December 31, 2020, due to membership growth. In addition, results in the year ended December 31, 2020, benefited modestly from lower medical costs due to the curtailment of utilization driven by COVID-19, which was partially offset by COVID-related provider payments mandated by the state in the second quarter of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24"/>
                <w:szCs w:val="24"/>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Medical</w:t>
            </w:r>
          </w:p>
        </w:tc>
        <w:tc>
          <w:tcPr>
            <w:tcW w:w="120" w:type="dxa"/>
            <w:vAlign w:val="bottom"/>
          </w:tcPr>
          <w:p>
            <w:pPr>
              <w:spacing w:after="0"/>
              <w:rPr>
                <w:sz w:val="24"/>
                <w:szCs w:val="24"/>
                <w:color w:val="auto"/>
              </w:rPr>
            </w:pPr>
          </w:p>
        </w:tc>
        <w:tc>
          <w:tcPr>
            <w:tcW w:w="12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MCR</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Premium</w:t>
            </w:r>
          </w:p>
        </w:tc>
        <w:tc>
          <w:tcPr>
            <w:tcW w:w="180" w:type="dxa"/>
            <w:vAlign w:val="bottom"/>
          </w:tcPr>
          <w:p>
            <w:pPr>
              <w:spacing w:after="0"/>
              <w:rPr>
                <w:sz w:val="24"/>
                <w:szCs w:val="24"/>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Medical</w:t>
            </w:r>
          </w:p>
        </w:tc>
        <w:tc>
          <w:tcPr>
            <w:tcW w:w="120" w:type="dxa"/>
            <w:vAlign w:val="bottom"/>
          </w:tcPr>
          <w:p>
            <w:pPr>
              <w:spacing w:after="0"/>
              <w:rPr>
                <w:sz w:val="24"/>
                <w:szCs w:val="24"/>
                <w:color w:val="auto"/>
              </w:rPr>
            </w:pPr>
          </w:p>
        </w:tc>
        <w:tc>
          <w:tcPr>
            <w:tcW w:w="12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MCR</w:t>
            </w: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Margin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87.4 %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88.0 %</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86.5 %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85.8 %</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Medicaid premium revenue increased $1,799 million in 2020, when compared with 2019, mainly due to membership growth and premium increases in several states, and the impact from suspension of redeterminations due to COVID-19. Excluding acquisitions and our planned exit from Puerto Rico, we have added approximately 415,000 new Medicaid members since March 31, 2020, when we first began to report on the impacts of the pandemic. We believe this membership increase was mainly due to the suspension of redeterminations. These premium increases were partially offset by premium refunds and related actions enacted in several states in response to the lower utilization of medical services stemming from COVID-19.</w:t>
      </w:r>
    </w:p>
    <w:p>
      <w:pPr>
        <w:spacing w:after="0" w:line="10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Medical Margin of our Medicaid program increased $ 307 million, or 21%, in 2020 when compared with 2019. The increase was driven by increased premium revenues and margin associated with the membership growth discussed above, and from a reduction in the MCR.</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Medicaid MCR decreased to 87.4% in 2020, from 88.0% in 2019, or 60 basis points. The decrease in the Medicaid MCR in 2020 was due to improvements across all programs. The MCR benefited from operational improvements and premium increases in several states, but was partially offset by unfavorable effects of COVID-19, including the impact of the premium refunds and related actions, net of lower medical costs due to the curtailment of utilization.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third quarter of 2020, we recognized a $ 10 million premium deficiency reserve (“PDR”) associated with the Puerto Rico Medicaid business. We exited this business on October 31, 2020. The PDR represents the estimated remaining claims and administrative costs that exceed the estimated remaining premiums associated with the contract.</w:t>
      </w:r>
    </w:p>
    <w:p>
      <w:pPr>
        <w:spacing w:after="0" w:line="9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These improvements were partially offset by unfavorable year-over-year changes in prior year reserve development. Prior year reserve development in 2020 was not material; however, 2019 was positively impacted by 100 basis points of favorable reserve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Medicare premium revenue increased $269 million in 2020, when compared with 2019, primarily due to increases in premium revenue PMPM and member months. PMPMs improved due to increased revenue resulting from risk scores that are more commensurate with the acuity of our population and increases in quality incentive premium revenues. These increases were partially offset by premium refunds, mainly in MMP, enacted in response to the lower utilization of medical services stemming from COVID-19.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ind w:right="160"/>
        <w:spacing w:after="0" w:line="261" w:lineRule="auto"/>
        <w:rPr>
          <w:sz w:val="20"/>
          <w:szCs w:val="20"/>
          <w:color w:val="auto"/>
        </w:rPr>
      </w:pPr>
      <w:r>
        <w:rPr>
          <w:rFonts w:ascii="Arial" w:cs="Arial" w:eastAsia="Arial" w:hAnsi="Arial"/>
          <w:sz w:val="18"/>
          <w:szCs w:val="18"/>
          <w:color w:val="auto"/>
        </w:rPr>
        <w:t>The Medical Margin for Medicare increased $21 million, or 6%, in 2020 when compared with 2019, primarily due to the increase in premium revenue discussed above, partially offset by increases in medical costs PMPM.</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Medicare MCR increased from 85.3% in 2019 to 86.0% in 2020, or 70 basis points. The increase was primarily driven by an increase in medical care costs PMPM, which was mainly attributed to unfavorable changes in member mix, including higher acuity populations. The medical cost PMPM also reflected modestly lower utilization of medical services stemming from COVID-19. The impact of increased medical costs on the MCR was partially offset by the increase in the premium revenue PMPM discussed above.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Marketplace premium revenue increased $23 million in 2020, when compared with 2019, mainly due to increased membership, partially offset by a decrease in premium revenue PMPM. The decrease in premium revenue PMPM was mainly driven by lower pricing, in an effort to be more competitive and generate membership growth, and the impact of more health plans being subject to minimum medical loss ratio rebates when compared with the prior year. The factors decreasing premium revenue PMPM were partially offset by the impact of higher risk adjustment premiums, resulting from higher acuity of our membership.</w:t>
      </w:r>
    </w:p>
    <w:p>
      <w:pPr>
        <w:spacing w:after="0" w:line="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Marketplace Medical Margin decreased $152 million in 2020, despite the increase in premium revenues, due to an increase in the MCR compared to 2019.</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Marketplace MCR increased to 78.7% in 2020, compared to 68.2% in 2019. The increase in MCR was driven by the impact of the decrease in premium revenue PMPM discussed above, combined with an increase in medical cost PMPM when compared with 2019. The higher medical cost PMPM was primarily due to a higher member acuity mix and increased medical costs related to COVID-19. The rebound in utilization for Marketplace, following the curtailment from COVID-19, has been much more pronounced than our Medicaid and Medicare programs. Additionally, our risk scores, though increased compared to 2019, continue to lag the acuity of our membership.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1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Other segment includes certain corporate amounts not allocated to the Health Plans segment. In 2020 and 2019, such amounts were immaterial to our consolidated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health plan subsidiaries generate significant cash flows from premium revenue and net income. Such cash flows are our primary source of liquidity. Thus, any future decline in our profitability may have a negative impact on our liquidity. We generally receive premium revenue a short time before we pay for the related healthcare services. The majority of the assets held by our regulated health plan subsidiaries is in the form of cash, cash equivalents, and investments.</w:t>
      </w:r>
    </w:p>
    <w:p>
      <w:pPr>
        <w:spacing w:after="0" w:line="9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$635 million in 2020, and $ 1,373 million in 2019, respectively. The parent company contributed capital of $107 million and $43 million in 2020 and 2019, respectively, to our regulated health plan subsidiaries to satisfy statutory capital and surplus requirements.</w:t>
      </w:r>
    </w:p>
    <w:p>
      <w:pPr>
        <w:spacing w:after="0" w:line="9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Cash, cash equivalents and investments at the parent company amounted to $644 million and $997 million as of December 31, 2020, and 2019, respectively. The decrease in 2020 was mainly due to cash used for Magellan Complete Care and other acquisitions, and common stock repurchases. These outflows were partially offset by inflows from net debt financing transactions, and dividends received from regulated health plan subsidiaries, net of contributions, as described above. See further discussion below, in “Investing Activities,” and “Financing Activities.”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721"/>
              <w:spacing w:after="0"/>
              <w:rPr>
                <w:sz w:val="20"/>
                <w:szCs w:val="20"/>
                <w:color w:val="auto"/>
              </w:rPr>
            </w:pPr>
            <w:r>
              <w:rPr>
                <w:rFonts w:ascii="Arial" w:cs="Arial" w:eastAsia="Arial" w:hAnsi="Arial"/>
                <w:sz w:val="16"/>
                <w:szCs w:val="16"/>
                <w:color w:val="auto"/>
                <w:w w:val="97"/>
              </w:rPr>
              <w:t>427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left="721"/>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21"/>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157"/>
        </w:trPr>
        <w:tc>
          <w:tcPr>
            <w:tcW w:w="6680" w:type="dxa"/>
            <w:vAlign w:val="bottom"/>
          </w:tcPr>
          <w:p>
            <w:pPr>
              <w:ind w:left="22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40" w:type="dxa"/>
            <w:vAlign w:val="bottom"/>
            <w:vMerge w:val="restart"/>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9"/>
              </w:rPr>
              <w:t>1,715</w:t>
            </w:r>
          </w:p>
        </w:tc>
        <w:tc>
          <w:tcPr>
            <w:tcW w:w="1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ind w:left="72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3"/>
                <w:szCs w:val="13"/>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179"/>
        </w:trPr>
        <w:tc>
          <w:tcPr>
            <w:tcW w:w="6680" w:type="dxa"/>
            <w:vAlign w:val="bottom"/>
          </w:tcPr>
          <w:p>
            <w:pPr>
              <w:ind w:left="400"/>
              <w:spacing w:after="0" w:line="174" w:lineRule="exact"/>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operations was $1,890 million in 2020, compared with $427 million of net cash provided in 2019. The $1,463</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million increase in year-over-year cash flow was due to cash flow timing benefits from the growth in membership in 2020, and the net impact of timing differences in governmental receivables and payables.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used in investing activities was $400 million in 2020, compared with $293 million of net cash used in 2019, a decrease in year-over-year cash flow of $107 million. The decrease was mainly attributable to net cash paid in the YourCare, Passport and Magellan Complete Care acquisitions, partially offset by decreased purchases of investments in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Net cash provided by financing activities was $225 million in 2020, compared with $552 million of net cash used in 2019, an increase in year-over-year cash flow of $777 million. In 2020, cash inflows included $1,429 million from the issuance of the 4.375% and 3.875% Notes and $380 million borrowed under the term loan facility. Cash outflows included the $ 600 million repayment of the term loan facility, common stock purchases of $606 million, which included $7 million to settle shares purchased in late December 2019, and net cash paid for the aggregate convertible senior notes</w:t>
      </w:r>
      <w:r>
        <w:rPr>
          <w:rFonts w:ascii="MS PGothic" w:cs="MS PGothic" w:eastAsia="MS PGothic" w:hAnsi="MS PGothic"/>
          <w:sz w:val="19"/>
          <w:szCs w:val="19"/>
          <w:color w:val="auto"/>
        </w:rPr>
        <w:t>‑</w:t>
      </w:r>
      <w:r>
        <w:rPr>
          <w:rFonts w:ascii="Arial" w:cs="Arial" w:eastAsia="Arial" w:hAnsi="Arial"/>
          <w:sz w:val="18"/>
          <w:szCs w:val="18"/>
          <w:color w:val="auto"/>
        </w:rPr>
        <w:t>related transactions amounting to $42 million. In 2019, cash outflows included net cash paid for the aggregate convertible senior notes-related transactions of $754 million, and $47 million paid for common stock purchases, partially offset by proceeds of $220 million borrowed under the term loan facility.</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5" w:name="page46"/>
    <w:bookmarkEnd w:id="45"/>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a consolidated basis, as of December 31, 2020, our working capital was $2,911 million compared with $ 2,698 million as of December 31, 2019. At December 31, 2020, our cash and investments amounted to $6,165 million, compared with $4,477 million of cash and investments at December 31, 2019.</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statutory restrictions that inhibit the ability of our health plans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(not including the Magellan Complete Care subsidiaries) was estimated to be approximately $1,310 million at December 31, 2020, compared with $1,110 million at December 31, 2019. We estimate the Magellan Complete Care subsidiaries’ minimum capital and surplus requirement amounted to approximately $230 million at December 31, 2020. The aggregate capital and surplus of our wholly owned subsidiaries was in excess of these minimum capital requirements as of both dates.</w:t>
      </w:r>
    </w:p>
    <w:p>
      <w:pPr>
        <w:spacing w:after="0" w:line="9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December 31, 2020, was approximately $60 million in the aggregate. The subsidiaries may pay dividends over this amount, but only after approval is granted by the regulatory authorities.</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on our cash and investments balances as of December 31, 2020, management believes that its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indentures governing each of our outstanding high-yield senior notes contain cross-default provisions that are triggered upon default by us or any of our subsidiaries on any indebtedness in excess of the amount specified in the applicable indenture. As of December 31, 2020, we were in compliance with all financial and non-financial covenants under the Credit Agreement and other long-term debt.</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6" w:name="page47"/>
    <w:bookmarkEnd w:id="46"/>
    <w:p>
      <w:pPr>
        <w:jc w:val="both"/>
        <w:ind w:right="580"/>
        <w:spacing w:after="0" w:line="266"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planned exit from Puerto Rico, we have added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415,000 new Medicaid members since March 31, 2020, when we first began to report on the impacts of the pandemic. We believe this membership increase was mainly due to the suspension of redeterminations.</w:t>
      </w:r>
    </w:p>
    <w:p>
      <w:pPr>
        <w:spacing w:after="0" w:line="8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It remains unclear how high the COVID-related membership peak will be, how quickly it will fall as the economy recovers, and where it will ultimately settle. However it does now appear that since unemployment nationally has fallen to 6.3% as of January 2021, the initial industry estimates of unemployment-related Medicaid membership increases were somewhat overstated. On a related note, the declaration of the extension of the public health emergency period to April 2021, with a potential extension from the Biden administration for the public health emergency to remain in place for all of 2021, will also likely have an impact. Therefore, we are currently unable to predict the timing or amount of the expected increases in enrollment. Increased membership would increase our premium revenue, but would also likely result in a significant increase in medical care claims and related costs. We believe that we have the scalability necessary to both serve new members, and ably partner with our state customers for increases in membership.</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could reduce the liquidity of the parent company. For more information on our regulatory capital requirements and dividend restrictions, refer to Notes to Consolidated Financial Statements, Note 15, “Commitments and Contingencies—Regulatory Capital Requirements and Dividend Restrictions,” and Note 17, “Condensed Financial Information of Registrant—Note C - Dividends and Capital Contributions.”</w:t>
      </w:r>
    </w:p>
    <w:p>
      <w:pPr>
        <w:spacing w:after="0" w:line="8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December 31, 2020,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we maintain a minimum consolidated net leverage ratio. See further discussion in the Notes to Consolidated Financial Statements, Note 11,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2020, our board of directors authorized the purchase of up to $ 500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Following the purchases completed under a Rule 10b5-1 trading plan from November 2020 through February 11, 2021, there is approximately $219 million remaining available to purchase our common stock through December 31, 2021. See further information in the Notes to Consolidated Financial Statements, Note 13, “Stockholders’ Equity.”</w:t>
      </w:r>
    </w:p>
    <w:p>
      <w:pPr>
        <w:spacing w:after="0" w:line="7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September 2020, we entered into a definitive agreement to acquire substantially all the assets of Affinity Health Plan, Inc. The net purchase price for the transaction is approximately $380 million, subject to various adjustments at closing, which we intend to fund with cash on hand. We currently expect the transaction to close as early as the second quarter of 2021.</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2020, we completed the acquisition of certain assets of Passport Health Plan, Inc. The purchase consideration included estimated contingent consideration of approximately $46 million as of December 31, 2020. Half this amount is payable later in 2021, with the remainder payable in early 2022, subject to review and agreement among us and the seller. The second half payment is contingent upon the outcome of certain legal challenges.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ind w:right="260"/>
        <w:spacing w:after="0" w:line="261" w:lineRule="auto"/>
        <w:rPr>
          <w:sz w:val="20"/>
          <w:szCs w:val="20"/>
          <w:color w:val="auto"/>
        </w:rPr>
      </w:pPr>
      <w:r>
        <w:rPr>
          <w:rFonts w:ascii="Arial" w:cs="Arial" w:eastAsia="Arial" w:hAnsi="Arial"/>
          <w:sz w:val="18"/>
          <w:szCs w:val="18"/>
          <w:i w:val="1"/>
          <w:iCs w:val="1"/>
          <w:color w:val="auto"/>
        </w:rPr>
        <w:t xml:space="preserve">Outcome of ACA Litigation. </w:t>
      </w:r>
      <w:r>
        <w:rPr>
          <w:rFonts w:ascii="Arial" w:cs="Arial" w:eastAsia="Arial" w:hAnsi="Arial"/>
          <w:sz w:val="18"/>
          <w:szCs w:val="18"/>
          <w:color w:val="auto"/>
        </w:rPr>
        <w:t>As described above in “Health Plans Segment—Trends and Uncertainties,” the U.S. Supreme Court has</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the appeal of the Fifth Circuit Court’s decision regarding the constitutionality and severability of the individual mandate. The ACA remains in effect pending the issuance of the Supreme Court’s opinion. A decision by the Supreme Court that the entirety of the ACA is unconstitutional could have a material adverse effect on our business, financial condition, cash flows, or results of operations.</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Beginning in early 2020 the pandemic, along with the related quarantine and social distancing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reduced demand for certain routine and non-critical medical services, while at the same time increased demand for other medical services, such as COVID-19 testing and emergency services. In 2020, utilization was curtailed, but could rebound to more normal levels in 2021. Increased demand for medical services, which we are presently unable to predict the timing or magnitude, could result in a significant increase in medical care costs and related provider claims payments.</w:t>
      </w:r>
    </w:p>
    <w:p>
      <w:pPr>
        <w:spacing w:after="0" w:line="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Also, as described above in “Item 1. Business—COVID-19 Pandemic,” we have been subject to premium refunds and related actions as a result of the pandemic. In 2020, various states enacted temporary premium refunds and related actions in response to the reduced demand for medical services stemming from COVID-19, which resulted in a reduction of our medical margin. In some cases, these premium actions were retroactive to earlier periods in 2020, or as early as the beginning of the states’ fiscal years in 2019. Beginning in the second quarter of 2020, we have recognized retroactive premium actions that we believe to be probable, and where the ultimate premium amount is reasonably estimable. We recognized $564 million related to these retroactive premium actions, in the aggregate, in 2020.</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The Molina Healthcare Charitable Foundation. </w:t>
      </w:r>
      <w:r>
        <w:rPr>
          <w:rFonts w:ascii="Arial" w:cs="Arial" w:eastAsia="Arial" w:hAnsi="Arial"/>
          <w:sz w:val="18"/>
          <w:szCs w:val="18"/>
          <w:color w:val="auto"/>
        </w:rPr>
        <w:t>In August 2020, we announced our commitment of $150 million to fund The Molina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Foundation (the “Foundation”), an independent not-for-profit charitable foundation. We contributed $15 million to the Foundation in the fourth quarter of 2020.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76" w:lineRule="exact"/>
        <w:rPr>
          <w:sz w:val="20"/>
          <w:szCs w:val="20"/>
          <w:color w:val="auto"/>
        </w:rPr>
      </w:pPr>
    </w:p>
    <w:p>
      <w:pPr>
        <w:ind w:left="660" w:right="240" w:hanging="328"/>
        <w:spacing w:after="0" w:line="28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See discussion below, and refer to the Notes to Consolidated Financial Statements, Notes 2,</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Policies,” and 10, “Medical Claims and Benefits Payable” for more information.</w:t>
      </w:r>
    </w:p>
    <w:p>
      <w:pPr>
        <w:spacing w:after="0" w:line="53" w:lineRule="exact"/>
        <w:rPr>
          <w:rFonts w:ascii="Arial" w:cs="Arial" w:eastAsia="Arial" w:hAnsi="Arial"/>
          <w:sz w:val="18"/>
          <w:szCs w:val="18"/>
          <w:color w:val="auto"/>
        </w:rPr>
      </w:pPr>
    </w:p>
    <w:p>
      <w:pPr>
        <w:ind w:left="660" w:right="80" w:hanging="328"/>
        <w:spacing w:after="0" w:line="313"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Contractual provisions that may adjust or limit revenue or profit. </w:t>
      </w:r>
      <w:r>
        <w:rPr>
          <w:rFonts w:ascii="Arial" w:cs="Arial" w:eastAsia="Arial" w:hAnsi="Arial"/>
          <w:sz w:val="17"/>
          <w:szCs w:val="17"/>
          <w:color w:val="auto"/>
        </w:rPr>
        <w:t>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the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660" w:hanging="328"/>
        <w:spacing w:after="0" w:line="28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Quality incentives. </w:t>
      </w:r>
      <w:r>
        <w:rPr>
          <w:rFonts w:ascii="Arial" w:cs="Arial" w:eastAsia="Arial" w:hAnsi="Arial"/>
          <w:sz w:val="18"/>
          <w:szCs w:val="18"/>
          <w:color w:val="auto"/>
        </w:rPr>
        <w:t>For a discussion of this topic, refer to the Notes to Consolidated Financial Statements, Note 2,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w:t>
      </w:r>
    </w:p>
    <w:p>
      <w:pPr>
        <w:spacing w:after="0" w:line="53" w:lineRule="exact"/>
        <w:rPr>
          <w:rFonts w:ascii="Arial" w:cs="Arial" w:eastAsia="Arial" w:hAnsi="Arial"/>
          <w:sz w:val="18"/>
          <w:szCs w:val="18"/>
          <w:color w:val="auto"/>
        </w:rPr>
      </w:pPr>
    </w:p>
    <w:p>
      <w:pPr>
        <w:ind w:left="660" w:right="38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At December 31, 2020, goodwill and intangible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approximately 10% of total assets and 45% of total stockholders’ equity, compared with 3% and 9%, respectively, at December 31, 2019. For a comprehensive discussion of this topic, including amounts recorded in our consolidated financial statements, refer to the Notes to Consolidated Financial Statements, Note 2, “Significant Accounting Policies,” Note 4, “Business Combinations,” and Note 9, “Goodwill and Intangible Assets, Net.”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spacing w:after="0"/>
        <w:rPr>
          <w:sz w:val="20"/>
          <w:szCs w:val="20"/>
          <w:color w:val="auto"/>
        </w:rPr>
      </w:pPr>
      <w:r>
        <w:rPr>
          <w:rFonts w:ascii="Arial" w:cs="Arial" w:eastAsia="Arial" w:hAnsi="Arial"/>
          <w:sz w:val="25"/>
          <w:szCs w:val="25"/>
          <w:color w:val="828282"/>
        </w:rPr>
        <w:t>MEDICAL CARE COSTS, MEDICAL CLAIMS AND BENEFITS PAYABLE</w:t>
      </w:r>
    </w:p>
    <w:p>
      <w:pPr>
        <w:spacing w:after="0" w:line="11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p>
    <w:p>
      <w:pPr>
        <w:spacing w:after="0" w:line="9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claims incurred within three months before the financial statement date, actual claims paid are a less reliable measure of our ultimate cost since a large portion of medical claims are not submitted to us until several months after services have been submitted.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 and other relevant factors.</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Adverse conditions are situations that may cause actual claims to be higher than the otherwise estimated value of such claims at the time of the estimate, such as changes in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9" w:name="page50"/>
    <w:bookmarkEnd w:id="49"/>
    <w:p>
      <w:pPr>
        <w:ind w:right="100"/>
        <w:spacing w:after="0" w:line="278" w:lineRule="auto"/>
        <w:rPr>
          <w:sz w:val="20"/>
          <w:szCs w:val="20"/>
          <w:color w:val="auto"/>
        </w:rPr>
      </w:pPr>
      <w:r>
        <w:rPr>
          <w:rFonts w:ascii="Arial" w:cs="Arial" w:eastAsia="Arial" w:hAnsi="Arial"/>
          <w:sz w:val="17"/>
          <w:szCs w:val="17"/>
          <w:color w:val="auto"/>
        </w:rPr>
        <w:t>magnitude or severity of claims, uncertainties related to our entry into new geographical markets or provision of 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subsequent actual claims payments are less than we estimated, we recognize a benefit for favorable prior period development that is reported as part of “Components of medical care costs related to: “Prior years” in the table presented in Note 10, “Medical Claims and Benefits Payable.” Our reserving practice is to consistently recognize the actuarial best estimate including a provision for moderately adverse conditions for each current period. This provision is reported as part of “Components of medical care costs related to: Current year”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9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2020 that would result if we change our completion factors for the fourth through the twelfth months preceding December 31, 2020, by the percentages indicated. A reduction in the completion factor results in an increase in medical claims liabilities. The following tables do not include amounts relating to our recent acquisitions of Magellan Complete Care and Passport. Dollar amounts are in millions.</w:t>
      </w:r>
    </w:p>
    <w:tbl>
      <w:tblPr>
        <w:tblLayout w:type="fixed"/>
        <w:tblInd w:w="0" w:type="dxa"/>
        <w:tblCellMar>
          <w:top w:w="0" w:type="dxa"/>
          <w:left w:w="0" w:type="dxa"/>
          <w:bottom w:w="0" w:type="dxa"/>
          <w:right w:w="0" w:type="dxa"/>
        </w:tblCellMar>
      </w:tblPr>
      <w:tr>
        <w:trPr>
          <w:trHeight w:val="179"/>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79"/>
              <w:spacing w:after="0" w:line="179"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 Medical Claims</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Increase (Decrease) in Estimated Completion Factors</w:t>
            </w: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215"/>
        </w:trPr>
        <w:tc>
          <w:tcPr>
            <w:tcW w:w="98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7"/>
              </w:rPr>
              <w:t>491</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w w:val="97"/>
              </w:rPr>
              <w:t>327</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7"/>
              </w:rPr>
              <w:t>164</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240" w:type="dxa"/>
            <w:vAlign w:val="bottom"/>
          </w:tcPr>
          <w:p>
            <w:pPr>
              <w:jc w:val="center"/>
              <w:ind w:left="739"/>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reflects the hypothetical change in our estimate of claims liability as of December 31, 2020 that would result if we alter our assumed medical care cost trend factors by the percentages indicated. An increase in the PMPM costs results in an increase in medical claims liabilities. Dollar amounts are in millions.</w:t>
      </w:r>
    </w:p>
    <w:tbl>
      <w:tblPr>
        <w:tblLayout w:type="fixed"/>
        <w:tblInd w:w="0" w:type="dxa"/>
        <w:tblCellMar>
          <w:top w:w="0" w:type="dxa"/>
          <w:left w:w="0" w:type="dxa"/>
          <w:bottom w:w="0" w:type="dxa"/>
          <w:right w:w="0" w:type="dxa"/>
        </w:tblCellMar>
      </w:tblPr>
      <w:tr>
        <w:trPr>
          <w:trHeight w:val="176"/>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79"/>
              <w:spacing w:after="0" w:line="175"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62"/>
        </w:trPr>
        <w:tc>
          <w:tcPr>
            <w:tcW w:w="980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 Medical Claims</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(Decrease) Increase in Trended Per Member Per Month Cost Estimates</w:t>
            </w: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8"/>
              </w:rPr>
              <w:t>and</w:t>
            </w:r>
          </w:p>
        </w:tc>
        <w:tc>
          <w:tcPr>
            <w:tcW w:w="0" w:type="dxa"/>
            <w:vAlign w:val="bottom"/>
          </w:tcPr>
          <w:p>
            <w:pPr>
              <w:spacing w:after="0"/>
              <w:rPr>
                <w:sz w:val="1"/>
                <w:szCs w:val="1"/>
                <w:color w:val="auto"/>
              </w:rPr>
            </w:pPr>
          </w:p>
        </w:tc>
      </w:tr>
      <w:tr>
        <w:trPr>
          <w:trHeight w:val="215"/>
        </w:trPr>
        <w:tc>
          <w:tcPr>
            <w:tcW w:w="98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RECENTLY ISSUED ACCOUNTING STANDARDS</w:t>
      </w:r>
    </w:p>
    <w:p>
      <w:pPr>
        <w:spacing w:after="0" w:line="1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Refer to the Notes to Consolidated Financial Statements, Note 2, “Significant Accounting Policies,” for a discussion of recent accounting pronouncements that affect us.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table below, we present our contractual obligations as of December 31, 2020. Some of the amounts included in this table are based on management’s estimates and assumptions about these obligations, including their duration, the possibility of renewal, anticipated actions by third parties, and other factors. Because these estimates and assumptions are necessarily subjective, the contractual obligations we will actually pay in future periods may vary from those reflected in the table.</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Additionally, we have a variety of other contractual agreements related to acquiring services used in our operations. However, we believe these other agreements do not contain material non-cancelable commitments. We are not a party to off-balance sheet financing arrangements.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2022-2023</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 and after</w:t>
            </w:r>
          </w:p>
        </w:tc>
      </w:tr>
      <w:tr>
        <w:trPr>
          <w:trHeight w:val="183"/>
        </w:trPr>
        <w:tc>
          <w:tcPr>
            <w:tcW w:w="3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Principal amount of debt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government agencies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Interest on long-term debt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Contingent consideration liability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3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66" w:lineRule="exact"/>
        <w:rPr>
          <w:sz w:val="20"/>
          <w:szCs w:val="20"/>
          <w:color w:val="auto"/>
        </w:rPr>
      </w:pPr>
    </w:p>
    <w:p>
      <w:pPr>
        <w:ind w:left="340" w:right="40" w:hanging="332"/>
        <w:spacing w:after="0" w:line="246"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December 31, 2020, we had recorded approximately $20 million of unrecognized tax benefits. The table does not contain this amount because we cannot reasonably estimate when or if such amount may be settled. For further information, refer to Notes to Consolidated Financial Statements, Note 12, “Income Taxes.”</w:t>
      </w:r>
    </w:p>
    <w:p>
      <w:pPr>
        <w:spacing w:after="0" w:line="1" w:lineRule="exact"/>
        <w:rPr>
          <w:rFonts w:ascii="Arial" w:cs="Arial" w:eastAsia="Arial" w:hAnsi="Arial"/>
          <w:sz w:val="16"/>
          <w:szCs w:val="16"/>
          <w:color w:val="auto"/>
        </w:rPr>
      </w:pPr>
    </w:p>
    <w:p>
      <w:pPr>
        <w:ind w:left="340" w:right="240" w:hanging="332"/>
        <w:spacing w:after="0" w:line="246"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principal amounts due on the 4.375% Notes due 2028, 5.375% Notes due 2022 and 3.875% Notes due 2030. For further information, refer to Notes to Consolidated Financial Statements, Note 11, “Debt.”</w:t>
      </w:r>
    </w:p>
    <w:p>
      <w:pPr>
        <w:ind w:left="340" w:right="700" w:hanging="332"/>
        <w:spacing w:after="0" w:line="260"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estimate of contingent consideration due to the seller in connection with a business combination completed in 2020. For further information, refer to Notes to Consolidated Financial Statements, Note 4, “Business Combinations.”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INFLATION</w:t>
      </w:r>
    </w:p>
    <w:p>
      <w:pPr>
        <w:spacing w:after="0" w:line="1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use various strategies to mitigate the negative effects of healthcare cost inflation. Specifically, our health plans try to control medical care costs through contracts with independent providers of healthcare services. Through these contracted providers, our health plans emphasize preventive healthcare and appropriate use of specialty and hospital services.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COMPLIANCE COSTS</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health plans are regulated by both state and federal government agencies. Regulation of managed care products and healthcare services is an evolving area of law that varies from jurisdiction to jurisdiction. Regulatory agencies generally have discretion to issue regulations and interpret and enforce laws and rules. Changes in applicable laws and rules occur frequently. Compliance with such laws and rules may lead to additional costs related to the implementation of additional systems, procedures and programs that we have not yet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51" w:name="page52"/>
    <w:bookmarkEnd w:id="51"/>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December 31, 2020, the fair value of our fixed income investments would decrease by approximately $39 million. Declines in interest rates over time will reduce our investment income.</w:t>
      </w:r>
    </w:p>
    <w:p>
      <w:pPr>
        <w:spacing w:after="0" w:line="9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the Notes to Consolidated Financial Statements, Note 5, “Fair Value Measurements,” and Note 6, “Investments.”</w:t>
      </w:r>
    </w:p>
    <w:p>
      <w:pPr>
        <w:spacing w:after="0" w:line="9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11, “Debt.”</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0F7C7F"/>
        </w:rPr>
        <w:t>MOLINA HEALTHCARE, INC.</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STATEMENTS AND SUPPLEMENTARY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4020" w:type="dxa"/>
            <w:vAlign w:val="bottom"/>
          </w:tcPr>
          <w:p>
            <w:pPr>
              <w:jc w:val="center"/>
              <w:ind w:left="2273"/>
              <w:spacing w:after="0"/>
              <w:rPr>
                <w:sz w:val="20"/>
                <w:szCs w:val="20"/>
                <w:color w:val="auto"/>
              </w:rPr>
            </w:pPr>
            <w:r>
              <w:rPr>
                <w:rFonts w:ascii="Arial" w:cs="Arial" w:eastAsia="Arial" w:hAnsi="Arial"/>
                <w:sz w:val="14"/>
                <w:szCs w:val="14"/>
                <w:b w:val="1"/>
                <w:bCs w:val="1"/>
                <w:color w:val="auto"/>
              </w:rPr>
              <w:t>Page</w:t>
            </w:r>
          </w:p>
        </w:tc>
      </w:tr>
      <w:tr>
        <w:trPr>
          <w:trHeight w:val="229"/>
        </w:trPr>
        <w:tc>
          <w:tcPr>
            <w:tcW w:w="7200" w:type="dxa"/>
            <w:vAlign w:val="bottom"/>
            <w:shd w:val="clear" w:color="auto" w:fill="CCEEFF"/>
          </w:tcPr>
          <w:p>
            <w:pPr>
              <w:ind w:left="20"/>
              <w:spacing w:after="0"/>
              <w:rPr>
                <w:rFonts w:ascii="Arial" w:cs="Arial" w:eastAsia="Arial" w:hAnsi="Arial"/>
                <w:sz w:val="18"/>
                <w:szCs w:val="18"/>
                <w:u w:val="single" w:color="auto"/>
                <w:color w:val="0F7C7F"/>
              </w:rPr>
            </w:pPr>
            <w:hyperlink w:anchor="page53">
              <w:r>
                <w:rPr>
                  <w:rFonts w:ascii="Arial" w:cs="Arial" w:eastAsia="Arial" w:hAnsi="Arial"/>
                  <w:sz w:val="18"/>
                  <w:szCs w:val="18"/>
                  <w:u w:val="single" w:color="auto"/>
                  <w:color w:val="0F7C7F"/>
                </w:rPr>
                <w:t>Consolidated Statements of Income</w:t>
              </w:r>
            </w:hyperlink>
          </w:p>
        </w:tc>
        <w:tc>
          <w:tcPr>
            <w:tcW w:w="4020" w:type="dxa"/>
            <w:vAlign w:val="bottom"/>
            <w:shd w:val="clear" w:color="auto" w:fill="CCEEFF"/>
          </w:tcPr>
          <w:p>
            <w:pPr>
              <w:jc w:val="center"/>
              <w:ind w:left="2293"/>
              <w:spacing w:after="0"/>
              <w:rPr>
                <w:rFonts w:ascii="Arial" w:cs="Arial" w:eastAsia="Arial" w:hAnsi="Arial"/>
                <w:sz w:val="18"/>
                <w:szCs w:val="18"/>
                <w:u w:val="single" w:color="auto"/>
                <w:color w:val="0F7C7F"/>
                <w:w w:val="99"/>
              </w:rPr>
            </w:pPr>
            <w:hyperlink w:anchor="page53">
              <w:r>
                <w:rPr>
                  <w:rFonts w:ascii="Arial" w:cs="Arial" w:eastAsia="Arial" w:hAnsi="Arial"/>
                  <w:sz w:val="18"/>
                  <w:szCs w:val="18"/>
                  <w:u w:val="single" w:color="auto"/>
                  <w:color w:val="0F7C7F"/>
                  <w:w w:val="99"/>
                </w:rPr>
                <w:t>51</w:t>
              </w:r>
            </w:hyperlink>
          </w:p>
        </w:tc>
      </w:tr>
      <w:tr>
        <w:trPr>
          <w:trHeight w:val="230"/>
        </w:trPr>
        <w:tc>
          <w:tcPr>
            <w:tcW w:w="7200" w:type="dxa"/>
            <w:vAlign w:val="bottom"/>
          </w:tcPr>
          <w:p>
            <w:pPr>
              <w:ind w:left="20"/>
              <w:spacing w:after="0"/>
              <w:rPr>
                <w:rFonts w:ascii="Arial" w:cs="Arial" w:eastAsia="Arial" w:hAnsi="Arial"/>
                <w:sz w:val="18"/>
                <w:szCs w:val="18"/>
                <w:u w:val="single" w:color="auto"/>
                <w:color w:val="0F7C7F"/>
              </w:rPr>
            </w:pPr>
            <w:hyperlink w:anchor="page54">
              <w:r>
                <w:rPr>
                  <w:rFonts w:ascii="Arial" w:cs="Arial" w:eastAsia="Arial" w:hAnsi="Arial"/>
                  <w:sz w:val="18"/>
                  <w:szCs w:val="18"/>
                  <w:u w:val="single" w:color="auto"/>
                  <w:color w:val="0F7C7F"/>
                </w:rPr>
                <w:t>Consolidated Statements of Comprehensive Income</w:t>
              </w:r>
            </w:hyperlink>
          </w:p>
        </w:tc>
        <w:tc>
          <w:tcPr>
            <w:tcW w:w="4020" w:type="dxa"/>
            <w:vAlign w:val="bottom"/>
          </w:tcPr>
          <w:p>
            <w:pPr>
              <w:jc w:val="center"/>
              <w:ind w:left="2293"/>
              <w:spacing w:after="0"/>
              <w:rPr>
                <w:rFonts w:ascii="Arial" w:cs="Arial" w:eastAsia="Arial" w:hAnsi="Arial"/>
                <w:sz w:val="18"/>
                <w:szCs w:val="18"/>
                <w:u w:val="single" w:color="auto"/>
                <w:color w:val="0F7C7F"/>
                <w:w w:val="99"/>
              </w:rPr>
            </w:pPr>
            <w:hyperlink w:anchor="page54">
              <w:r>
                <w:rPr>
                  <w:rFonts w:ascii="Arial" w:cs="Arial" w:eastAsia="Arial" w:hAnsi="Arial"/>
                  <w:sz w:val="18"/>
                  <w:szCs w:val="18"/>
                  <w:u w:val="single" w:color="auto"/>
                  <w:color w:val="0F7C7F"/>
                  <w:w w:val="99"/>
                </w:rPr>
                <w:t>51</w:t>
              </w:r>
            </w:hyperlink>
          </w:p>
        </w:tc>
      </w:tr>
      <w:tr>
        <w:trPr>
          <w:trHeight w:val="229"/>
        </w:trPr>
        <w:tc>
          <w:tcPr>
            <w:tcW w:w="7200" w:type="dxa"/>
            <w:vAlign w:val="bottom"/>
            <w:shd w:val="clear" w:color="auto" w:fill="CCEEFF"/>
          </w:tcPr>
          <w:p>
            <w:pPr>
              <w:ind w:left="20"/>
              <w:spacing w:after="0"/>
              <w:rPr>
                <w:rFonts w:ascii="Arial" w:cs="Arial" w:eastAsia="Arial" w:hAnsi="Arial"/>
                <w:sz w:val="18"/>
                <w:szCs w:val="18"/>
                <w:u w:val="single" w:color="auto"/>
                <w:color w:val="0F7C7F"/>
              </w:rPr>
            </w:pPr>
            <w:hyperlink w:anchor="page54">
              <w:r>
                <w:rPr>
                  <w:rFonts w:ascii="Arial" w:cs="Arial" w:eastAsia="Arial" w:hAnsi="Arial"/>
                  <w:sz w:val="18"/>
                  <w:szCs w:val="18"/>
                  <w:u w:val="single" w:color="auto"/>
                  <w:color w:val="0F7C7F"/>
                </w:rPr>
                <w:t>Consolidated Balance Sheets</w:t>
              </w:r>
            </w:hyperlink>
          </w:p>
        </w:tc>
        <w:tc>
          <w:tcPr>
            <w:tcW w:w="4020" w:type="dxa"/>
            <w:vAlign w:val="bottom"/>
            <w:shd w:val="clear" w:color="auto" w:fill="CCEEFF"/>
          </w:tcPr>
          <w:p>
            <w:pPr>
              <w:jc w:val="center"/>
              <w:ind w:left="2293"/>
              <w:spacing w:after="0"/>
              <w:rPr>
                <w:rFonts w:ascii="Arial" w:cs="Arial" w:eastAsia="Arial" w:hAnsi="Arial"/>
                <w:sz w:val="18"/>
                <w:szCs w:val="18"/>
                <w:u w:val="single" w:color="auto"/>
                <w:color w:val="0F7C7F"/>
                <w:w w:val="99"/>
              </w:rPr>
            </w:pPr>
            <w:hyperlink w:anchor="page54">
              <w:r>
                <w:rPr>
                  <w:rFonts w:ascii="Arial" w:cs="Arial" w:eastAsia="Arial" w:hAnsi="Arial"/>
                  <w:sz w:val="18"/>
                  <w:szCs w:val="18"/>
                  <w:u w:val="single" w:color="auto"/>
                  <w:color w:val="0F7C7F"/>
                  <w:w w:val="99"/>
                </w:rPr>
                <w:t>52</w:t>
              </w:r>
            </w:hyperlink>
          </w:p>
        </w:tc>
      </w:tr>
      <w:tr>
        <w:trPr>
          <w:trHeight w:val="229"/>
        </w:trPr>
        <w:tc>
          <w:tcPr>
            <w:tcW w:w="7200" w:type="dxa"/>
            <w:vAlign w:val="bottom"/>
          </w:tcPr>
          <w:p>
            <w:pPr>
              <w:ind w:left="20"/>
              <w:spacing w:after="0"/>
              <w:rPr>
                <w:rFonts w:ascii="Arial" w:cs="Arial" w:eastAsia="Arial" w:hAnsi="Arial"/>
                <w:sz w:val="18"/>
                <w:szCs w:val="18"/>
                <w:u w:val="single" w:color="auto"/>
                <w:color w:val="0F7C7F"/>
              </w:rPr>
            </w:pPr>
            <w:hyperlink w:anchor="page55">
              <w:r>
                <w:rPr>
                  <w:rFonts w:ascii="Arial" w:cs="Arial" w:eastAsia="Arial" w:hAnsi="Arial"/>
                  <w:sz w:val="18"/>
                  <w:szCs w:val="18"/>
                  <w:u w:val="single" w:color="auto"/>
                  <w:color w:val="0F7C7F"/>
                </w:rPr>
                <w:t>Consolidated Statements of Stockholders’ Equity</w:t>
              </w:r>
            </w:hyperlink>
          </w:p>
        </w:tc>
        <w:tc>
          <w:tcPr>
            <w:tcW w:w="4020" w:type="dxa"/>
            <w:vAlign w:val="bottom"/>
          </w:tcPr>
          <w:p>
            <w:pPr>
              <w:jc w:val="center"/>
              <w:ind w:left="2293"/>
              <w:spacing w:after="0"/>
              <w:rPr>
                <w:rFonts w:ascii="Arial" w:cs="Arial" w:eastAsia="Arial" w:hAnsi="Arial"/>
                <w:sz w:val="18"/>
                <w:szCs w:val="18"/>
                <w:u w:val="single" w:color="auto"/>
                <w:color w:val="0F7C7F"/>
                <w:w w:val="99"/>
              </w:rPr>
            </w:pPr>
            <w:hyperlink w:anchor="page55">
              <w:r>
                <w:rPr>
                  <w:rFonts w:ascii="Arial" w:cs="Arial" w:eastAsia="Arial" w:hAnsi="Arial"/>
                  <w:sz w:val="18"/>
                  <w:szCs w:val="18"/>
                  <w:u w:val="single" w:color="auto"/>
                  <w:color w:val="0F7C7F"/>
                  <w:w w:val="99"/>
                </w:rPr>
                <w:t>53</w:t>
              </w:r>
            </w:hyperlink>
          </w:p>
        </w:tc>
      </w:tr>
      <w:tr>
        <w:trPr>
          <w:trHeight w:val="230"/>
        </w:trPr>
        <w:tc>
          <w:tcPr>
            <w:tcW w:w="7200" w:type="dxa"/>
            <w:vAlign w:val="bottom"/>
            <w:shd w:val="clear" w:color="auto" w:fill="CCEEFF"/>
          </w:tcPr>
          <w:p>
            <w:pPr>
              <w:ind w:left="20"/>
              <w:spacing w:after="0"/>
              <w:rPr>
                <w:rFonts w:ascii="Arial" w:cs="Arial" w:eastAsia="Arial" w:hAnsi="Arial"/>
                <w:sz w:val="18"/>
                <w:szCs w:val="18"/>
                <w:u w:val="single" w:color="auto"/>
                <w:color w:val="0F7C7F"/>
              </w:rPr>
            </w:pPr>
            <w:hyperlink w:anchor="page56">
              <w:r>
                <w:rPr>
                  <w:rFonts w:ascii="Arial" w:cs="Arial" w:eastAsia="Arial" w:hAnsi="Arial"/>
                  <w:sz w:val="18"/>
                  <w:szCs w:val="18"/>
                  <w:u w:val="single" w:color="auto"/>
                  <w:color w:val="0F7C7F"/>
                </w:rPr>
                <w:t>Consolidated Statements of Cash Flows</w:t>
              </w:r>
            </w:hyperlink>
          </w:p>
        </w:tc>
        <w:tc>
          <w:tcPr>
            <w:tcW w:w="4020" w:type="dxa"/>
            <w:vAlign w:val="bottom"/>
            <w:shd w:val="clear" w:color="auto" w:fill="CCEEFF"/>
          </w:tcPr>
          <w:p>
            <w:pPr>
              <w:jc w:val="center"/>
              <w:ind w:left="2293"/>
              <w:spacing w:after="0"/>
              <w:rPr>
                <w:rFonts w:ascii="Arial" w:cs="Arial" w:eastAsia="Arial" w:hAnsi="Arial"/>
                <w:sz w:val="18"/>
                <w:szCs w:val="18"/>
                <w:u w:val="single" w:color="auto"/>
                <w:color w:val="0F7C7F"/>
                <w:w w:val="99"/>
              </w:rPr>
            </w:pPr>
            <w:hyperlink w:anchor="page56">
              <w:r>
                <w:rPr>
                  <w:rFonts w:ascii="Arial" w:cs="Arial" w:eastAsia="Arial" w:hAnsi="Arial"/>
                  <w:sz w:val="18"/>
                  <w:szCs w:val="18"/>
                  <w:u w:val="single" w:color="auto"/>
                  <w:color w:val="0F7C7F"/>
                  <w:w w:val="99"/>
                </w:rPr>
                <w:t>54</w:t>
              </w:r>
            </w:hyperlink>
          </w:p>
        </w:tc>
      </w:tr>
      <w:tr>
        <w:trPr>
          <w:trHeight w:val="229"/>
        </w:trPr>
        <w:tc>
          <w:tcPr>
            <w:tcW w:w="7200" w:type="dxa"/>
            <w:vAlign w:val="bottom"/>
          </w:tcPr>
          <w:p>
            <w:pPr>
              <w:ind w:left="20"/>
              <w:spacing w:after="0"/>
              <w:rPr>
                <w:rFonts w:ascii="Arial" w:cs="Arial" w:eastAsia="Arial" w:hAnsi="Arial"/>
                <w:sz w:val="18"/>
                <w:szCs w:val="18"/>
                <w:u w:val="single" w:color="auto"/>
                <w:color w:val="0F7C7F"/>
              </w:rPr>
            </w:pPr>
            <w:hyperlink w:anchor="page58">
              <w:r>
                <w:rPr>
                  <w:rFonts w:ascii="Arial" w:cs="Arial" w:eastAsia="Arial" w:hAnsi="Arial"/>
                  <w:sz w:val="18"/>
                  <w:szCs w:val="18"/>
                  <w:u w:val="single" w:color="auto"/>
                  <w:color w:val="0F7C7F"/>
                </w:rPr>
                <w:t>Notes to Consolidated Financial Statements</w:t>
              </w:r>
            </w:hyperlink>
          </w:p>
        </w:tc>
        <w:tc>
          <w:tcPr>
            <w:tcW w:w="4020" w:type="dxa"/>
            <w:vAlign w:val="bottom"/>
          </w:tcPr>
          <w:p>
            <w:pPr>
              <w:jc w:val="center"/>
              <w:ind w:left="2293"/>
              <w:spacing w:after="0"/>
              <w:rPr>
                <w:rFonts w:ascii="Arial" w:cs="Arial" w:eastAsia="Arial" w:hAnsi="Arial"/>
                <w:sz w:val="18"/>
                <w:szCs w:val="18"/>
                <w:u w:val="single" w:color="auto"/>
                <w:color w:val="0F7C7F"/>
                <w:w w:val="99"/>
              </w:rPr>
            </w:pPr>
            <w:hyperlink w:anchor="page58">
              <w:r>
                <w:rPr>
                  <w:rFonts w:ascii="Arial" w:cs="Arial" w:eastAsia="Arial" w:hAnsi="Arial"/>
                  <w:sz w:val="18"/>
                  <w:szCs w:val="18"/>
                  <w:u w:val="single" w:color="auto"/>
                  <w:color w:val="0F7C7F"/>
                  <w:w w:val="99"/>
                </w:rPr>
                <w:t>56</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29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20" w:type="dxa"/>
            <w:vAlign w:val="bottom"/>
            <w:gridSpan w:val="7"/>
          </w:tcPr>
          <w:p>
            <w:pPr>
              <w:jc w:val="center"/>
              <w:ind w:left="580"/>
              <w:spacing w:after="0"/>
              <w:rPr>
                <w:sz w:val="20"/>
                <w:szCs w:val="20"/>
                <w:color w:val="auto"/>
              </w:rPr>
            </w:pPr>
            <w:r>
              <w:rPr>
                <w:rFonts w:ascii="Arial" w:cs="Arial" w:eastAsia="Arial" w:hAnsi="Arial"/>
                <w:sz w:val="14"/>
                <w:szCs w:val="14"/>
                <w:b w:val="1"/>
                <w:bCs w:val="1"/>
                <w:color w:val="auto"/>
              </w:rPr>
              <w:t>(In millions, except per-share data)</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18,299</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16,208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17,612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Marketplace risk corridor judgment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Service revenue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 and 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18,890</w:t>
            </w:r>
          </w:p>
        </w:tc>
        <w:tc>
          <w:tcPr>
            <w:tcW w:w="0" w:type="dxa"/>
            <w:vAlign w:val="bottom"/>
          </w:tcPr>
          <w:p>
            <w:pPr>
              <w:spacing w:after="0"/>
              <w:rPr>
                <w:sz w:val="1"/>
                <w:szCs w:val="1"/>
                <w:color w:val="auto"/>
              </w:rPr>
            </w:pP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15,137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 insurer fees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Cost of service revenue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17,759</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expenses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11.40</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196"/>
        </w:trPr>
        <w:tc>
          <w:tcPr>
            <w:tcW w:w="6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income (loss)</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9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706</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0"/>
        </w:trPr>
        <w:tc>
          <w:tcPr>
            <w:tcW w:w="6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41"/>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2480" w:type="dxa"/>
            <w:vAlign w:val="bottom"/>
            <w:gridSpan w:val="4"/>
          </w:tcPr>
          <w:p>
            <w:pPr>
              <w:jc w:val="center"/>
              <w:ind w:left="443"/>
              <w:spacing w:after="0" w:line="142" w:lineRule="exact"/>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2"/>
                <w:szCs w:val="12"/>
                <w:color w:val="auto"/>
              </w:rPr>
            </w:pPr>
          </w:p>
        </w:tc>
      </w:tr>
      <w:tr>
        <w:trPr>
          <w:trHeight w:val="175"/>
        </w:trPr>
        <w:tc>
          <w:tcPr>
            <w:tcW w:w="8220" w:type="dxa"/>
            <w:vAlign w:val="bottom"/>
          </w:tcPr>
          <w:p>
            <w:pPr>
              <w:spacing w:after="0"/>
              <w:rPr>
                <w:sz w:val="15"/>
                <w:szCs w:val="15"/>
                <w:color w:val="auto"/>
              </w:rPr>
            </w:pPr>
          </w:p>
        </w:tc>
        <w:tc>
          <w:tcPr>
            <w:tcW w:w="2480" w:type="dxa"/>
            <w:vAlign w:val="bottom"/>
            <w:gridSpan w:val="4"/>
          </w:tcPr>
          <w:p>
            <w:pPr>
              <w:jc w:val="center"/>
              <w:ind w:left="443"/>
              <w:spacing w:after="0"/>
              <w:rPr>
                <w:sz w:val="20"/>
                <w:szCs w:val="20"/>
                <w:color w:val="auto"/>
              </w:rPr>
            </w:pPr>
            <w:r>
              <w:rPr>
                <w:rFonts w:ascii="Arial" w:cs="Arial" w:eastAsia="Arial" w:hAnsi="Arial"/>
                <w:sz w:val="14"/>
                <w:szCs w:val="14"/>
                <w:b w:val="1"/>
                <w:bCs w:val="1"/>
                <w:color w:val="auto"/>
              </w:rPr>
              <w:t>except per-share amounts)</w:t>
            </w:r>
          </w:p>
        </w:tc>
        <w:tc>
          <w:tcPr>
            <w:tcW w:w="520" w:type="dxa"/>
            <w:vAlign w:val="bottom"/>
          </w:tcPr>
          <w:p>
            <w:pPr>
              <w:spacing w:after="0"/>
              <w:rPr>
                <w:sz w:val="15"/>
                <w:szCs w:val="15"/>
                <w:color w:val="auto"/>
              </w:rPr>
            </w:pPr>
          </w:p>
        </w:tc>
      </w:tr>
      <w:tr>
        <w:trPr>
          <w:trHeight w:val="216"/>
        </w:trPr>
        <w:tc>
          <w:tcPr>
            <w:tcW w:w="822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Investments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1,946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Receivables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8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Restricted investments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22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Medical claims and benefits payable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Amounts due government agencies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liabilities and other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$0.001 par value per share; 150 million shares authorized; outstanding: 59 million shares at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December 31, 2020, and 62 million at December 31, 2019</w:t>
            </w:r>
          </w:p>
        </w:tc>
        <w:tc>
          <w:tcPr>
            <w:tcW w:w="9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Preferred stock, $0.001 par value per share; 20 million shares authorized, no shares issued and outstanding</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8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2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3"/>
                <w:szCs w:val="3"/>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220" w:type="dxa"/>
            <w:vAlign w:val="bottom"/>
          </w:tcPr>
          <w:p>
            <w:pPr>
              <w:spacing w:after="0"/>
              <w:rPr>
                <w:sz w:val="6"/>
                <w:szCs w:val="6"/>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Adoption of new accounting standards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Partial termination of warrants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Exchange of convertible senior notes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Conversion of convertible senior notes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Adoption of new accounting standards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Partial termination of warrants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Termination of warrants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183"/>
        </w:trPr>
        <w:tc>
          <w:tcPr>
            <w:tcW w:w="6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707</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debt repayment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Loss on sales of subsidiaries, net of gain</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restructuring charges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2"/>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193"/>
        </w:trPr>
        <w:tc>
          <w:tcPr>
            <w:tcW w:w="66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received from sale of subsidiaries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provided by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193"/>
        </w:trPr>
        <w:tc>
          <w:tcPr>
            <w:tcW w:w="66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senior notes offerings, net of issuance costs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senior notes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principal amount of convertible senior notes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Repayment of credit facility</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r>
      <w:tr>
        <w:trPr>
          <w:trHeight w:val="160"/>
        </w:trPr>
        <w:tc>
          <w:tcPr>
            <w:tcW w:w="66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increase (decrease) in cash and cash equivalents, and restricted cash and cash</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01"/>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equivalents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beginning of period</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7" w:name="page58"/>
    <w:bookmarkEnd w:id="57"/>
    <w:p>
      <w:pPr>
        <w:ind w:right="5320"/>
        <w:spacing w:after="0" w:line="333"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4"/>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9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7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90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Schedule of non-cash investing and financing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Details of business combinations: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Fair value of assets acquired</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(1,340)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contingent consideration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Fair value of liabilities assumed</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paid in business combinations</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exchange transaction: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Common stock issued in exchange for convertible senior notes</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180"/>
        </w:trPr>
        <w:tc>
          <w:tcPr>
            <w:tcW w:w="67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Component of convertible senior notes allocated to additional paid-in capital, net of income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6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Net increase to additional paid-in capital</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Common stock used for stock-based compensation</w:t>
            </w:r>
          </w:p>
        </w:tc>
        <w:tc>
          <w:tcPr>
            <w:tcW w:w="90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Common stock purchases not settled at end of period</w:t>
            </w:r>
          </w:p>
        </w:tc>
        <w:tc>
          <w:tcPr>
            <w:tcW w:w="90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Details of change in fair value of derivatives, net: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call option</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Gain (loss) on conversion option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33"/>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derivatives, net</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Details of sales of subsidiaries: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Decrease in carrying amount of assets</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carrying amount of liabilities</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Transaction costs</w:t>
            </w: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buyers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2"/>
        </w:trPr>
        <w:tc>
          <w:tcPr>
            <w:tcW w:w="6700" w:type="dxa"/>
            <w:vAlign w:val="bottom"/>
          </w:tcPr>
          <w:p>
            <w:pPr>
              <w:ind w:left="220"/>
              <w:spacing w:after="0"/>
              <w:rPr>
                <w:sz w:val="20"/>
                <w:szCs w:val="20"/>
                <w:color w:val="auto"/>
              </w:rPr>
            </w:pPr>
            <w:r>
              <w:rPr>
                <w:rFonts w:ascii="Arial" w:cs="Arial" w:eastAsia="Arial" w:hAnsi="Arial"/>
                <w:sz w:val="16"/>
                <w:szCs w:val="16"/>
                <w:color w:val="auto"/>
              </w:rPr>
              <w:t>Loss on sale of subsidiaries, net of gain</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
        </w:trPr>
        <w:tc>
          <w:tcPr>
            <w:tcW w:w="6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0F7C7F"/>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through the state insurance marketplaces (the “Marketplace”), and under other government-sponsored healthcare programs for low-income families and individuals, most of whom receive government subsidies for premiums. As of December 31, 2020, we had two reportable segments: the Health Plans segment, and the Other segment. Our reportable segments are consistent with how we currently manage the business and view the markets we serve.</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Through our locally operated health plans in 15 states, we served approximately 4.0 million members as of December 31, 2020. In addition, in connection with our acquisition of Magellan Complete Care on December 31, 2020, we added approximately 200,000 members, and now operate health plans in 18 states. These health plans are generally operated by our respective wholly owned subsidiaries in those states, and licensed as health maintenance organizations (“HMOs”).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Acquisition of Magellan Complete Care. </w:t>
      </w:r>
      <w:r>
        <w:rPr>
          <w:rFonts w:ascii="Arial" w:cs="Arial" w:eastAsia="Arial" w:hAnsi="Arial"/>
          <w:sz w:val="18"/>
          <w:szCs w:val="18"/>
          <w:color w:val="auto"/>
        </w:rPr>
        <w:t>On December 31, 2020, we closed on our acquisition of 100% of the outstanding equity interests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Magellan Complete Care line of business of Magellan Health, Inc., for total purchase consideration of approximately $ 1,037 million. Because this acquisition closed on December 31, 2020, Magellan Complete Care’s operating results were insignificant to our consolidated results of operations for the year ended December 31, 2020. See Note 4, “Business Combinations,” for further information.</w:t>
      </w:r>
    </w:p>
    <w:p>
      <w:pPr>
        <w:spacing w:after="0" w:line="72"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i w:val="1"/>
          <w:iCs w:val="1"/>
          <w:color w:val="auto"/>
        </w:rPr>
        <w:t>New York</w:t>
      </w:r>
      <w:r>
        <w:rPr>
          <w:rFonts w:ascii="Arial" w:cs="Arial" w:eastAsia="Arial" w:hAnsi="Arial"/>
          <w:sz w:val="18"/>
          <w:szCs w:val="18"/>
          <w:color w:val="auto"/>
        </w:rPr>
        <w:t>. In September 2020, we entered into a definitive agreement to acquire substantially all the assets of Affinity Health Plan,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purchase price for the transaction is approximately $380 million, subject to various adjustments at closing, which we intend to fund with cash on hand. We currently expect the transaction to close as early as the second quarter of 2021.</w:t>
      </w:r>
    </w:p>
    <w:p>
      <w:pPr>
        <w:spacing w:after="0" w:line="86"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In July 2020, we completed the acquisition of certain assets of YourCare Health Plan, Inc. See Note 4, “Business Combinations,” for further information.</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In May 2020, our Kentucky health plan was selected as an awardee pursuant to the statewide Medicaid managed care RFP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Kentucky Cabinet for Health and Family Services, Department of Medicaid Services. The new Medicaid contract began on January 1, 2021. In connection with this RFP award, we completed the acquisition of certain assets of Passport Health Plan, Inc. (“Passport”) in September 2020. See Note 4, “Business Combinations,” for further information.</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March 2020, the Texas Health and Human Services Commission (“HHSC”) notified our Texas health plan that HHSC had upheld</w:t>
      </w:r>
      <w:r>
        <w:rPr>
          <w:rFonts w:ascii="Arial" w:cs="Arial" w:eastAsia="Arial" w:hAnsi="Arial"/>
          <w:sz w:val="18"/>
          <w:szCs w:val="18"/>
          <w:i w:val="1"/>
          <w:iCs w:val="1"/>
          <w:color w:val="auto"/>
        </w:rPr>
        <w:t xml:space="preserve"> </w:t>
      </w:r>
      <w:r>
        <w:rPr>
          <w:rFonts w:ascii="Arial" w:cs="Arial" w:eastAsia="Arial" w:hAnsi="Arial"/>
          <w:sz w:val="18"/>
          <w:szCs w:val="18"/>
          <w:color w:val="auto"/>
        </w:rPr>
        <w:t>our protest and had canceled all previously awarded contracts associated with the re-procurement awards announced in October 2019 for the ABD program (known in Texas as “STAR+PLUS”). In addition, HHSC canceled the pending re-procurement associated with the TANF and CHIP programs (known in Texas as “STAR/CHIP”). HHSC has indicated that the STAR+PLUS RFP will be posted in late 2021 or early 2022, with awards estimated to be announced in the second quarter of 2022, and start of operations in the fourth quarter of 2023. HHSC has also indicated that the STAR/CHIP RFP will be posted in the fourth quarter of 2022, with awards estimated to be announced in late 2022 or early 2023, and start of operations in the third quarter of 2024.</w:t>
      </w:r>
    </w:p>
    <w:p>
      <w:pPr>
        <w:spacing w:after="0" w:line="8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exited Puerto Rico’s Medicaid program when our contract expired on October 31, 2020. We have been working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authorities and the provider community to ensure that our former members in Puerto Rico have reliable continuity of care.</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Consolidation and Presentation</w:t>
      </w:r>
    </w:p>
    <w:p>
      <w:pPr>
        <w:spacing w:after="0" w:line="13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Health Plans segment contractual provisions that may limit revenue recognition based upon the costs incurred or the profits realized under a specific contract;</w:t>
      </w: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Health Plans segment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Purchase price allocations relating to business combinations, including the determination of contingent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362"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3"/>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and cash equivalents, and restricted cash and cash equivalents presented in the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194"/>
        </w:trPr>
        <w:tc>
          <w:tcPr>
            <w:tcW w:w="730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consolidated statements of cash flows</w:t>
            </w: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8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investment policy requires that all of our investments have final maturities of less than 10 years, or less than 10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0" w:name="page61"/>
    <w:bookmarkEnd w:id="60"/>
    <w:p>
      <w:pPr>
        <w:ind w:right="18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$10 million and $12 million at December 31, 2020, and 2019, respectively. We do not measure an allowance for credit losses on accrued interest receivable. Instead, we write off accrued interest receivable that has not been collected within 90 days of the interest payment due date. We recognize such write offs as a reversal of interest income. No accrued interest was written off during the year ended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may be subject to potential retroactive adjustments. Because substantially all of our receivable amounts are readily determinable and substantially all of our creditors are governmental authorities, our allowance for doubtful accounts is insignificant. Any amounts determined to be uncollectible are charged to expense when such determination is made.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83"/>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business combinations using the acquisition method of accounting, which requires us to recognize the assets acquired and the liabilities assumed at their acquisition date fair values. As discussed below, the excess of the purchase consideration transferred over the fair value of the net tangible and intangible assets acquired is recorded as goodwill.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final determination of the values of assets acquired or liabilities assumed, or one year after the date of acquisition, whichever comes first, any subsequent adjustments are recorded within our consolidated results of operations. Refer to Note 4, Business Combinations, and Note 9, “Goodwill and Intangible Assets, Net,” for further details.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Intangible Assets</w:t>
      </w:r>
    </w:p>
    <w:p>
      <w:pPr>
        <w:spacing w:after="0" w:line="139"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Long-lived assets consist primarily of property, equipment, capitalized software (see Note 7, “Property, Equipment, and Capitalized Software, Net”), and intangible assets resulting from acquisitions. Finite-lived, separately-identified intangible assets acquired in business combinations are assets that represent future expected benefits but lack physical substance (such as purchased contract rights and provider contracts).</w:t>
      </w:r>
    </w:p>
    <w:p>
      <w:pPr>
        <w:ind w:right="140"/>
        <w:spacing w:after="0" w:line="261" w:lineRule="auto"/>
        <w:rPr>
          <w:sz w:val="20"/>
          <w:szCs w:val="20"/>
          <w:color w:val="auto"/>
        </w:rPr>
      </w:pPr>
      <w:r>
        <w:rPr>
          <w:rFonts w:ascii="Arial" w:cs="Arial" w:eastAsia="Arial" w:hAnsi="Arial"/>
          <w:sz w:val="18"/>
          <w:szCs w:val="18"/>
          <w:color w:val="auto"/>
        </w:rPr>
        <w:t>Intangible assets are initially recorded at fair value and are then amortized on a straight-line basis over their expected useful lives, generally between five and 16 years.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Determining the fair value of identifiable assets acquired, particularly intangible assets, and liabilities assumed, requires management to make estimates, which are based on all available information and in some cases assumptions with respect to the timing and amount of future revenues and expenses associated with an asset. Determining the useful life of an intangible asset also requires judgment, as different types of intangible assets will have different useful lives. The most significant intangible asset we typically record in a business combination is contract rights associated with membership assumed. In determining the estimated fair value of the intangible assets, we typically apply the income approach, which discounts the projected future net cash flows using an appropriate discount rate that reflects the risk associated with such projected future cash flows. The most critical assumptions used in determining the fair value of contract rights include forecasted operating margins and the weighted average cost of capital.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1" w:name="page62"/>
    <w:bookmarkEnd w:id="61"/>
    <w:p>
      <w:pPr>
        <w:ind w:right="100"/>
        <w:spacing w:after="0" w:line="251" w:lineRule="auto"/>
        <w:rPr>
          <w:sz w:val="20"/>
          <w:szCs w:val="20"/>
          <w:color w:val="auto"/>
        </w:rPr>
      </w:pPr>
      <w:r>
        <w:rPr>
          <w:rFonts w:ascii="Arial" w:cs="Arial" w:eastAsia="Arial" w:hAnsi="Arial"/>
          <w:sz w:val="18"/>
          <w:szCs w:val="18"/>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Refer to Note 9, “Goodwill and Intangible Assets, Net,” for further details.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the reporting unit (one of our state health plans) exceeds its estimated fair value. This excess is recorded as an impairment loss and adjusted if necessary for the impact of tax-deductible goodwill. The loss recognized may not exceed the total goodwill allocated to the reporting unit.</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a reporting unit exceeds its estimated fair value.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If performing a quantitative assessment, we generally estimate the fair values of our reporting units by applying the income approach, using discounted cash flows.</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the annual impairment test under a quantitative assessment, the base year in the reporting units’ discounted cash flows is derived from the annual financial planning cycle, which commences in the fourth quarter of the year. When computing discounted cash flows, we make assumptions about a wide variety of internal and external factors, and consider what the reporting unit’s selling price would be in an orderly transaction between market participants at the measurement date. Significant assumptions include financial projections of free cash flow (including significant assumptions about membership, premium rates, healthcare and operating cost trends, contract renewal and the procurement of new contracts, capital requirements and income taxes), long-term growth rates for determining terminal value beyond the discretely forecasted periods, and discount rates. When determining the discount rate, we consider the overall level of inherent risk of the reporting unit, and the expected rate an outside investor would expect to earn.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 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ind w:right="400"/>
        <w:spacing w:after="0" w:line="261" w:lineRule="auto"/>
        <w:rPr>
          <w:sz w:val="20"/>
          <w:szCs w:val="20"/>
          <w:color w:val="auto"/>
        </w:rPr>
      </w:pPr>
      <w:r>
        <w:rPr>
          <w:rFonts w:ascii="Arial" w:cs="Arial" w:eastAsia="Arial" w:hAnsi="Arial"/>
          <w:sz w:val="18"/>
          <w:szCs w:val="18"/>
          <w:color w:val="auto"/>
        </w:rPr>
        <w:t>the related ROU assets are amortized on a straight-line basis over the lease term, and interest expense is recognized using the effective interest method.</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w:t>
      </w:r>
    </w:p>
    <w:p>
      <w:pPr>
        <w:spacing w:after="0" w:line="100"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For further information, including the amount and location of the ROU assets and lease liabilities recognized in the accompanying consolidated balance sheets, see Note 8, “Leases.”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Claims and Benefits Payable</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1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9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 methodology in estimating our IBNP liability.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 recognized as a decrease to medical care costs, and any adjustments to reflect unfavorable development would be recognized as an increase to medical care costs, in the period in which the adjustments are determined.</w:t>
      </w:r>
    </w:p>
    <w:p>
      <w:pPr>
        <w:spacing w:after="0" w:line="10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Premium revenue is generated from our Health Plans segment contracts, for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Certain components of premium revenue are subject to accounting estimates and are described below, under “Contractual Provisions That May Adjust or Limit Revenue or Profit,” and “Quality Incentives.”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2"/>
        </w:trPr>
        <w:tc>
          <w:tcPr>
            <w:tcW w:w="8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24"/>
        </w:trPr>
        <w:tc>
          <w:tcPr>
            <w:tcW w:w="8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9"/>
                <w:szCs w:val="19"/>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Risk adjustment and Part D risk sharing</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040" w:type="dxa"/>
            <w:vAlign w:val="bottom"/>
          </w:tcPr>
          <w:p>
            <w:pPr>
              <w:ind w:left="120"/>
              <w:spacing w:after="0"/>
              <w:rPr>
                <w:sz w:val="20"/>
                <w:szCs w:val="20"/>
                <w:color w:val="auto"/>
              </w:rPr>
            </w:pPr>
            <w:r>
              <w:rPr>
                <w:rFonts w:ascii="Arial" w:cs="Arial" w:eastAsia="Arial" w:hAnsi="Arial"/>
                <w:sz w:val="16"/>
                <w:szCs w:val="16"/>
                <w:color w:val="auto"/>
              </w:rPr>
              <w:t>Minimum MLR and profit sharing</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Magellan Complete Care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amounts due government agencies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9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Under certain medical cost corridor provisions, the health plans may receive additional premiums if amounts spent on medical care costs exceed a defined maximum threshold.</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determine that the adjustment is probable and reasonably estimable, and is based on our best estimate of the ultimate premium we expect to realize for the period being adjusted.</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2020, various states enacted temporary premium refunds and related actions in response to the reduced demand for medical services stemming from COVID-19, which resulted in a reduction of our medical margin. In some cases, these premium actions were retroactive to earlier periods in 2020, or as early as the beginning of the states’ fiscal years in 2019. Beginning in the second quarter of 2020, we have recognized retroactive premium actions that we believe to be probable, and where the ultimate premium amount is reasonably estimable. We recognized $564 million related to these retroactive premium actions, in the aggregate, in 2020, including $37 million related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4" w:name="page65"/>
    <w:bookmarkEnd w:id="64"/>
    <w:p>
      <w:pPr>
        <w:ind w:right="260"/>
        <w:spacing w:after="0" w:line="261" w:lineRule="auto"/>
        <w:rPr>
          <w:sz w:val="20"/>
          <w:szCs w:val="20"/>
          <w:color w:val="auto"/>
        </w:rPr>
      </w:pPr>
      <w:r>
        <w:rPr>
          <w:rFonts w:ascii="Arial" w:cs="Arial" w:eastAsia="Arial" w:hAnsi="Arial"/>
          <w:sz w:val="18"/>
          <w:szCs w:val="18"/>
          <w:color w:val="auto"/>
        </w:rPr>
        <w:t>MMP plans. Approximately $401 million was recognized in the fourth quarter of 2020, mostly associated with recently enacted risk-sharing corridors.</w:t>
      </w:r>
    </w:p>
    <w:p>
      <w:pPr>
        <w:spacing w:after="0" w:line="9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premium refunds, and it is also possible that other states could implement some form of retroactive premium refund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&amp; Medicaid Services (“CMS”) practices.</w:t>
      </w:r>
    </w:p>
    <w:p>
      <w:pPr>
        <w:spacing w:after="0" w:line="72"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Risk Corridor Judgment. </w:t>
      </w:r>
      <w:r>
        <w:rPr>
          <w:rFonts w:ascii="Arial" w:cs="Arial" w:eastAsia="Arial" w:hAnsi="Arial"/>
          <w:sz w:val="18"/>
          <w:szCs w:val="18"/>
          <w:color w:val="auto"/>
        </w:rPr>
        <w:t>In April 2020, the United States Supreme Court held that §1342 of the Affordable Care Act obligated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to pay participating insurers the full Marketplace risk corridor amounts calculated by that statute, and that impacted insurers may sue the federal government in the U.S. Court of Federal Claims to recover damages for breach of that obligation. In June 2020, the Claims Court granted us judgment in the amount of $128 million for 2014, 2015, and 2016 Marketplace risk corridor claims, which we received in October 2020. Consistent with the timing of the cash receipt, the gain was recognized in our fourth quarter 2020 financial results and reported in “Marketplace risk corridor judgment” in our consolidated statements of income. The judgment did not create additional Minimum MLR rebates.</w:t>
      </w:r>
    </w:p>
    <w:p>
      <w:pPr>
        <w:spacing w:after="0" w:line="8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December 31, 2020, Marketplace risk adjustment payables amounted to $326 million and related receivables amounted to $20 million, for a net payable of $306 million. As of December 31, 2019, Marketplace risk adjustment payables amounted to $368 million and related receivables amounted to $63 million, for a net payable of $305 million, which relates primarily to 2019 and prior periods.</w:t>
      </w:r>
    </w:p>
    <w:p>
      <w:pPr>
        <w:spacing w:after="0" w:line="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Presentation–Use of Estimates,” recognition of quality incentive premium revenue is subject to the use of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bear underwriting and reserving risks associated with our health plan subsidiaries. We limit our risk of significant catastrophic losses by</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maintaining high deductible reinsurance coverage with a highly-rated, unaffiliated insurance company (the “third-party reinsurer”). Because we remain liable to our policyholders in the event the third-party reinsurer is unable to pay its portion of the losses, we continually monitor the third-party reinsurer’s financial condition, including its ability to maintain high credit ratings. Intercompany transactions with our captive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5" w:name="page66"/>
    <w:bookmarkEnd w:id="65"/>
    <w:p>
      <w:pPr>
        <w:ind w:right="240"/>
        <w:spacing w:after="0" w:line="253" w:lineRule="auto"/>
        <w:rPr>
          <w:sz w:val="20"/>
          <w:szCs w:val="20"/>
          <w:color w:val="auto"/>
        </w:rPr>
      </w:pPr>
      <w:r>
        <w:rPr>
          <w:rFonts w:ascii="Arial" w:cs="Arial" w:eastAsia="Arial" w:hAnsi="Arial"/>
          <w:sz w:val="18"/>
          <w:szCs w:val="18"/>
          <w:color w:val="auto"/>
        </w:rPr>
        <w:t>We report reinsurance premiums as a reduction to premium revenue, while related reinsurance recoveries are reported as a reduction to medical care costs. Reinsurance premiums amounted to $9 million, $17 million, and $16 million for the years ended December 31, 2020, 2019, and 2018, respectively. Reinsurance recoveries amounted to $23 million, $18 million, and $33 million for the years ended December 31, 2020, 2019, and 2018, respectively. Reinsurance recoverable of $17 million, $21 million, and $31 million, as of December 31, 2020, 2019, and 2018, respectively, is included in “Receivables” in the accompanying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is recognized if anticipated future medical care and administrative costs exceed anticipated future premium revenue, investment income and reinsurance recoveries. In the third quarter of 2020, we recognized a premium deficiency reserve (“PDR”) of $ 10 million for our Medicaid contract in Puerto Rico, $4 million of which was amortized in the fourth quarter of 2020 to offset losses the PDR was established to cover. As described in Note 1, “Organization and Basis of Presentation,” we exited Puerto Rico’s Medicaid program when our contract expired on October 31, 2020. No premium deficiency reserves were recorded as of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 established when management determines it is more likely than not that some portion, or all, of the deferred tax assets will not be realized. For further discussion and disclosure, see Note 12, “Income Taxes.”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Based on Premiums</w:t>
      </w:r>
    </w:p>
    <w:p>
      <w:pPr>
        <w:spacing w:after="0" w:line="1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Health Insurer Fee (“HIF”). </w:t>
      </w:r>
      <w:r>
        <w:rPr>
          <w:rFonts w:ascii="Arial" w:cs="Arial" w:eastAsia="Arial" w:hAnsi="Arial"/>
          <w:sz w:val="18"/>
          <w:szCs w:val="18"/>
          <w:color w:val="auto"/>
        </w:rPr>
        <w:t>Under the Affordable Care Act, the federal government imposed an annual fee, or excise tax, on health insurers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calendar year (the “HIF”).</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HIF was allocated to health insurers based on each health insurer's share of net premiums for all U.S. health insurers in the year preceding the assessment, and was not deductible for income tax purposes. Our HIF liability for 2020 was $277 million, which was settled in September 2020. Public Law No. 115-120 provided for a HIF moratorium in 2019; therefore, there was no HIF incurred or reimbursed in that year. Due to the reinstatement of the HIF in 2020, our effective tax rate was higher in 2020 compared with 2019. The Further Consolidated Appropriations Act, 2020 repealed the HIF effective for years after 2020.</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Premium and Use Tax. </w:t>
      </w:r>
      <w:r>
        <w:rPr>
          <w:rFonts w:ascii="Arial" w:cs="Arial" w:eastAsia="Arial" w:hAnsi="Arial"/>
          <w:sz w:val="18"/>
          <w:szCs w:val="18"/>
          <w:color w:val="auto"/>
        </w:rPr>
        <w:t>Certain of our health plans are assessed a tax based on premium revenue collected. The premium revenues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these states include the premium tax assessment. We have reported these taxes on a gross basis, as premium tax revenue and as premium tax expenses in the consolidated statements of income.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6" w:name="page67"/>
    <w:bookmarkEnd w:id="66"/>
    <w:p>
      <w:pPr>
        <w:ind w:right="80"/>
        <w:spacing w:after="0" w:line="252" w:lineRule="auto"/>
        <w:rPr>
          <w:sz w:val="20"/>
          <w:szCs w:val="20"/>
          <w:color w:val="auto"/>
        </w:rPr>
      </w:pPr>
      <w:r>
        <w:rPr>
          <w:rFonts w:ascii="Arial" w:cs="Arial" w:eastAsia="Arial" w:hAnsi="Arial"/>
          <w:sz w:val="18"/>
          <w:szCs w:val="18"/>
          <w:color w:val="auto"/>
        </w:rPr>
        <w:t>We operate health plans primarily as a direct contractor with the states, and in Los Angeles County, California, as a subcontractor to another health plan holding a direct contract with the state. We are therefore dependent upon a relatively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by state health plan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1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6"/>
                <w:szCs w:val="16"/>
                <w:b w:val="1"/>
                <w:bCs w:val="1"/>
                <w:color w:val="auto"/>
                <w:w w:val="95"/>
              </w:rPr>
              <w:t>2018</w:t>
            </w:r>
          </w:p>
        </w:tc>
      </w:tr>
      <w:tr>
        <w:trPr>
          <w:trHeight w:val="210"/>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of Total</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of Total</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of Total</w:t>
            </w:r>
          </w:p>
        </w:tc>
      </w:tr>
      <w:tr>
        <w:trPr>
          <w:trHeight w:val="183"/>
        </w:trPr>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Florida</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643</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734</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1,790</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10.2</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Kentucky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Ohio</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2,962</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2,553</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2,388</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13.6</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6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6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18.4</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3,169</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2,695</w:t>
            </w:r>
          </w:p>
        </w:tc>
        <w:tc>
          <w:tcPr>
            <w:tcW w:w="1600" w:type="dxa"/>
            <w:vAlign w:val="bottom"/>
            <w:gridSpan w:val="3"/>
          </w:tcPr>
          <w:p>
            <w:pPr>
              <w:jc w:val="right"/>
              <w:ind w:right="1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2,361</w:t>
            </w:r>
          </w:p>
        </w:tc>
        <w:tc>
          <w:tcPr>
            <w:tcW w:w="1620" w:type="dxa"/>
            <w:vAlign w:val="bottom"/>
            <w:gridSpan w:val="3"/>
          </w:tcPr>
          <w:p>
            <w:pPr>
              <w:jc w:val="right"/>
              <w:ind w:right="119"/>
              <w:spacing w:after="0"/>
              <w:rPr>
                <w:sz w:val="20"/>
                <w:szCs w:val="20"/>
                <w:color w:val="auto"/>
              </w:rPr>
            </w:pPr>
            <w:r>
              <w:rPr>
                <w:rFonts w:ascii="Arial" w:cs="Arial" w:eastAsia="Arial" w:hAnsi="Arial"/>
                <w:sz w:val="16"/>
                <w:szCs w:val="16"/>
                <w:color w:val="auto"/>
              </w:rPr>
              <w:t>13.4</w:t>
            </w:r>
          </w:p>
        </w:tc>
      </w:tr>
      <w:tr>
        <w:trPr>
          <w:trHeight w:val="219"/>
        </w:trPr>
        <w:tc>
          <w:tcPr>
            <w:tcW w:w="2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18.6</w:t>
            </w:r>
          </w:p>
        </w:tc>
      </w:tr>
      <w:tr>
        <w:trPr>
          <w:trHeight w:val="207"/>
        </w:trPr>
        <w:tc>
          <w:tcPr>
            <w:tcW w:w="24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18,299</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16,208</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17,612</w:t>
            </w: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100.0 %</w:t>
            </w:r>
          </w:p>
        </w:tc>
      </w:tr>
      <w:tr>
        <w:trPr>
          <w:trHeight w:val="23"/>
        </w:trPr>
        <w:tc>
          <w:tcPr>
            <w:tcW w:w="24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59" w:lineRule="exact"/>
        <w:rPr>
          <w:sz w:val="20"/>
          <w:szCs w:val="20"/>
          <w:color w:val="auto"/>
        </w:rPr>
      </w:pPr>
    </w:p>
    <w:p>
      <w:pPr>
        <w:ind w:left="340" w:right="180" w:hanging="332"/>
        <w:spacing w:after="0" w:line="260"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Puerto Rico, South Carolina, Utah and Wisconsin health plans, which were immaterial to our consolidated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2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Financial Accounting Standards Board (“FASB”) issued Accounting Standards Update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which was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by several ASUs issued in 2018 and 2019. We adopted Topic 326 effective January 1, 2020, using the modified retrospective approach. Under this method we recognized the cumulative effect of adopting the standard as an adjustment to the opening balance of retained earnings on January 1, 2020, which was immaterial.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Reference Rate Reform.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xml:space="preserve"> Reference Rate Reform (Topic 848): Facilitation of the Effects of Reference Rate Reform on Financial Reporting</w:t>
      </w:r>
      <w:r>
        <w:rPr>
          <w:rFonts w:ascii="Arial" w:cs="Arial" w:eastAsia="Arial" w:hAnsi="Arial"/>
          <w:sz w:val="18"/>
          <w:szCs w:val="18"/>
          <w:color w:val="auto"/>
        </w:rPr>
        <w:t>, which provides optional expedients and exceptions for applying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to contracts, hedging relationships, and other transactions affected by a change in the reference rate from the London Interbank Offered Rate (“LIBOR”) or another reference rate expected to be discontinued, if certain conditions are met. ASU 2020-04 is effective immediately and expires after December 31, 2022. We are evaluating the effect of reference rate reform and this guidance on our contracts and other transactions.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spacing w:after="0"/>
        <w:rPr>
          <w:sz w:val="20"/>
          <w:szCs w:val="20"/>
          <w:color w:val="auto"/>
        </w:rPr>
      </w:pPr>
      <w:r>
        <w:rPr>
          <w:rFonts w:ascii="Arial" w:cs="Arial" w:eastAsia="Arial" w:hAnsi="Arial"/>
          <w:sz w:val="25"/>
          <w:szCs w:val="25"/>
          <w:color w:val="828282"/>
        </w:rPr>
        <w:t>3. Net Income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00" w:type="dxa"/>
            <w:vAlign w:val="bottom"/>
            <w:gridSpan w:val="7"/>
          </w:tcPr>
          <w:p>
            <w:pPr>
              <w:jc w:val="center"/>
              <w:spacing w:after="0"/>
              <w:rPr>
                <w:sz w:val="20"/>
                <w:szCs w:val="20"/>
                <w:color w:val="auto"/>
              </w:rPr>
            </w:pPr>
            <w:r>
              <w:rPr>
                <w:rFonts w:ascii="Arial" w:cs="Arial" w:eastAsia="Arial" w:hAnsi="Arial"/>
                <w:sz w:val="14"/>
                <w:szCs w:val="14"/>
                <w:b w:val="1"/>
                <w:bCs w:val="1"/>
                <w:color w:val="auto"/>
              </w:rPr>
              <w:t>(In millions, except net income per share)</w:t>
            </w:r>
          </w:p>
        </w:tc>
        <w:tc>
          <w:tcPr>
            <w:tcW w:w="960" w:type="dxa"/>
            <w:vAlign w:val="bottom"/>
          </w:tcPr>
          <w:p>
            <w:pPr>
              <w:spacing w:after="0"/>
              <w:rPr>
                <w:sz w:val="15"/>
                <w:szCs w:val="15"/>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673</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6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Exchange of convertible senior notes </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63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Conversion of convertible senior notes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63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Warrants </w:t>
            </w:r>
            <w:r>
              <w:rPr>
                <w:rFonts w:ascii="Arial" w:cs="Arial" w:eastAsia="Arial" w:hAnsi="Arial"/>
                <w:sz w:val="21"/>
                <w:szCs w:val="21"/>
                <w:color w:val="auto"/>
                <w:vertAlign w:val="superscript"/>
              </w:rPr>
              <w:t>(2)</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6"/>
        </w:trPr>
        <w:tc>
          <w:tcPr>
            <w:tcW w:w="6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34"/>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360" w:type="dxa"/>
            <w:vAlign w:val="bottom"/>
            <w:tcBorders>
              <w:bottom w:val="single" w:sz="8" w:color="CCEEFF"/>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(3)</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6360" w:type="dxa"/>
            <w:vAlign w:val="bottom"/>
          </w:tcPr>
          <w:p>
            <w:pPr>
              <w:ind w:left="1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(3)</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11.23</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0"/>
        </w:trPr>
        <w:tc>
          <w:tcPr>
            <w:tcW w:w="6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“Convertible senior notes” in this table refer to the 1.625% convertible senior notes due 2044 that were settled in 2018.</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more information regarding the warrants, including partial termination transactions, refer to Note 13, “Stockholders' Equity.” The dilutive effect of all potentially dilutive common shares is calculated using the treasury stock method. Certain potentially dilutive common shares issuable are not included in the computation of diluted net income per share because to do so would have been anti-dilutive.</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the last half of 2020, we closed on three business combinations in the Health Plans segment, consistent with our strategy to grow in our existing markets and expand into new markets. For these transactions, we applied the acquisition method of accounting, where the total purchase price was allocated, or preliminarily allocated, to the tangible and intangible assets acquired and liabilities assumed, based on their fair values as of the acquisition dates. We expect to complete the final determination of the purchase price allocations as soon as practicable, but no later than one year following the acquisitions’ closing dates in accordance with Accounting Standards Codification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Measurement period adjustments will be recorded in the period in which they are determined, as if they had been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acquisition date.</w:t>
      </w:r>
    </w:p>
    <w:p>
      <w:pPr>
        <w:spacing w:after="0" w:line="9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Acquisition costs amounted to $16 million in the aggregate for the year ended December 31, 2020, and were recorded as “General and administrative expenses” in the accompanying consolidated statements of income.</w:t>
      </w:r>
    </w:p>
    <w:p>
      <w:pPr>
        <w:spacing w:after="0" w:line="7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Magellan Complete Care. </w:t>
      </w:r>
      <w:r>
        <w:rPr>
          <w:rFonts w:ascii="Arial" w:cs="Arial" w:eastAsia="Arial" w:hAnsi="Arial"/>
          <w:sz w:val="18"/>
          <w:szCs w:val="18"/>
          <w:color w:val="auto"/>
        </w:rPr>
        <w:t>On December 31, 2020, we closed on our acquisition of 100% of the outstanding equity interests of the Magellan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Care line of business of Magellan Health, Inc., for total purchase consideration of approximately $1,037 million. Total purchase consideration paid in cash amounted to $1,008 million, which consisted of the base purchase price of $850 million, plus approximately $158 million in preliminary closing adjustments, primarily relating to excess regulatory capital. Total purchase consideration also included assumed liabilities of $29 million.</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8" w:name="page69"/>
    <w:bookmarkEnd w:id="68"/>
    <w:p>
      <w:pPr>
        <w:ind w:right="40"/>
        <w:spacing w:after="0" w:line="252" w:lineRule="auto"/>
        <w:rPr>
          <w:sz w:val="20"/>
          <w:szCs w:val="20"/>
          <w:color w:val="auto"/>
        </w:rPr>
      </w:pPr>
      <w:r>
        <w:rPr>
          <w:rFonts w:ascii="Arial" w:cs="Arial" w:eastAsia="Arial" w:hAnsi="Arial"/>
          <w:sz w:val="18"/>
          <w:szCs w:val="18"/>
          <w:color w:val="auto"/>
        </w:rPr>
        <w:t>Magellan Complete Care is a managed care organization serving members in six states, including Medicaid members in Arizona and statewide in Virginia, and integrated acute care members in Florida. Through its Senior Whole Health branded plans, Magellan Complete Care provides fully integrated plans for Medicaid and Medicare dual beneficiaries in Massachusetts, as well as managed long-term care in New York. As of December 31, 2020, Magellan Complete Care served approximately 200,000 members in its managed care plans. Magellan Complete Care also provides consultative services to participants who self-direct their care through Wisconsin’s long-term services and supports (“LTSS”) program. For the year ended December 31, 2020, Magellan Complete Care’s total 2020 revenue was approximately $2.9 billion.</w:t>
      </w:r>
    </w:p>
    <w:p>
      <w:pPr>
        <w:spacing w:after="0" w:line="9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Because this acquisition closed on December 31, 2020, Magellan Complete Care’s operating results were insignificant to our consolidated results of operations for the year ended December 31, 2020. If we had acquired Magellan Complete Care on January 1, 2019, our total revenue and earnings for the year ended December 31, 2019, would have been approximately $19.6 billion and $772 million, respectively, and our total revenue and earnings for the year ended December 31, 2020, would have been approximately $22.4 billion and $833 million, respectively. These amounts were computed after adjusting the results of Magellan Complete Care to reflect the additional amortization that would have been charged assuming the fair value adjustments to intangible assets and liabilities had been applied beginning on January 1, 2019, together with the consequential tax effects. The pro forma results do not reflect any anticipated synergies, efficiencies, or other cost savings of the acquisition. Accordingly, the unaudited pro forma financial information is not indicative of the results if the acquisition had been completed on January 1, 2020, or January 1, 2019, and is not a projection of future results.</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valuation of the assets acquired, and liabilities assumed has not yet been finalized because the acquisition closed on December 31, 2020.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such as the use of our existing infrastructure to support the added membership, and future economic benefits arising from the assembled workforce. Approximately 27% of the goodwill is deductible for income tax purposes. The following table summarizes the provisional fair values assigned to assets acquired and liabilities assumed.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Medical claims and benefits payable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due government agencies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9800" w:type="dxa"/>
            <w:vAlign w:val="bottom"/>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9800" w:type="dxa"/>
            <w:vAlign w:val="bottom"/>
          </w:tcPr>
          <w:p>
            <w:pPr>
              <w:ind w:left="360"/>
              <w:spacing w:after="0"/>
              <w:rPr>
                <w:sz w:val="20"/>
                <w:szCs w:val="20"/>
                <w:color w:val="auto"/>
              </w:rPr>
            </w:pPr>
            <w:r>
              <w:rPr>
                <w:rFonts w:ascii="Arial" w:cs="Arial" w:eastAsia="Arial" w:hAnsi="Arial"/>
                <w:sz w:val="16"/>
                <w:szCs w:val="16"/>
                <w:b w:val="1"/>
                <w:bCs w:val="1"/>
                <w:color w:val="auto"/>
              </w:rPr>
              <w:t>Net purchase price paid</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On September 1, 2020, we closed on the acquisition of certain assets of Passport Health Plan, Inc., a Medicaid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that same date, the Kentucky Medicaid agency approved the novation of Passport’s Medicaid contract to Molina Healthcare of Kentucky, Inc., thereby ensuring continuity of care for Passport’s Medicaid members. As of December 31, 2020, our Kentucky health plan had 337,000 Medicaid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members. The total purchase price was $66 million, which included our initial cash payment of $20 million in September 2020, plus</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$46 million in contingent consideration payable to the seller. See further information regarding contingent consideration in Note 5, “Fair Value Measurements.” We recorded goodwill of $30 million, all of which is deductible for income tax purposes. The goodwill recorded relates to future economic benefits arising from the assembled workforce, and the future growth associated with the member contract rights that are incremental to the contract rights identified.</w:t>
      </w:r>
    </w:p>
    <w:p>
      <w:pPr>
        <w:spacing w:after="0" w:line="7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On July 1, 2020, we closed on the acquisition of certain assets of YourCare Health Plan, Inc., a Medicaid health plan operating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regions of New York, for a cash purchase price of $42 million. As a result of this transaction, we added approximately 47,000 Medicaid members in New York. We recorded goodwill of $31 million, substantially all of which is deductible for income tax purposes. The goodwill recorded relates to future economic benefits arising from expected synergies to be achieved, including the use of our existing infrastructure to support the added membership.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Acquired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intangible assets acquired, by major class, for the three acquisitions.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w w:val="96"/>
              </w:rPr>
              <w:t>Life</w:t>
            </w:r>
          </w:p>
        </w:tc>
        <w:tc>
          <w:tcPr>
            <w:tcW w:w="8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5"/>
        </w:trPr>
        <w:tc>
          <w:tcPr>
            <w:tcW w:w="6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24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320" w:type="dxa"/>
            <w:vAlign w:val="bottom"/>
            <w:gridSpan w:val="3"/>
          </w:tcPr>
          <w:p>
            <w:pPr>
              <w:ind w:left="380"/>
              <w:spacing w:after="0"/>
              <w:rPr>
                <w:sz w:val="20"/>
                <w:szCs w:val="20"/>
                <w:color w:val="auto"/>
              </w:rPr>
            </w:pPr>
            <w:r>
              <w:rPr>
                <w:rFonts w:ascii="Arial" w:cs="Arial" w:eastAsia="Arial" w:hAnsi="Arial"/>
                <w:sz w:val="14"/>
                <w:szCs w:val="14"/>
                <w:b w:val="1"/>
                <w:bCs w:val="1"/>
                <w:color w:val="auto"/>
              </w:rPr>
              <w:t>(Years)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7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- 10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5.3</w:t>
            </w:r>
          </w:p>
        </w:tc>
        <w:tc>
          <w:tcPr>
            <w:tcW w:w="0" w:type="dxa"/>
            <w:vAlign w:val="bottom"/>
          </w:tcPr>
          <w:p>
            <w:pPr>
              <w:spacing w:after="0"/>
              <w:rPr>
                <w:sz w:val="1"/>
                <w:szCs w:val="1"/>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Provider network</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- 16</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2"/>
        </w:trPr>
        <w:tc>
          <w:tcPr>
            <w:tcW w:w="69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7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Level 1 — Observable Inputs. </w:t>
      </w:r>
      <w:r>
        <w:rPr>
          <w:rFonts w:ascii="Arial" w:cs="Arial" w:eastAsia="Arial" w:hAnsi="Arial"/>
          <w:sz w:val="18"/>
          <w:szCs w:val="18"/>
          <w:color w:val="auto"/>
        </w:rPr>
        <w:t>Level 1 financial instruments are actively traded and therefore the fair value for these securities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for identical securities in active markets.</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Level 2 — Directly or Indirectly Observable Inputs. </w:t>
      </w:r>
      <w:r>
        <w:rPr>
          <w:rFonts w:ascii="Arial" w:cs="Arial" w:eastAsia="Arial" w:hAnsi="Arial"/>
          <w:sz w:val="18"/>
          <w:szCs w:val="18"/>
          <w:color w:val="auto"/>
        </w:rPr>
        <w:t>Fair value for these investments is determined using a market approach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in active markets or quoted prices for identical securities in inactive markets.</w:t>
      </w:r>
    </w:p>
    <w:p>
      <w:pPr>
        <w:spacing w:after="0" w:line="5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 xml:space="preserve">Level 3 — Unobservable Inputs. </w:t>
      </w:r>
      <w:r>
        <w:rPr>
          <w:rFonts w:ascii="Arial" w:cs="Arial" w:eastAsia="Arial" w:hAnsi="Arial"/>
          <w:sz w:val="18"/>
          <w:szCs w:val="18"/>
          <w:color w:val="auto"/>
        </w:rPr>
        <w:t>Level 3 financial instruments are valued using unobservable inputs that represent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what market participants would use in pricing the financial instrument at the measurement date. As of December 31, 2020, our Level 3 financial instruments consisted of contingent consideration liabilities. As of December 31, 2019, our Level 3 financial instruments consisted of derivative financial instruments.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year ended December 31, 2020, we recognized a loss of $6 million, primarily for the increase in the fair value of the contingent consideration liability described below, because the opening 2021 enrollment for our Kentucky health plan was higher than our estimate as of September 30, 2020. In the year ended December 31, 2019, the net changes in fair value of Level 3 financial instruments were insignificant to our results of operations.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1,256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1,875</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5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55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
        </w:trPr>
        <w:tc>
          <w:tcPr>
            <w:tcW w:w="5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2019,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1,178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Government-sponsored enterprise securities (“GSEs”)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 of deposit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1,946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Call option derivative asset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8"/>
        </w:trPr>
        <w:tc>
          <w:tcPr>
            <w:tcW w:w="5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option derivative liability</w:t>
            </w: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7"/>
        </w:trPr>
        <w:tc>
          <w:tcPr>
            <w:tcW w:w="55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
        </w:trPr>
        <w:tc>
          <w:tcPr>
            <w:tcW w:w="55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December 31, 2020, our Level 3 financial instruments recorded at fair value on a recurring basis included contingent consideration liabilities of $46 million, in connection with the Kentucky acquisition described in Note 4, “Business Combinations.” As of December 31, 2020, the contingent consideration fair value was estimated primarily based on an amount we expect to pay the seller for members enrolled in our Kentucky health plan as of January 1, 2021, over a minimum threshold. Half this amount is payable later in 2021, with the remainder payable in early 2022, subject to review and agreement among us and the seller. The second half payment is contingent upon the outcome of certain legal challenges. The current portion is reported in “Accounts payable, accrued liabilities and other,” and the non-current portion is reported in “Other long-term liabilities,” in the accompanying consolidated balance sheets. Contingent consideration liabilities are remeasured to fair value each quarter until the contingencies are resolved with fair value adjustments, if any, recorded to operations.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in the accompanying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2440" w:type="dxa"/>
            <w:vAlign w:val="bottom"/>
          </w:tcPr>
          <w:p>
            <w:pPr>
              <w:spacing w:after="0"/>
              <w:rPr>
                <w:sz w:val="15"/>
                <w:szCs w:val="15"/>
                <w:color w:val="auto"/>
              </w:rPr>
            </w:pPr>
          </w:p>
        </w:tc>
        <w:tc>
          <w:tcPr>
            <w:tcW w:w="5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196"/>
        </w:trPr>
        <w:tc>
          <w:tcPr>
            <w:tcW w:w="2440" w:type="dxa"/>
            <w:vAlign w:val="bottom"/>
          </w:tcPr>
          <w:p>
            <w:pPr>
              <w:spacing w:after="0"/>
              <w:rPr>
                <w:sz w:val="17"/>
                <w:szCs w:val="17"/>
                <w:color w:val="auto"/>
              </w:rPr>
            </w:pPr>
          </w:p>
        </w:tc>
        <w:tc>
          <w:tcPr>
            <w:tcW w:w="5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7"/>
                <w:szCs w:val="17"/>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w:t>
            </w: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440" w:type="dxa"/>
            <w:vAlign w:val="bottom"/>
          </w:tcPr>
          <w:p>
            <w:pPr>
              <w:ind w:left="360"/>
              <w:spacing w:after="0"/>
              <w:rPr>
                <w:sz w:val="20"/>
                <w:szCs w:val="20"/>
                <w:color w:val="auto"/>
              </w:rPr>
            </w:pPr>
            <w:r>
              <w:rPr>
                <w:rFonts w:ascii="Arial" w:cs="Arial" w:eastAsia="Arial" w:hAnsi="Arial"/>
                <w:sz w:val="16"/>
                <w:szCs w:val="16"/>
                <w:color w:val="auto"/>
              </w:rPr>
              <w:t>Call Option</w:t>
            </w:r>
          </w:p>
        </w:tc>
        <w:tc>
          <w:tcPr>
            <w:tcW w:w="5820" w:type="dxa"/>
            <w:vAlign w:val="bottom"/>
            <w:gridSpan w:val="2"/>
          </w:tcPr>
          <w:p>
            <w:pPr>
              <w:ind w:left="20"/>
              <w:spacing w:after="0"/>
              <w:rPr>
                <w:sz w:val="20"/>
                <w:szCs w:val="20"/>
                <w:color w:val="auto"/>
              </w:rPr>
            </w:pPr>
            <w:r>
              <w:rPr>
                <w:rFonts w:ascii="Arial" w:cs="Arial" w:eastAsia="Arial" w:hAnsi="Arial"/>
                <w:sz w:val="16"/>
                <w:szCs w:val="16"/>
                <w:color w:val="auto"/>
              </w:rPr>
              <w:t>Current assets: Prepaid expenses and other current assets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29</w:t>
            </w: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4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Derivative liability:</w:t>
            </w:r>
          </w:p>
        </w:tc>
        <w:tc>
          <w:tcPr>
            <w:tcW w:w="5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6"/>
        </w:trPr>
        <w:tc>
          <w:tcPr>
            <w:tcW w:w="2440" w:type="dxa"/>
            <w:vAlign w:val="bottom"/>
          </w:tcPr>
          <w:p>
            <w:pPr>
              <w:ind w:left="360"/>
              <w:spacing w:after="0"/>
              <w:rPr>
                <w:sz w:val="20"/>
                <w:szCs w:val="20"/>
                <w:color w:val="auto"/>
              </w:rPr>
            </w:pPr>
            <w:r>
              <w:rPr>
                <w:rFonts w:ascii="Arial" w:cs="Arial" w:eastAsia="Arial" w:hAnsi="Arial"/>
                <w:sz w:val="16"/>
                <w:szCs w:val="16"/>
                <w:color w:val="auto"/>
              </w:rPr>
              <w:t>Conversion Option</w:t>
            </w:r>
          </w:p>
        </w:tc>
        <w:tc>
          <w:tcPr>
            <w:tcW w:w="5820" w:type="dxa"/>
            <w:vAlign w:val="bottom"/>
            <w:gridSpan w:val="2"/>
          </w:tcPr>
          <w:p>
            <w:pPr>
              <w:ind w:left="20"/>
              <w:spacing w:after="0"/>
              <w:rPr>
                <w:sz w:val="20"/>
                <w:szCs w:val="20"/>
                <w:color w:val="auto"/>
              </w:rPr>
            </w:pPr>
            <w:r>
              <w:rPr>
                <w:rFonts w:ascii="Arial" w:cs="Arial" w:eastAsia="Arial" w:hAnsi="Arial"/>
                <w:sz w:val="16"/>
                <w:szCs w:val="16"/>
                <w:color w:val="auto"/>
              </w:rPr>
              <w:t>Current liabilities: Accounts payable, accrued liabilities and other</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29</w:t>
            </w:r>
          </w:p>
        </w:tc>
      </w:tr>
      <w:tr>
        <w:trPr>
          <w:trHeight w:val="21"/>
        </w:trPr>
        <w:tc>
          <w:tcPr>
            <w:tcW w:w="2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Our derivative financial instruments did not qualify for hedge treatment. Gains and losses for our derivative financial instruments are presented individually in the accompanying consolidated statements of cash flows, “Supplemental cash flow information.”</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year ended December 31, 2020, we received $ 27 million for the settlement of the call option derivative asset, and we paid $39 million to settle the outstanding $12 million principal amount of the 1.125% Convertible Notes, and settle the related conversion option. For more information, refer to Notes 11, “Debt,” and 13 “Stockholders'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2"/>
                <w:szCs w:val="12"/>
                <w:color w:val="auto"/>
              </w:rPr>
            </w:pPr>
          </w:p>
        </w:tc>
        <w:tc>
          <w:tcPr>
            <w:tcW w:w="10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1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5.375% Notes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4.875% Notes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1.125% Convertible Notes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5"/>
        </w:trPr>
        <w:tc>
          <w:tcPr>
            <w:tcW w:w="5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more information on debt repayments, refer to Note 11,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2" w:name="page73"/>
    <w:bookmarkEnd w:id="72"/>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682"/>
              <w:spacing w:after="0"/>
              <w:rPr>
                <w:sz w:val="20"/>
                <w:szCs w:val="20"/>
                <w:color w:val="auto"/>
              </w:rPr>
            </w:pPr>
            <w:r>
              <w:rPr>
                <w:rFonts w:ascii="Arial" w:cs="Arial" w:eastAsia="Arial" w:hAnsi="Arial"/>
                <w:sz w:val="14"/>
                <w:szCs w:val="14"/>
                <w:b w:val="1"/>
                <w:bCs w:val="1"/>
                <w:color w:val="auto"/>
              </w:rPr>
              <w:t>Gross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360" w:type="dxa"/>
            <w:vAlign w:val="bottom"/>
          </w:tcPr>
          <w:p>
            <w:pPr>
              <w:spacing w:after="0"/>
              <w:rPr>
                <w:sz w:val="5"/>
                <w:szCs w:val="5"/>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702"/>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682"/>
              <w:spacing w:after="0"/>
              <w:rPr>
                <w:sz w:val="20"/>
                <w:szCs w:val="20"/>
                <w:color w:val="auto"/>
              </w:rPr>
            </w:pPr>
            <w:r>
              <w:rPr>
                <w:rFonts w:ascii="Arial" w:cs="Arial" w:eastAsia="Arial" w:hAnsi="Arial"/>
                <w:sz w:val="14"/>
                <w:szCs w:val="14"/>
                <w:b w:val="1"/>
                <w:bCs w:val="1"/>
                <w:color w:val="auto"/>
              </w:rPr>
              <w:t>Gross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360" w:type="dxa"/>
            <w:vAlign w:val="bottom"/>
          </w:tcPr>
          <w:p>
            <w:pPr>
              <w:spacing w:after="0"/>
              <w:rPr>
                <w:sz w:val="5"/>
                <w:szCs w:val="5"/>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left="702"/>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GSEs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 of deposit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20" w:type="dxa"/>
            <w:vAlign w:val="bottom"/>
            <w:gridSpan w:val="7"/>
          </w:tcPr>
          <w:p>
            <w:pPr>
              <w:spacing w:after="0"/>
              <w:rPr>
                <w:sz w:val="20"/>
                <w:szCs w:val="20"/>
                <w:color w:val="auto"/>
              </w:rPr>
            </w:pPr>
            <w:r>
              <w:rPr>
                <w:rFonts w:ascii="Arial" w:cs="Arial" w:eastAsia="Arial" w:hAnsi="Arial"/>
                <w:sz w:val="18"/>
                <w:szCs w:val="18"/>
                <w:color w:val="auto"/>
              </w:rPr>
              <w:t>The contractual maturities of our current investments as of December 31, 2020 are summarized below:</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24"/>
                <w:szCs w:val="24"/>
                <w:color w:val="auto"/>
              </w:rPr>
            </w:pPr>
          </w:p>
        </w:tc>
        <w:tc>
          <w:tcPr>
            <w:tcW w:w="1080" w:type="dxa"/>
            <w:vAlign w:val="bottom"/>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$6 million and $ 13 million in the years ended December 31, 2020 and 2019, respectively. Gross realized investment losses were insignificant in the years ended December 31, 2020 and 2019. Gross realized investment gains and losses for the year ended December 31, 2018 were insignificant.</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determined that unrealized losses at December 31, 2020 and 2019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3" w:name="page74"/>
    <w:bookmarkEnd w:id="73"/>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December 31, 2020, and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2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In a Continuous Loss Position for</w:t>
            </w:r>
          </w:p>
        </w:tc>
        <w:tc>
          <w:tcPr>
            <w:tcW w:w="220" w:type="dxa"/>
            <w:vAlign w:val="bottom"/>
          </w:tcPr>
          <w:p>
            <w:pPr>
              <w:spacing w:after="0"/>
              <w:rPr>
                <w:sz w:val="14"/>
                <w:szCs w:val="14"/>
                <w:color w:val="auto"/>
              </w:rPr>
            </w:pPr>
          </w:p>
        </w:tc>
        <w:tc>
          <w:tcPr>
            <w:tcW w:w="3960" w:type="dxa"/>
            <w:vAlign w:val="bottom"/>
            <w:gridSpan w:val="6"/>
          </w:tcPr>
          <w:p>
            <w:pPr>
              <w:jc w:val="center"/>
              <w:ind w:right="143"/>
              <w:spacing w:after="0"/>
              <w:rPr>
                <w:sz w:val="20"/>
                <w:szCs w:val="20"/>
                <w:color w:val="auto"/>
              </w:rPr>
            </w:pPr>
            <w:r>
              <w:rPr>
                <w:rFonts w:ascii="Arial" w:cs="Arial" w:eastAsia="Arial" w:hAnsi="Arial"/>
                <w:sz w:val="14"/>
                <w:szCs w:val="14"/>
                <w:b w:val="1"/>
                <w:bCs w:val="1"/>
                <w:color w:val="auto"/>
              </w:rPr>
              <w:t>In a Continuous Loss Position for</w:t>
            </w:r>
          </w:p>
        </w:tc>
      </w:tr>
      <w:tr>
        <w:trPr>
          <w:trHeight w:val="175"/>
        </w:trPr>
        <w:tc>
          <w:tcPr>
            <w:tcW w:w="2800" w:type="dxa"/>
            <w:vAlign w:val="bottom"/>
          </w:tcPr>
          <w:p>
            <w:pPr>
              <w:spacing w:after="0"/>
              <w:rPr>
                <w:sz w:val="15"/>
                <w:szCs w:val="15"/>
                <w:color w:val="auto"/>
              </w:rPr>
            </w:pPr>
          </w:p>
        </w:tc>
        <w:tc>
          <w:tcPr>
            <w:tcW w:w="41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Less than 12 Months as of December 31, 2020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6"/>
          </w:tcPr>
          <w:p>
            <w:pPr>
              <w:jc w:val="center"/>
              <w:ind w:right="143"/>
              <w:spacing w:after="0"/>
              <w:rPr>
                <w:sz w:val="20"/>
                <w:szCs w:val="20"/>
                <w:color w:val="auto"/>
              </w:rPr>
            </w:pPr>
            <w:r>
              <w:rPr>
                <w:rFonts w:ascii="Arial" w:cs="Arial" w:eastAsia="Arial" w:hAnsi="Arial"/>
                <w:sz w:val="14"/>
                <w:szCs w:val="14"/>
                <w:b w:val="1"/>
                <w:bCs w:val="1"/>
                <w:color w:val="auto"/>
              </w:rPr>
              <w:t>Less than 12 Months as of December 31, 2019</w:t>
            </w:r>
          </w:p>
        </w:tc>
      </w:tr>
      <w:tr>
        <w:trPr>
          <w:trHeight w:val="142"/>
        </w:trPr>
        <w:tc>
          <w:tcPr>
            <w:tcW w:w="28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Unrealized</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right"/>
              <w:ind w:right="23"/>
              <w:spacing w:after="0" w:line="142" w:lineRule="exact"/>
              <w:rPr>
                <w:sz w:val="20"/>
                <w:szCs w:val="20"/>
                <w:color w:val="auto"/>
              </w:rPr>
            </w:pPr>
            <w:r>
              <w:rPr>
                <w:rFonts w:ascii="Arial" w:cs="Arial" w:eastAsia="Arial" w:hAnsi="Arial"/>
                <w:sz w:val="14"/>
                <w:szCs w:val="14"/>
                <w:b w:val="1"/>
                <w:bCs w:val="1"/>
                <w:color w:val="auto"/>
              </w:rPr>
              <w:t>Total Number of</w:t>
            </w:r>
          </w:p>
        </w:tc>
      </w:tr>
      <w:tr>
        <w:trPr>
          <w:trHeight w:val="175"/>
        </w:trPr>
        <w:tc>
          <w:tcPr>
            <w:tcW w:w="28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Losses</w:t>
            </w: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Positions</w:t>
            </w:r>
          </w:p>
        </w:tc>
      </w:tr>
      <w:tr>
        <w:trPr>
          <w:trHeight w:val="196"/>
        </w:trPr>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Mortgage-backed securities</w:t>
            </w:r>
          </w:p>
        </w:tc>
        <w:tc>
          <w:tcPr>
            <w:tcW w:w="104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10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167</w:t>
            </w:r>
          </w:p>
        </w:tc>
      </w:tr>
      <w:tr>
        <w:trPr>
          <w:trHeight w:val="237"/>
        </w:trPr>
        <w:tc>
          <w:tcPr>
            <w:tcW w:w="2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239</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of which $134 million will mature in one year or less, and $2 million will mature in after one through five years. The following table presents the balances of restricted investments: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83"/>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9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Ohio</w:t>
            </w:r>
          </w:p>
        </w:tc>
        <w:tc>
          <w:tcPr>
            <w:tcW w:w="9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Magellan Complete Care</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Health Plans segment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7. Property, Equipment, and Capitalized Software, Net</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Property and equipment are stated at historical cost. Replacements and major improvements are capitalized, and repairs and maintenance are charged to expense as incurred. Software developed for internal use is capitalized. Furniture and equipment are generally depreciated using the straight-line method over estimated useful lives ranging from three to seven years.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 summary of property, equipment, and capitalized software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2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Furniture and equipment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improvements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Land</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20" w:type="dxa"/>
            <w:vAlign w:val="bottom"/>
          </w:tcPr>
          <w:p>
            <w:pPr>
              <w:ind w:left="140"/>
              <w:spacing w:after="0"/>
              <w:rPr>
                <w:sz w:val="20"/>
                <w:szCs w:val="20"/>
                <w:color w:val="auto"/>
              </w:rPr>
            </w:pPr>
            <w:r>
              <w:rPr>
                <w:rFonts w:ascii="Arial" w:cs="Arial" w:eastAsia="Arial" w:hAnsi="Arial"/>
                <w:sz w:val="16"/>
                <w:szCs w:val="16"/>
                <w:color w:val="auto"/>
              </w:rPr>
              <w:t>Total cost</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amortization - capitalized software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 - furniture, equipment, building, and improvements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accumulated depreciation and amortization</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 - finance leases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3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depreciation and amortization recognized in our consolidated statements of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 in depreciation and amortization:</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Amortization of capitalized software</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finance leases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Depreciation and amortization of furniture, equipment, building, and improvements</w:t>
            </w: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Subtotal</w:t>
            </w: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 in cost of service revenue:</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capitalized software and deferred contract costs</w:t>
            </w: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depreciation and amortization recognized</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8. Leases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8 years, some of which include options to extend the leases for up to 10 years. As of December 31, 2020, the weighted average remaining operating lease term is 4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finance leases have remaining lease terms of 1 year to 18 years, some of which include options to extend the leases for up to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weighted average remaining finance lease term is 15 years.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2020, the weighted-average discount rate used to compute the present value of lease payments was 5.2% for operating lease liabilities, and 6.5% for finance lease liabilities. The components of lease expense for the years ended December 31, 2020, and 2019, are presented in the following table. Rental expense related to operating leases amounted to $62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120" w:type="dxa"/>
            <w:vAlign w:val="bottom"/>
            <w:tcBorders>
              <w:bottom w:val="single" w:sz="8" w:color="auto"/>
            </w:tcBorders>
            <w:gridSpan w:val="2"/>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Amortization of ROU assets</w:t>
            </w:r>
          </w:p>
        </w:tc>
        <w:tc>
          <w:tcPr>
            <w:tcW w:w="1120" w:type="dxa"/>
            <w:vAlign w:val="bottom"/>
            <w:gridSpan w:val="2"/>
          </w:tcPr>
          <w:p>
            <w:pPr>
              <w:jc w:val="right"/>
              <w:ind w:right="92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Total finance lease expense</w:t>
            </w:r>
          </w:p>
        </w:tc>
        <w:tc>
          <w:tcPr>
            <w:tcW w:w="1120" w:type="dxa"/>
            <w:vAlign w:val="bottom"/>
            <w:tcBorders>
              <w:bottom w:val="single" w:sz="8" w:color="auto"/>
            </w:tcBorders>
            <w:gridSpan w:val="2"/>
          </w:tcPr>
          <w:p>
            <w:pPr>
              <w:jc w:val="right"/>
              <w:ind w:right="92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
        </w:trPr>
        <w:tc>
          <w:tcPr>
            <w:tcW w:w="8060" w:type="dxa"/>
            <w:vAlign w:val="bottom"/>
            <w:vMerge w:val="restart"/>
          </w:tcPr>
          <w:p>
            <w:pPr>
              <w:spacing w:after="0"/>
              <w:rPr>
                <w:sz w:val="20"/>
                <w:szCs w:val="20"/>
                <w:color w:val="auto"/>
              </w:rPr>
            </w:pPr>
            <w:r>
              <w:rPr>
                <w:rFonts w:ascii="Arial" w:cs="Arial" w:eastAsia="Arial" w:hAnsi="Arial"/>
                <w:sz w:val="18"/>
                <w:szCs w:val="18"/>
                <w:color w:val="auto"/>
              </w:rPr>
              <w:t>Supplemental consolidated cash flow information related to leases follows: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1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108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used in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ROU assets recognized in exchange for lease obligations: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0"/>
        </w:trPr>
        <w:tc>
          <w:tcPr>
            <w:tcW w:w="806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1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08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gridSpan w:val="3"/>
          </w:tcPr>
          <w:p>
            <w:pPr>
              <w:spacing w:after="0" w:line="175" w:lineRule="exact"/>
              <w:rPr>
                <w:sz w:val="20"/>
                <w:szCs w:val="20"/>
                <w:color w:val="auto"/>
              </w:rPr>
            </w:pPr>
            <w:r>
              <w:rPr>
                <w:rFonts w:ascii="Arial" w:cs="Arial" w:eastAsia="Arial" w:hAnsi="Arial"/>
                <w:sz w:val="16"/>
                <w:szCs w:val="16"/>
                <w:color w:val="auto"/>
              </w:rPr>
              <w:t>ROU assets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Other assets - Magellan Complete Care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Total other assets</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color w:val="auto"/>
              </w:rPr>
              <w:t>Lease 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14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gridSpan w:val="3"/>
          </w:tcPr>
          <w:p>
            <w:pPr>
              <w:ind w:left="120"/>
              <w:spacing w:after="0"/>
              <w:rPr>
                <w:sz w:val="20"/>
                <w:szCs w:val="20"/>
                <w:color w:val="auto"/>
              </w:rPr>
            </w:pPr>
            <w:r>
              <w:rPr>
                <w:rFonts w:ascii="Arial" w:cs="Arial" w:eastAsia="Arial" w:hAnsi="Arial"/>
                <w:sz w:val="16"/>
                <w:szCs w:val="16"/>
                <w:color w:val="auto"/>
              </w:rPr>
              <w:t>Other long-term liabilities (non-current)</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Magellan Complete Care</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40" w:type="dxa"/>
            <w:vAlign w:val="bottom"/>
            <w:gridSpan w:val="3"/>
          </w:tcPr>
          <w:p>
            <w:pPr>
              <w:ind w:left="240"/>
              <w:spacing w:after="0"/>
              <w:rPr>
                <w:sz w:val="20"/>
                <w:szCs w:val="20"/>
                <w:color w:val="auto"/>
              </w:rPr>
            </w:pPr>
            <w:r>
              <w:rPr>
                <w:rFonts w:ascii="Arial" w:cs="Arial" w:eastAsia="Arial" w:hAnsi="Arial"/>
                <w:sz w:val="16"/>
                <w:szCs w:val="16"/>
                <w:color w:val="auto"/>
              </w:rPr>
              <w:t>Total operating lease liabilities</w:t>
            </w:r>
          </w:p>
        </w:tc>
        <w:tc>
          <w:tcPr>
            <w:tcW w:w="100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Finance leases: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gridSpan w:val="3"/>
          </w:tcPr>
          <w:p>
            <w:pPr>
              <w:spacing w:after="0" w:line="175" w:lineRule="exact"/>
              <w:rPr>
                <w:sz w:val="20"/>
                <w:szCs w:val="20"/>
                <w:color w:val="auto"/>
              </w:rPr>
            </w:pPr>
            <w:r>
              <w:rPr>
                <w:rFonts w:ascii="Arial" w:cs="Arial" w:eastAsia="Arial" w:hAnsi="Arial"/>
                <w:sz w:val="16"/>
                <w:szCs w:val="16"/>
                <w:color w:val="auto"/>
              </w:rPr>
              <w:t>ROU assets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Property, equipment, and capitalized software, net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color w:val="auto"/>
              </w:rPr>
              <w:t>Lease liabilities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14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0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Finance lease liabilities (non-current)</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finance lease liabilities</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Finance</w:t>
            </w:r>
          </w:p>
        </w:tc>
      </w:tr>
      <w:tr>
        <w:trPr>
          <w:trHeight w:val="189"/>
        </w:trPr>
        <w:tc>
          <w:tcPr>
            <w:tcW w:w="8020" w:type="dxa"/>
            <w:vAlign w:val="bottom"/>
          </w:tcPr>
          <w:p>
            <w:pPr>
              <w:spacing w:after="0"/>
              <w:rPr>
                <w:sz w:val="16"/>
                <w:szCs w:val="16"/>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Leases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Leases</w:t>
            </w:r>
          </w:p>
        </w:tc>
      </w:tr>
      <w:tr>
        <w:trPr>
          <w:trHeight w:val="183"/>
        </w:trPr>
        <w:tc>
          <w:tcPr>
            <w:tcW w:w="8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2022</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24</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w:t>
            </w:r>
          </w:p>
        </w:tc>
      </w:tr>
      <w:tr>
        <w:trPr>
          <w:trHeight w:val="212"/>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 undiscounted lease payments</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9. Goodwill and Intangible Assets, Net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following table presents the changes in the carrying amounts of goodwill, for the periods presented. All goodwill is recorded in the Health Plans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9820" w:type="dxa"/>
            <w:vAlign w:val="bottom"/>
          </w:tcPr>
          <w:p>
            <w:pPr>
              <w:ind w:left="14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Dispositions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Impairment and other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9820" w:type="dxa"/>
            <w:vAlign w:val="bottom"/>
          </w:tcPr>
          <w:p>
            <w:pPr>
              <w:ind w:left="14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9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Dispositions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Impairment and other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For the Health Plans segment, gross goodwill amounted to $ 994 million and $445 million, as of December 31, 2020 and 2019, respectively. Accumulated impairment losses amounted to $302 million at each of December 31, 2020 and 2019, respectively. The changes in the carrying amounts of both goodwill and intangible assets, net, in 2020, was due to the acquisitions described in Note 4, “Business Combinations.”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provides the details of identified intangible assets, by major class, for the periods presented. All intangible assets, net, are recorded in the Health Plans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December 31, 2020</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Carrying Amount</w:t>
            </w: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1400" w:type="dxa"/>
            <w:vAlign w:val="bottom"/>
            <w:tcBorders>
              <w:bottom w:val="single" w:sz="8" w:color="auto"/>
            </w:tcBorders>
            <w:gridSpan w:val="3"/>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and licenses</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Provider networks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December 31, 2020, we estimate that our intangible asset amortization will be approximately $46 million in 2021, $44 million in 2022, 2023 and 2024, and $43 million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spacing w:after="0"/>
        <w:rPr>
          <w:sz w:val="20"/>
          <w:szCs w:val="20"/>
          <w:color w:val="auto"/>
        </w:rPr>
      </w:pPr>
      <w:r>
        <w:rPr>
          <w:rFonts w:ascii="Arial" w:cs="Arial" w:eastAsia="Arial" w:hAnsi="Arial"/>
          <w:sz w:val="25"/>
          <w:szCs w:val="25"/>
          <w:color w:val="828282"/>
        </w:rPr>
        <w:t>10.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66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183"/>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2,696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1,961</w:t>
            </w:r>
          </w:p>
        </w:tc>
      </w:tr>
      <w:tr>
        <w:trPr>
          <w:trHeight w:val="23"/>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$235 million, $132 million and $107 million, as of December 31, 2020, 2019, and 2018, respectively.</w:t>
      </w:r>
    </w:p>
    <w:p>
      <w:pPr>
        <w:spacing w:after="0" w:line="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were more than the actual liabilities, based on information (principally the payment of claims) developed since those liabilities were first reported.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183"/>
        </w:trPr>
        <w:tc>
          <w:tcPr>
            <w:tcW w:w="6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15,478</w:t>
            </w:r>
          </w:p>
        </w:tc>
      </w:tr>
      <w:tr>
        <w:trPr>
          <w:trHeight w:val="216"/>
        </w:trPr>
        <w:tc>
          <w:tcPr>
            <w:tcW w:w="668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Prior years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10"/>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medical care costs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15,137</w:t>
            </w:r>
          </w:p>
        </w:tc>
      </w:tr>
      <w:tr>
        <w:trPr>
          <w:trHeight w:val="193"/>
        </w:trPr>
        <w:tc>
          <w:tcPr>
            <w:tcW w:w="668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13,671</w:t>
            </w:r>
          </w:p>
        </w:tc>
      </w:tr>
      <w:tr>
        <w:trPr>
          <w:trHeight w:val="21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Prior years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r>
      <w:tr>
        <w:trPr>
          <w:trHeight w:val="209"/>
        </w:trPr>
        <w:tc>
          <w:tcPr>
            <w:tcW w:w="6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15,381</w:t>
            </w:r>
          </w:p>
        </w:tc>
      </w:tr>
      <w:tr>
        <w:trPr>
          <w:trHeight w:val="210"/>
        </w:trPr>
        <w:tc>
          <w:tcPr>
            <w:tcW w:w="6680" w:type="dxa"/>
            <w:vAlign w:val="bottom"/>
          </w:tcPr>
          <w:p>
            <w:pPr>
              <w:ind w:left="20"/>
              <w:spacing w:after="0"/>
              <w:rPr>
                <w:sz w:val="20"/>
                <w:szCs w:val="20"/>
                <w:color w:val="auto"/>
              </w:rPr>
            </w:pPr>
            <w:r>
              <w:rPr>
                <w:rFonts w:ascii="Arial" w:cs="Arial" w:eastAsia="Arial" w:hAnsi="Arial"/>
                <w:sz w:val="16"/>
                <w:szCs w:val="16"/>
                <w:color w:val="auto"/>
              </w:rPr>
              <w:t>Acquisition - Magellan Complete Care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2,696</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1,961</w:t>
            </w:r>
          </w:p>
        </w:tc>
      </w:tr>
      <w:tr>
        <w:trPr>
          <w:trHeight w:val="20"/>
        </w:trPr>
        <w:tc>
          <w:tcPr>
            <w:tcW w:w="6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  December 31, 2018, includes the 2018 benefit of the 2017 Marketplace CSR reimbursement of $81 million.</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2020, 2019 and 2018 developed favorably by approximately $119 million, $271 million and $341 million in 2020, 2019 and 2018, respectively.</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favorable prior year development recognized in 2020 was primarily due to lower than expected utilization of medical services by our Medicaid members, and improved operating performance. Consequently, the ultimate costs recognized in 2020 were lower than our original estimates in 2019, which was not discernible until additional information was provided, and as claims payments were processed.</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favorable prior year development recognized in 2019 was primarily due to lower than expected utilization of medical services by our Medicaid members, and improved operating performance. Consequently, the ultimate costs recognized in 2019 were lower than our original estimates in 2018, which was not discernible until additional information was provided, and as claims payments were processed.</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favorable prior year development recognized in 2018 includes a benefit of approximately $81 million in reduced medical care costs relating to Marketplace CSR subsidies for 2017 dates of service. The remainder of the favorable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8" w:name="page79"/>
    <w:bookmarkEnd w:id="78"/>
    <w:p>
      <w:pPr>
        <w:ind w:right="60"/>
        <w:spacing w:after="0" w:line="256" w:lineRule="auto"/>
        <w:rPr>
          <w:sz w:val="20"/>
          <w:szCs w:val="20"/>
          <w:color w:val="auto"/>
        </w:rPr>
      </w:pPr>
      <w:r>
        <w:rPr>
          <w:rFonts w:ascii="Arial" w:cs="Arial" w:eastAsia="Arial" w:hAnsi="Arial"/>
          <w:sz w:val="18"/>
          <w:szCs w:val="18"/>
          <w:color w:val="auto"/>
        </w:rPr>
        <w:t>prior period development was primarily due to lower than expected utilization of medical services by our Medicaid and Marketplace members and improved operating performance. Consequently, the ultimate costs recognized in 2018 were lower than our original estimates in 2017, which was not discernible until additional information was provided, and as claims payments were processed.</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tables provide information about incurred and paid claims development as of December 31, 2020, as well as cumulative claims frequency and the total of incurred but not paid claims liabilities. The cumulative claim frequency is measured by claim event, and includes claims covered under capitated arrangements.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8"/>
          </w:tcPr>
          <w:p>
            <w:pPr>
              <w:jc w:val="right"/>
              <w:ind w:right="39"/>
              <w:spacing w:after="0"/>
              <w:rPr>
                <w:sz w:val="20"/>
                <w:szCs w:val="20"/>
                <w:color w:val="auto"/>
              </w:rPr>
            </w:pPr>
            <w:r>
              <w:rPr>
                <w:rFonts w:ascii="Arial" w:cs="Arial" w:eastAsia="Arial" w:hAnsi="Arial"/>
                <w:sz w:val="14"/>
                <w:szCs w:val="14"/>
                <w:b w:val="1"/>
                <w:bCs w:val="1"/>
                <w:color w:val="auto"/>
              </w:rPr>
              <w:t>Incurred Claims and Allocated Claims Adjustment Expenses</w:t>
            </w:r>
          </w:p>
        </w:tc>
        <w:tc>
          <w:tcPr>
            <w:tcW w:w="1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Cumulative number of</w:t>
            </w:r>
          </w:p>
        </w:tc>
        <w:tc>
          <w:tcPr>
            <w:tcW w:w="0" w:type="dxa"/>
            <w:vAlign w:val="bottom"/>
          </w:tcPr>
          <w:p>
            <w:pPr>
              <w:spacing w:after="0"/>
              <w:rPr>
                <w:sz w:val="1"/>
                <w:szCs w:val="1"/>
                <w:color w:val="auto"/>
              </w:rPr>
            </w:pPr>
          </w:p>
        </w:tc>
      </w:tr>
      <w:tr>
        <w:trPr>
          <w:trHeight w:val="61"/>
        </w:trPr>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 Year</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vMerge w:val="restart"/>
          </w:tcPr>
          <w:p>
            <w:pPr>
              <w:jc w:val="right"/>
              <w:ind w:right="70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Total IBNP</w:t>
            </w:r>
          </w:p>
        </w:tc>
        <w:tc>
          <w:tcPr>
            <w:tcW w:w="1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reported claims</w:t>
            </w: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9"/>
                <w:szCs w:val="19"/>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9"/>
                <w:szCs w:val="19"/>
                <w:color w:val="auto"/>
              </w:rPr>
            </w:pPr>
          </w:p>
        </w:tc>
        <w:tc>
          <w:tcPr>
            <w:tcW w:w="1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15,478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1800" w:type="dxa"/>
            <w:vAlign w:val="bottom"/>
          </w:tcPr>
          <w:p>
            <w:pPr>
              <w:jc w:val="center"/>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14,176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14,083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740" w:type="dxa"/>
            <w:vAlign w:val="bottom"/>
            <w:gridSpan w:val="2"/>
          </w:tcPr>
          <w:p>
            <w:pPr>
              <w:jc w:val="right"/>
              <w:ind w:right="8"/>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1,593</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Cumulative Paid Claims and Allocated Claims Adjustment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Year</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2020</w:t>
            </w:r>
          </w:p>
        </w:tc>
      </w:tr>
      <w:tr>
        <w:trPr>
          <w:trHeight w:val="223"/>
        </w:trPr>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9"/>
                <w:szCs w:val="19"/>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15,222</w:t>
            </w:r>
          </w:p>
        </w:tc>
      </w:tr>
      <w:tr>
        <w:trPr>
          <w:trHeight w:val="213"/>
        </w:trPr>
        <w:tc>
          <w:tcPr>
            <w:tcW w:w="186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6"/>
                <w:szCs w:val="16"/>
                <w:color w:val="auto"/>
              </w:rPr>
              <w:t>12,554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14,056</w:t>
            </w: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13,871</w:t>
            </w:r>
          </w:p>
        </w:tc>
      </w:tr>
      <w:tr>
        <w:trPr>
          <w:trHeight w:val="209"/>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43,149</w:t>
            </w:r>
          </w:p>
        </w:tc>
      </w:tr>
      <w:tr>
        <w:trPr>
          <w:trHeight w:val="23"/>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represents a reconciliation of claims development to the aggregate carrying amount of the liability for medical claims and benefits payable.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183"/>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46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claims and allocated claims adjustment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45,255</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Less: cumulative paid claims and allocated claims adjustment expenses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(43,149)</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outstanding liabilities before 2018</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Magellan Complete Care</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Non-risk and other provider payables</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Medical claims and benefits payable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11. Debt</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Contractual maturities of debt, as of December 31, 2020, are illustrated in the following table. All amounts represent the principal amounts of the debt instruments outstanding.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5.375% Notes due 2022</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0"/>
        </w:trPr>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9" w:name="page80"/>
    <w:bookmarkEnd w:id="79"/>
    <w:p>
      <w:pPr>
        <w:ind w:right="280"/>
        <w:spacing w:after="0" w:line="261" w:lineRule="auto"/>
        <w:rPr>
          <w:sz w:val="20"/>
          <w:szCs w:val="20"/>
          <w:color w:val="auto"/>
        </w:rPr>
      </w:pPr>
      <w:r>
        <w:rPr>
          <w:rFonts w:ascii="Arial" w:cs="Arial" w:eastAsia="Arial" w:hAnsi="Arial"/>
          <w:sz w:val="18"/>
          <w:szCs w:val="18"/>
          <w:color w:val="auto"/>
        </w:rPr>
        <w:t>All debt is held at the parent which is reported in the Other segment. The following table summarizes our outstanding debt obligations and their classification in the accompanying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portion of long-term debt: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1.125% Convertible Notes, net of unamortized discount</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portion of long-term debt:</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4.375% Notes due 2028</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5.375% Notes due 2022</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3.875% Notes due 2030</w:t>
            </w: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4.875% Notes due 2025</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Term loan facility</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debt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5939"/>
              <w:spacing w:after="0"/>
              <w:rPr>
                <w:sz w:val="20"/>
                <w:szCs w:val="20"/>
                <w:color w:val="auto"/>
              </w:rPr>
            </w:pPr>
            <w:r>
              <w:rPr>
                <w:rFonts w:ascii="Arial" w:cs="Arial" w:eastAsia="Arial" w:hAnsi="Arial"/>
                <w:sz w:val="18"/>
                <w:szCs w:val="18"/>
                <w:color w:val="auto"/>
                <w:w w:val="98"/>
              </w:rPr>
              <w:t>______________________</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Reported in “Accounts payable, accrued liabilities and other.”</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June 2020, we entered into a credit agreement (the “Credit Agreement”) that replaced our prior credit agreement. The terms of the Credit Agreement are substantially similar to the terms of the prior agreement. Among various provisions, significant changes incorporated to the Credit Agreement included:</w:t>
      </w:r>
    </w:p>
    <w:p>
      <w:pPr>
        <w:spacing w:after="0" w:line="9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the revolving credit facility (the “Credit Facility”) from $500 million to $1.0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$15 million swingline sub-facility and a $100 million letter of credit sub-facility;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incremental term loans available to finance certain acquisitions from $150 million to $500 million, plus an unlimited amount as long as our consolidated net leverage ratio is not greater than 3:1;</w:t>
      </w:r>
    </w:p>
    <w:p>
      <w:pPr>
        <w:ind w:left="660" w:right="4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engage in acquisitions where the consummation of such acquisitions is not conditioned on the availability of, or on obtaining, third-party financing;</w:t>
      </w:r>
    </w:p>
    <w:p>
      <w:pPr>
        <w:ind w:left="660" w:hanging="328"/>
        <w:spacing w:after="0"/>
        <w:tabs>
          <w:tab w:leader="none" w:pos="66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Termination of the term loan facility under the prior credit agreement;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LIBOR succession provisions.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December 31, 2020, we were in compliance with all financial and non-financial covenants under the Credit Agreement and other long-term debt. As of December 31, 2020,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9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On June 2, 2020, we completed the private offering of $800 million aggregate principal amount of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“4.375% Notes”) due June 15, 2028, unless earlier redeemed. The 4.375% Notes contain optional early redemption provisions, with redemption prices in excess of par. Interest, at a rate of 4.375%</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ind w:right="60"/>
        <w:spacing w:after="0" w:line="256" w:lineRule="auto"/>
        <w:rPr>
          <w:sz w:val="20"/>
          <w:szCs w:val="20"/>
          <w:color w:val="auto"/>
        </w:rPr>
      </w:pPr>
      <w:r>
        <w:rPr>
          <w:rFonts w:ascii="Arial" w:cs="Arial" w:eastAsia="Arial" w:hAnsi="Arial"/>
          <w:sz w:val="18"/>
          <w:szCs w:val="18"/>
          <w:color w:val="auto"/>
        </w:rPr>
        <w:t>per annum, is payable semiannually in arrears on June 15 and December 15 of each year. A portion of the net proceeds from the 4.375% Notes offering was used to repay $600 million principal amount outstanding under the term loan facility of our prior credit agreement, and the balance is intended to be used for general corporate purposes. Deferred issuance costs amounted to $11 million.</w:t>
      </w:r>
    </w:p>
    <w:p>
      <w:pPr>
        <w:spacing w:after="0" w:line="76"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have $700 million aggregate principal amount of senior notes (the “5.375%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which are due November 15, 2022, unless earlier redeemed. Interest at a rate of 5.375% per annum, is payable semiannually in arrears on May 15 and November 15.</w:t>
      </w:r>
    </w:p>
    <w:p>
      <w:pPr>
        <w:spacing w:after="0" w:line="6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On November 17, 2020, we completed the private offering of $650 million aggregate principal amount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“3.875% Notes”) due November 15, 2030, unless earlier redeemed. The 3.875% Notes contain optional early redemption provisions, with redemption prices in excess of par. Interest, at a rate of 3.875% per annum, is payable semiannually in arrears on May 15 and November 15 of each year, commencing on May 15, 2021. A portion of the net proceeds from the 3.875% Notes offering was used to repay $330 million principal amount outstanding under the 4.875% Notes, and the balance is intended to be used for general corporate purposes. Deferred issuance costs amounted to $10 million.</w:t>
      </w:r>
    </w:p>
    <w:p>
      <w:pPr>
        <w:spacing w:after="0" w:line="7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i w:val="1"/>
          <w:iCs w:val="1"/>
          <w:color w:val="auto"/>
        </w:rPr>
        <w:t xml:space="preserve">4.875% Notes due 2025. </w:t>
      </w:r>
      <w:r>
        <w:rPr>
          <w:rFonts w:ascii="Arial" w:cs="Arial" w:eastAsia="Arial" w:hAnsi="Arial"/>
          <w:sz w:val="18"/>
          <w:szCs w:val="18"/>
          <w:color w:val="auto"/>
        </w:rPr>
        <w:t>In December 2020, we completed the early redemption of the entire $330 million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(the “4.875% Notes”) that would have been due June 15, 2025. In accordance with the indenture governing such notes, the 4.875% Notes were settled at 100% of par, plus an early redemption premium which amounted to $8 million, plus accrued and unpaid interest. In conjunction with the redemption, we wrote off $3 million in unamortized deferred issuance costs directly related to the 4.875%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January 2020, we paid $39 million to settle the $12 million remaining principal amount outstanding of the 1.125% cash convertible senior notes due January 15, 2020 (the “1.125% Convertible Notes”), and settled the related conversion option.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 Net</w:t>
      </w:r>
    </w:p>
    <w:p>
      <w:pPr>
        <w:spacing w:after="0" w:line="1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year ended December 31, 2020, we recognized an aggregate loss on debt repayment of $15 million including costs incurred in repayment of the term loan facility, the 4.875% Notes repayment costs described above, and other financing transactions. In the year ended December 31, 2019, we recognized a gain on debt repayment of $15 million in connection with the 1.125% Convertible Notes repayment transactions. These amounts are reported in “Other expenses (income), net” in the accompanying consolidated statements of income.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color w:val="828282"/>
        </w:rPr>
        <w:t>12.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for continuing operations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2"/>
        </w:trPr>
        <w:tc>
          <w:tcPr>
            <w:tcW w:w="670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193"/>
        </w:trPr>
        <w:tc>
          <w:tcPr>
            <w:tcW w:w="6700" w:type="dxa"/>
            <w:vAlign w:val="bottom"/>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 reconciliation of the U.S. federal statutory income tax rate to the combined effective income tax rate for continuing operations is as follows:</w:t>
      </w:r>
    </w:p>
    <w:p>
      <w:pPr>
        <w:spacing w:after="0" w:line="14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r>
      <w:tr>
        <w:trPr>
          <w:trHeight w:val="20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tax (benefit)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State income provision (benefit), net of federal</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1.2</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health insurer fee (“HIF”)</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Nondeductible compensation</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0.7</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Worthless stock deduction</w:t>
            </w:r>
          </w:p>
        </w:tc>
        <w:tc>
          <w:tcPr>
            <w:tcW w:w="1640" w:type="dxa"/>
            <w:vAlign w:val="bottom"/>
            <w:gridSpan w:val="3"/>
            <w:shd w:val="clear" w:color="auto" w:fill="CCEEFF"/>
          </w:tcPr>
          <w:p>
            <w:pPr>
              <w:jc w:val="right"/>
              <w:ind w:right="1208"/>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233"/>
        </w:trPr>
        <w:tc>
          <w:tcPr>
            <w:tcW w:w="7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Effective tax expense 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effective tax rate was not impacted by the HIF in 2019 given the HIF moratorium. Our effective tax rate is based on expected income, statutory tax rates, and tax planning opportunities available to us in the various jurisdictions in which we operate.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classified as non-current. Significant components of our deferred tax assets and liabilities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20" w:type="dxa"/>
            <w:vAlign w:val="bottom"/>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83"/>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reserve liabilities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 accrued medical costs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Fixed assets and intangibles</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premiums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Lease financing obligation</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carryover</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deferred income tax assets, net of valuation allowance</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and intangibles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and losses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deferred income tax liabilities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Net deferred income tax asset</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4"/>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state net operating loss carryforwards of $189 million, which begin expiring in 2035.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foreign net operating loss carryforwards of $5 million, which expire in 2031.</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At December 31, 2020, we had California research and development and enterprise zone tax credit carryovers of $3 million, which will begin to expire in 2024, and foreign tax credit carryovers of $5 million, which expire in 2030.</w:t>
      </w:r>
    </w:p>
    <w:p>
      <w:pPr>
        <w:spacing w:after="0" w:line="9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2020, $17 million of deferred tax assets did not satisfy the recognition criteria. Therefore, we decreased our valuation allowance by $7 million, from $24 million at December 31, 2019, to $17 million as of December 31, 2020.</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ind w:right="40"/>
        <w:spacing w:after="0" w:line="252" w:lineRule="auto"/>
        <w:rPr>
          <w:sz w:val="20"/>
          <w:szCs w:val="20"/>
          <w:color w:val="auto"/>
        </w:rPr>
      </w:pPr>
      <w:r>
        <w:rPr>
          <w:rFonts w:ascii="Arial" w:cs="Arial" w:eastAsia="Arial" w:hAnsi="Arial"/>
          <w:sz w:val="18"/>
          <w:szCs w:val="18"/>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roll forward of our unrecognized tax benefits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2"/>
        </w:trPr>
        <w:tc>
          <w:tcPr>
            <w:tcW w:w="670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beginning of period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80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Increases in tax positions for current year</w:t>
            </w:r>
          </w:p>
        </w:tc>
        <w:tc>
          <w:tcPr>
            <w:tcW w:w="9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 in statute of limitations</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Gross unrecognized tax benefits at end of period</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center"/>
              <w:ind w:lef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center"/>
              <w:ind w:left="80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total amount of unrecognized tax benefits at December 31, 2020, 2019 and 2018 that, if recognized, would affect the effective tax rates is $18 million in each of those respective years. We expect that during the next 12 months it is reasonably possible that unrecognized tax benefit liabilities may decrease by as much as $10 million due to resolution of exams and refund claims.</w:t>
      </w:r>
    </w:p>
    <w:p>
      <w:pPr>
        <w:spacing w:after="0" w:line="9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continuing practice is to recognize interest and/or penalties related to unrecognized tax benefits in income tax expense. Amounts accrued for the payment of interest and penalties as of December 31, 2020, 2019 and 2018 were insignificant.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under examination by the IRS for calendar years 2015 through 2017 and may be subject to examination for calendar years 2018 and 2019. With a few exceptions, which are immaterial in the aggregate, we no longer are subject to state, local, and Puerto Rico tax examinations for years before 2015.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13.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766,000 shares of our common stock for $159 million in November and December 2020 (average cost of $ 208.37 per share), including approximately 29,000 shares purchased for $6 million in late December 2020, and settled in early January 2021.</w:t>
      </w:r>
    </w:p>
    <w:p>
      <w:pPr>
        <w:spacing w:after="0" w:line="10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December 2019, our board of directors authorized the purchase of up to $500 million, in the aggregate, of our common stock. This program was funded with existing cash on hand and was completed in March 2020. Under this program, pursuant to a Rule 10b5-1 trading plan, we purchased approximately 3.4 million shares of our common stock for $ 446 million in the first quarter of 2020 (average cost of $132.45 per share). In the first quarter of 2020, we also paid $7 million to settle shares purchased in late December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From January 1, 2021 through February 11, 2021, we purchased approximately 577,000 shares for $122 million (average cost of $211.65 per share).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connection with the 1.125% Convertible Notes settlement transaction described in Note 11, “Debt,” in the first quarter of 2020 we entered into privately negotiated agreements to terminate the associated 310,000 warrants outstanding for $30 million, which resulted in a reduction of additional paid-in-capital for the same amount.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our employee stock plans, approximately 244,000 shares and 242,000 shares of common stock were issued, net of shares used to settle employees’ income tax obligations, during the years ended December 31, 2020, and 2019, respectively. Total share-based compensation expense is reported in “General and administrative expenses” in the accompanying consolidated statements of income, and summarized below.</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5"/>
                <w:szCs w:val="15"/>
                <w:color w:val="auto"/>
              </w:rPr>
            </w:pPr>
          </w:p>
        </w:tc>
      </w:tr>
      <w:tr>
        <w:trPr>
          <w:trHeight w:val="183"/>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48"/>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Net-of-Tax</w:t>
            </w:r>
          </w:p>
        </w:tc>
        <w:tc>
          <w:tcPr>
            <w:tcW w:w="180" w:type="dxa"/>
            <w:vAlign w:val="bottom"/>
          </w:tcPr>
          <w:p>
            <w:pPr>
              <w:spacing w:after="0"/>
              <w:rPr>
                <w:sz w:val="12"/>
                <w:szCs w:val="12"/>
                <w:color w:val="auto"/>
              </w:rPr>
            </w:pPr>
          </w:p>
        </w:tc>
        <w:tc>
          <w:tcPr>
            <w:tcW w:w="10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Net-of-Tax</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2"/>
                <w:szCs w:val="12"/>
                <w:color w:val="auto"/>
              </w:rPr>
            </w:pPr>
          </w:p>
        </w:tc>
        <w:tc>
          <w:tcPr>
            <w:tcW w:w="960" w:type="dxa"/>
            <w:vAlign w:val="bottom"/>
          </w:tcPr>
          <w:p>
            <w:pPr>
              <w:jc w:val="right"/>
              <w:ind w:right="123"/>
              <w:spacing w:after="0" w:line="148" w:lineRule="exact"/>
              <w:rPr>
                <w:sz w:val="20"/>
                <w:szCs w:val="20"/>
                <w:color w:val="auto"/>
              </w:rPr>
            </w:pPr>
            <w:r>
              <w:rPr>
                <w:rFonts w:ascii="Arial" w:cs="Arial" w:eastAsia="Arial" w:hAnsi="Arial"/>
                <w:sz w:val="14"/>
                <w:szCs w:val="14"/>
                <w:b w:val="1"/>
                <w:bCs w:val="1"/>
                <w:color w:val="auto"/>
              </w:rPr>
              <w:t>Net-of-Tax</w:t>
            </w:r>
          </w:p>
        </w:tc>
      </w:tr>
      <w:tr>
        <w:trPr>
          <w:trHeight w:val="176"/>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Charges</w:t>
            </w:r>
          </w:p>
        </w:tc>
        <w:tc>
          <w:tcPr>
            <w:tcW w:w="14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Arial" w:cs="Arial" w:eastAsia="Arial" w:hAnsi="Arial"/>
                <w:sz w:val="14"/>
                <w:szCs w:val="14"/>
                <w:b w:val="1"/>
                <w:bCs w:val="1"/>
                <w:color w:val="auto"/>
              </w:rPr>
              <w:t>Amount</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PSAs and PSUs (defined below)</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r>
      <w:tr>
        <w:trPr>
          <w:trHeight w:val="213"/>
        </w:trPr>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Employee stock purchase plan and stock options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r>
      <w:tr>
        <w:trPr>
          <w:trHeight w:val="237"/>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we had employee equity incentives outstanding under our 2019 Equity Incentive Plan (the “2019 EIP”). The 2019 EIP provides for awards, in the form of restricted and performance stock awards (“RSAs” and “PSAs”), performance units (“PSUs”), stock options, and other stock– or cash–based awards, to eligible persons who perform services for us. The 2019 EIP provides for the issuance of up to 2.9 million shares of our common stock.</w:t>
      </w:r>
    </w:p>
    <w:p>
      <w:pPr>
        <w:spacing w:after="0" w:line="7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Stock-based awards</w:t>
      </w:r>
      <w:r>
        <w:rPr>
          <w:rFonts w:ascii="Arial" w:cs="Arial" w:eastAsia="Arial" w:hAnsi="Arial"/>
          <w:sz w:val="18"/>
          <w:szCs w:val="18"/>
          <w:color w:val="auto"/>
        </w:rPr>
        <w:t>. RSAs, PSAs and PSUs are granted with a fair value equal to the market price of our common stock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and generally vest in equal annual installments over periods up to four years from the date of grant. Certain PSUs may vest in their entirety at the end of three-year performance periods, if their performance conditions are met. We generally recognize expense for RSAs, PSAs and PSUs on a straight-line basis. Activity for stock-based awards in the year ended December 31, 2020, is summarized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83"/>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RSAs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Grant Date</w:t>
            </w: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203"/>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45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2019</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447,680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324,078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101.45</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344,739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127.89</w:t>
            </w:r>
          </w:p>
        </w:tc>
        <w:tc>
          <w:tcPr>
            <w:tcW w:w="1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188,522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113.10</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2020</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585,084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471,909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December 31, 2020, total unrecognized compensation expense related to unvested RSAs and PSUs was $42 million, and $23 million, respectively, which we expect to recognize over a remaining weighted-average period of 2.2 years, and 1.2 years, respectively. This unrecognized compensation cost assumes an estimated forfeiture rate of 12.2% for non-executive employees as of December 31, 2020, based on actual forfeitures over the last 4 years.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total grant date fair value of awards granted and vested is presented in the following table.</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3"/>
        </w:trPr>
        <w:tc>
          <w:tcPr>
            <w:tcW w:w="7260" w:type="dxa"/>
            <w:vAlign w:val="bottom"/>
          </w:tcPr>
          <w:p>
            <w:pPr>
              <w:spacing w:after="0"/>
              <w:rPr>
                <w:sz w:val="15"/>
                <w:szCs w:val="15"/>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183"/>
        </w:trPr>
        <w:tc>
          <w:tcPr>
            <w:tcW w:w="7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7260" w:type="dxa"/>
            <w:vAlign w:val="bottom"/>
            <w:shd w:val="clear" w:color="auto" w:fill="CCEEFF"/>
          </w:tcPr>
          <w:p>
            <w:pPr>
              <w:jc w:val="center"/>
              <w:ind w:right="6519"/>
              <w:spacing w:after="0"/>
              <w:rPr>
                <w:sz w:val="20"/>
                <w:szCs w:val="20"/>
                <w:color w:val="auto"/>
              </w:rPr>
            </w:pPr>
            <w:r>
              <w:rPr>
                <w:rFonts w:ascii="Arial" w:cs="Arial" w:eastAsia="Arial" w:hAnsi="Arial"/>
                <w:sz w:val="16"/>
                <w:szCs w:val="16"/>
                <w:color w:val="auto"/>
                <w:w w:val="99"/>
              </w:rPr>
              <w:t>Granted:</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260" w:type="dxa"/>
            <w:vAlign w:val="bottom"/>
          </w:tcPr>
          <w:p>
            <w:pPr>
              <w:jc w:val="center"/>
              <w:ind w:right="6479"/>
              <w:spacing w:after="0"/>
              <w:rPr>
                <w:sz w:val="20"/>
                <w:szCs w:val="20"/>
                <w:color w:val="auto"/>
              </w:rPr>
            </w:pPr>
            <w:r>
              <w:rPr>
                <w:rFonts w:ascii="Arial" w:cs="Arial" w:eastAsia="Arial" w:hAnsi="Arial"/>
                <w:sz w:val="16"/>
                <w:szCs w:val="16"/>
                <w:color w:val="auto"/>
              </w:rPr>
              <w:t>RSAs</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7260" w:type="dxa"/>
            <w:vAlign w:val="bottom"/>
            <w:shd w:val="clear" w:color="auto" w:fill="CCEEFF"/>
          </w:tcPr>
          <w:p>
            <w:pPr>
              <w:jc w:val="center"/>
              <w:ind w:right="6479"/>
              <w:spacing w:after="0"/>
              <w:rPr>
                <w:sz w:val="20"/>
                <w:szCs w:val="20"/>
                <w:color w:val="auto"/>
              </w:rPr>
            </w:pPr>
            <w:r>
              <w:rPr>
                <w:rFonts w:ascii="Arial" w:cs="Arial" w:eastAsia="Arial" w:hAnsi="Arial"/>
                <w:sz w:val="16"/>
                <w:szCs w:val="16"/>
                <w:color w:val="auto"/>
              </w:rPr>
              <w:t>PSUs</w:t>
            </w: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2"/>
        </w:trPr>
        <w:tc>
          <w:tcPr>
            <w:tcW w:w="7260" w:type="dxa"/>
            <w:vAlign w:val="bottom"/>
          </w:tcPr>
          <w:p>
            <w:pPr>
              <w:ind w:left="240"/>
              <w:spacing w:after="0"/>
              <w:rPr>
                <w:sz w:val="20"/>
                <w:szCs w:val="20"/>
                <w:color w:val="auto"/>
              </w:rPr>
            </w:pPr>
            <w:r>
              <w:rPr>
                <w:rFonts w:ascii="Arial" w:cs="Arial" w:eastAsia="Arial" w:hAnsi="Arial"/>
                <w:sz w:val="16"/>
                <w:szCs w:val="16"/>
                <w:color w:val="auto"/>
              </w:rPr>
              <w:t>Total granted</w:t>
            </w: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7260" w:type="dxa"/>
            <w:vAlign w:val="bottom"/>
          </w:tcPr>
          <w:p>
            <w:pPr>
              <w:jc w:val="center"/>
              <w:ind w:right="6479"/>
              <w:spacing w:after="0"/>
              <w:rPr>
                <w:sz w:val="20"/>
                <w:szCs w:val="20"/>
                <w:color w:val="auto"/>
              </w:rPr>
            </w:pPr>
            <w:r>
              <w:rPr>
                <w:rFonts w:ascii="Arial" w:cs="Arial" w:eastAsia="Arial" w:hAnsi="Arial"/>
                <w:sz w:val="16"/>
                <w:szCs w:val="16"/>
                <w:color w:val="auto"/>
              </w:rPr>
              <w:t>RSAs</w:t>
            </w: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260" w:type="dxa"/>
            <w:vAlign w:val="bottom"/>
            <w:shd w:val="clear" w:color="auto" w:fill="CCEEFF"/>
          </w:tcPr>
          <w:p>
            <w:pPr>
              <w:jc w:val="center"/>
              <w:ind w:right="6499"/>
              <w:spacing w:after="0"/>
              <w:rPr>
                <w:sz w:val="20"/>
                <w:szCs w:val="20"/>
                <w:color w:val="auto"/>
              </w:rPr>
            </w:pPr>
            <w:r>
              <w:rPr>
                <w:rFonts w:ascii="Arial" w:cs="Arial" w:eastAsia="Arial" w:hAnsi="Arial"/>
                <w:sz w:val="16"/>
                <w:szCs w:val="16"/>
                <w:color w:val="auto"/>
                <w:w w:val="99"/>
              </w:rPr>
              <w:t>PSAs</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260" w:type="dxa"/>
            <w:vAlign w:val="bottom"/>
            <w:tcBorders>
              <w:bottom w:val="single" w:sz="8" w:color="CCEEFF"/>
            </w:tcBorders>
          </w:tcPr>
          <w:p>
            <w:pPr>
              <w:jc w:val="center"/>
              <w:ind w:right="6479"/>
              <w:spacing w:after="0"/>
              <w:rPr>
                <w:sz w:val="20"/>
                <w:szCs w:val="20"/>
                <w:color w:val="auto"/>
              </w:rPr>
            </w:pPr>
            <w:r>
              <w:rPr>
                <w:rFonts w:ascii="Arial" w:cs="Arial" w:eastAsia="Arial" w:hAnsi="Arial"/>
                <w:sz w:val="16"/>
                <w:szCs w:val="16"/>
                <w:color w:val="auto"/>
              </w:rPr>
              <w:t>PSUs</w:t>
            </w: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vested</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 awards generally have an exercise price equal to the fair market value of our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vest in equal annual installments over periods up to four years from the date of grant, and have a maximum term of ten years from the date of grant. Stock option activity for the year ended December 31, 2020, is summarized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rPr>
              <w:t>Weighted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4"/>
                <w:szCs w:val="14"/>
                <w:color w:val="auto"/>
              </w:rPr>
            </w:pPr>
          </w:p>
        </w:tc>
        <w:tc>
          <w:tcPr>
            <w:tcW w:w="1060" w:type="dxa"/>
            <w:vAlign w:val="bottom"/>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Aggregate</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60"/>
              <w:spacing w:after="0" w:line="162"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6320" w:type="dxa"/>
            <w:vAlign w:val="bottom"/>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rPr>
              <w:t>Price</w:t>
            </w: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Intrinsic Value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0" w:type="dxa"/>
            <w:vAlign w:val="bottom"/>
          </w:tcPr>
          <w:p>
            <w:pPr>
              <w:spacing w:after="0"/>
              <w:rPr>
                <w:sz w:val="1"/>
                <w:szCs w:val="1"/>
                <w:color w:val="auto"/>
              </w:rPr>
            </w:pPr>
          </w:p>
        </w:tc>
      </w:tr>
      <w:tr>
        <w:trPr>
          <w:trHeight w:val="183"/>
        </w:trPr>
        <w:tc>
          <w:tcPr>
            <w:tcW w:w="6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6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outstanding as of December 31, 2019 and December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64.79</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tcPr>
          <w:p>
            <w:pPr>
              <w:ind w:left="20"/>
              <w:spacing w:after="0"/>
              <w:rPr>
                <w:sz w:val="20"/>
                <w:szCs w:val="20"/>
                <w:color w:val="auto"/>
              </w:rPr>
            </w:pPr>
            <w:r>
              <w:rPr>
                <w:rFonts w:ascii="Arial" w:cs="Arial" w:eastAsia="Arial" w:hAnsi="Arial"/>
                <w:sz w:val="16"/>
                <w:szCs w:val="16"/>
                <w:color w:val="auto"/>
              </w:rPr>
              <w:t>Stock options exercisable and expected to vest as of December 31,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64.79</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6.4</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December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64.79</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 stock options were granted or exercised in 2020, 2019, or 2018, and as of December 31, 2020, there was no unrecognized compensation expense related to unvested 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about stock options outstanding and exercisable at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5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Options Outstanding and Exercisable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3"/>
                <w:szCs w:val="13"/>
                <w:color w:val="auto"/>
              </w:rPr>
            </w:pPr>
          </w:p>
        </w:tc>
        <w:tc>
          <w:tcPr>
            <w:tcW w:w="1220" w:type="dxa"/>
            <w:vAlign w:val="bottom"/>
            <w:vMerge w:val="restart"/>
          </w:tcPr>
          <w:p>
            <w:pPr>
              <w:jc w:val="center"/>
              <w:ind w:right="161"/>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Remaining</w:t>
            </w:r>
          </w:p>
        </w:tc>
        <w:tc>
          <w:tcPr>
            <w:tcW w:w="1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Exercise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Contractual Life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20" w:type="dxa"/>
            <w:vAlign w:val="bottom"/>
          </w:tcPr>
          <w:p>
            <w:pPr>
              <w:jc w:val="center"/>
              <w:ind w:right="14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Range of Exercise Prices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$33.02</w:t>
            </w:r>
          </w:p>
        </w:tc>
        <w:tc>
          <w:tcPr>
            <w:tcW w:w="47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30,000</w:t>
            </w:r>
          </w:p>
        </w:tc>
        <w:tc>
          <w:tcPr>
            <w:tcW w:w="1540" w:type="dxa"/>
            <w:vAlign w:val="bottom"/>
            <w:tcBorders>
              <w:top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2.2</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$67.33</w:t>
            </w:r>
          </w:p>
        </w:tc>
        <w:tc>
          <w:tcPr>
            <w:tcW w:w="47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405,000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Plans (“ESPP”)</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our ESPP,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a standard option pricing model. For the years ended December 31, 2020, 2019, and 2018, the inputs to this model were as follows: risk-free interest rates of approximately 0.2% to 2.3%; expected volatility of approximately 31% to 51%, dividend yields of 0%, and an average expected life of 0.5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5" w:name="page86"/>
    <w:bookmarkEnd w:id="85"/>
    <w:p>
      <w:pPr>
        <w:spacing w:after="0"/>
        <w:rPr>
          <w:sz w:val="20"/>
          <w:szCs w:val="20"/>
          <w:color w:val="auto"/>
        </w:rPr>
      </w:pPr>
      <w:r>
        <w:rPr>
          <w:rFonts w:ascii="Arial" w:cs="Arial" w:eastAsia="Arial" w:hAnsi="Arial"/>
          <w:sz w:val="25"/>
          <w:szCs w:val="25"/>
          <w:color w:val="828282"/>
        </w:rPr>
        <w:t>14. Employee Benefit Plans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sponsor defined contribution 401(k) plans that cover substantially all employees of our company and its subsidiaries. Eligible employees are permitted to contribute up to the maximum amount allowed by law. We match up to the first 4% of compensation contributed by employees. Expense recognized in connection with our contributions to the 401(k) plans amounted to $28 million, $28 million, and $36 million in the years ended December 31, 2020, 2019, and 2018, respectively.</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also have a non-qualified deferred compensation plan for certain key employees. Under this plan, eligible participants may defer up to 75% of their base salary and 90% of their bonus to provide tax-deferred growth.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15.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health plans, which are generally operated by our respective wholly owned subsidiaries in those states, are subject to state laws and regulations that, among other things, require the maintenance of minimum levels of statutory capital, as defined by each state. The National Association of Insurance Commissioners (“NAIC”), has adopted rules which, if implemented by the states, set minimum capitalization requirements for insurance companies, HMOs, and other entities bearing risk for healthcare coverage. The requirements take the form of risk-based capital (“RBC”) rules which may vary from state to state. Regulators in some states may also enforce capital requirements that require the retention of net worth in excess of amounts formally required by statute or regulation.</w:t>
      </w:r>
    </w:p>
    <w:p>
      <w:pPr>
        <w:spacing w:after="0" w:line="1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the states in which our health plans operate, except California, Florida, Massachusetts and New York, have adopted the RBC rules. The RBC rules, if adopted by California, Florida, Massachusetts or New York, could increase the minimum capital required for those states. Our Massachusetts health plan, acquired on December 31, 2020, maintains a $35 million performance bond, effective through December 31, 2021, to partially satisfy minimum net worth requirements in that state.</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(not including the Magellan Complete Care subsidiaries and after intercompany eliminations), which may not be transferable to us in the form of loans, advances, or cash dividends was approximately $1,960 million at December 31, 2020, and $1,810 million at December 31, 2019. We estimate the Magellan Complete Care subsidiaries’ net assets that may not be transferable amounted to approximately $420 million at December 31, 2020.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$644 million and $997 million as of December 31, 2020 and 2019, respectively.</w:t>
      </w:r>
    </w:p>
    <w:p>
      <w:pPr>
        <w:spacing w:after="0" w:line="10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As of December 31, 2020, our health plans (not including the Magellan Complete Care subsidiaries) had aggregate statutory capital and surplus of approximately $2,020 million compared with the required minimum aggregate statutory capital and surplus of approximately $1,310 million. As of December 31, 2020, the aggregate and minimum capital and surplus of the Magellan Complete Care subsidiaries amounted to approximately $420 million and $230 million, respectively. The aggregate capital and surplus of our wholly owned subsidiaries was in excess of these minimum capital requirements as of December 31, 2020. We have the ability and commitment to provide additional capital to each of our health plans when necessary to ensure that statutory capital and surplus continue to meet regulatory requirements.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billed and collected revenues.</w:t>
      </w:r>
    </w:p>
    <w:p>
      <w:pPr>
        <w:spacing w:after="0" w:line="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winning bidder health plans, including Molina Healthcare of Kentucky, Inc., Civil Action No. 20-CI-00719. In its action, Anthem requested that the court disqualify Molina Healthcare of Kentucky, find that the Kentucky RFP scoring was erroneous and violated procedures or was arbitrary and capricious, set aside the contract awards and conduct a new RFP evaluation process, and award injunctive relief, including stopping the implementation of the contracts awarded under the RFP. On September 28, 2020, the court issued a temporary restraining order preserving the status quo, and on October 23, 2020, the court issued a temporary injunction directing that the RFP readiness review and open enrollment proceed with six health plans, including both Anthem and Molina Healthcare.</w:t>
      </w:r>
    </w:p>
    <w:p>
      <w:pPr>
        <w:spacing w:after="0" w:line="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22, 2020, the court granted a motion by UnitedHealthcare of Kentucky LTD. to assert a cross-claim against the Kentucky Cabinet for Health and Family Services, which sought in part a disqualification of Anthem or Molina Healthcare and a declaratory judgment that the Kentucky Medicaid program proceed with only five health plans. On December 23, 2020, Humana Health Plan, Inc. brought a separate action against the Commonwealth of Kentucky and the winning bidder health plans, including Molina Healthcare of Kentucky, Civil Action 20-CI-00987. On January 11, 2021, both actions were consolidated before the Franklin County Circuit Court. Humana requests a declaratory judgment finding that the Commonwealth violated the Medicaid contract by allocating Passport members to Molina Healthcare for 2021 so that Passport members would instead be allocated to Humana and other winning health plans, or, in the alternative, monetary damages from the Commonwealth.</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Molina Healthcare believes it has meritorious defenses to the claims of Anthem, United, and Humana, and intends to vigorously defend its position, including its twice being a winning bidder of the Kentucky Medicaid RFP, and its protection of the continuity of care for Passport Medicaid members. This matter remains subject to significant additional legal proceedings, and no assurances can be given regarding the ultimate outcome. Under the court’s temporary injunction, Molina Healthcare of Kentucky continues to operate under its contract and provide care to Kentucky Medicaid members.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Insurance</w:t>
      </w:r>
    </w:p>
    <w:p>
      <w:pPr>
        <w:spacing w:after="0" w:line="12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carry medical professional liability insurance for healthcare services rendered in the primary care institutions that we manage. In addition, we carry managed care errors and omissions insurance for all managed care services that we provide.</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color w:val="828282"/>
        </w:rPr>
        <w:t>16. Segments</w:t>
      </w:r>
    </w:p>
    <w:p>
      <w:pPr>
        <w:spacing w:after="0" w:line="10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of December 31, 2020, we had two reportable segments: the Health Plans segment, and the Other segment. Our reportable segments are consistent with how we currently manage the business and view the markets we serve. The Health Plans reportable segment includes our regulated health plan operating segments, along with the recently acquired Magellan Complete Care health plans operating segment. Because this acquisition closed on December 31, 2020, Magellan Complete Care’s operating results were insignificant to our consolidated results of operations for the year ended December 31, 2020. Management will continue to evaluate the composition of its operating and reportable segments for future filings. The Other segment, which is insignificant to our consolidated results of operations, includes certain corporate amounts not associated with or allocated to the Health Plans segment. In 2018, the Other segment also included the results of certain unregulated subsidiaries we sold in late 2018.</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7" w:name="page88"/>
    <w:bookmarkEnd w:id="87"/>
    <w:p>
      <w:pPr>
        <w:ind w:right="80"/>
        <w:spacing w:after="0" w:line="261"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medical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 Margin for our Health Plans segment is also referred to as “Medical Margin.”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Health Plans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281"/>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19,415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19,423</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8,359</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1,173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9,532</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16,815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16,829</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5,265</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1,522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6,787</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18,471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18,890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6,165</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989</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7,154</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20"/>
              <w:spacing w:after="0"/>
              <w:rPr>
                <w:sz w:val="20"/>
                <w:szCs w:val="20"/>
                <w:color w:val="auto"/>
              </w:rPr>
            </w:pPr>
            <w:r>
              <w:rPr>
                <w:rFonts w:ascii="Arial" w:cs="Arial" w:eastAsia="Arial" w:hAnsi="Arial"/>
                <w:sz w:val="16"/>
                <w:szCs w:val="16"/>
                <w:color w:val="auto"/>
              </w:rPr>
              <w:t>Health Plans</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2,479</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0"/>
        </w:trPr>
        <w:tc>
          <w:tcPr>
            <w:tcW w:w="668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(2,525)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other expenses,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right="340" w:hanging="332"/>
        <w:spacing w:after="0" w:line="246"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Marketplace risk corridor judgment, investment income and other revenue.</w:t>
      </w:r>
    </w:p>
    <w:p>
      <w:pPr>
        <w:ind w:left="340" w:right="80" w:hanging="332"/>
        <w:spacing w:after="0" w:line="260"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8" w:name="page89"/>
    <w:bookmarkEnd w:id="88"/>
    <w:p>
      <w:pPr>
        <w:spacing w:after="0"/>
        <w:rPr>
          <w:sz w:val="20"/>
          <w:szCs w:val="20"/>
          <w:color w:val="auto"/>
        </w:rPr>
      </w:pPr>
      <w:r>
        <w:rPr>
          <w:rFonts w:ascii="Arial" w:cs="Arial" w:eastAsia="Arial" w:hAnsi="Arial"/>
          <w:sz w:val="25"/>
          <w:szCs w:val="25"/>
          <w:color w:val="828282"/>
        </w:rPr>
        <w:t>17. Condensed Financial Information of Registrant</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condensed balance sheets as of December 31, 2020 and 2019, and the related condensed statements of income, comprehensive income and cash flows for each of the three years in the period ended December 31, 2020 for our parent company Molina Healthcare, Inc. (the “Registrant”), are presented below.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Due from affiliates</w:t>
      </w:r>
    </w:p>
    <w:p>
      <w:pPr>
        <w:spacing w:after="0" w:line="32" w:lineRule="exact"/>
        <w:rPr>
          <w:sz w:val="20"/>
          <w:szCs w:val="20"/>
          <w:color w:val="auto"/>
        </w:rPr>
      </w:pPr>
    </w:p>
    <w:p>
      <w:pPr>
        <w:ind w:left="480" w:right="300" w:hanging="242"/>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Advances to related parties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17780</wp:posOffset>
            </wp:positionV>
            <wp:extent cx="18859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tbl>
      <w:tblPr>
        <w:tblLayout w:type="fixed"/>
        <w:tblInd w:w="138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278"/>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millions, except per-share data)</w:t>
            </w:r>
          </w:p>
        </w:tc>
      </w:tr>
      <w:tr>
        <w:trPr>
          <w:trHeight w:val="290"/>
        </w:trPr>
        <w:tc>
          <w:tcPr>
            <w:tcW w:w="3160" w:type="dxa"/>
            <w:vAlign w:val="bottom"/>
            <w:gridSpan w:val="2"/>
          </w:tcPr>
          <w:p>
            <w:pPr>
              <w:jc w:val="right"/>
              <w:ind w:right="2520"/>
              <w:spacing w:after="0"/>
              <w:rPr>
                <w:sz w:val="20"/>
                <w:szCs w:val="20"/>
                <w:color w:val="auto"/>
              </w:rPr>
            </w:pPr>
            <w:r>
              <w:rPr>
                <w:rFonts w:ascii="Arial" w:cs="Arial" w:eastAsia="Arial" w:hAnsi="Arial"/>
                <w:sz w:val="16"/>
                <w:szCs w:val="16"/>
                <w:b w:val="1"/>
                <w:bCs w:val="1"/>
                <w:color w:val="auto"/>
                <w:w w:val="96"/>
              </w:rPr>
              <w:t>ASSETS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07"/>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7"/>
        </w:trPr>
        <w:tc>
          <w:tcPr>
            <w:tcW w:w="3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-1932940</wp:posOffset>
            </wp:positionV>
            <wp:extent cx="710628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-1658620</wp:posOffset>
            </wp:positionV>
            <wp:extent cx="710628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-1384300</wp:posOffset>
            </wp:positionV>
            <wp:extent cx="710628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-1109980</wp:posOffset>
            </wp:positionV>
            <wp:extent cx="710628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-826770</wp:posOffset>
            </wp:positionV>
            <wp:extent cx="71062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-553085</wp:posOffset>
            </wp:positionV>
            <wp:extent cx="71062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-278765</wp:posOffset>
            </wp:positionV>
            <wp:extent cx="710628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3810</wp:posOffset>
            </wp:positionV>
            <wp:extent cx="1885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0628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01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7"/>
        </w:trPr>
        <w:tc>
          <w:tcPr>
            <w:tcW w:w="8220" w:type="dxa"/>
            <w:vAlign w:val="bottom"/>
          </w:tcPr>
          <w:p>
            <w:pPr>
              <w:ind w:left="140"/>
              <w:spacing w:after="0" w:line="178" w:lineRule="exact"/>
              <w:rPr>
                <w:sz w:val="20"/>
                <w:szCs w:val="20"/>
                <w:color w:val="auto"/>
              </w:rPr>
            </w:pPr>
            <w:r>
              <w:rPr>
                <w:rFonts w:ascii="Arial" w:cs="Arial" w:eastAsia="Arial" w:hAnsi="Arial"/>
                <w:sz w:val="16"/>
                <w:szCs w:val="16"/>
                <w:color w:val="auto"/>
              </w:rPr>
              <w:t>Common stock, $0.001 par value; 150 million shares authorized; outstanding: 59 million shares at December</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8220" w:type="dxa"/>
            <w:vAlign w:val="bottom"/>
          </w:tcPr>
          <w:p>
            <w:pPr>
              <w:ind w:left="300"/>
              <w:spacing w:after="0"/>
              <w:rPr>
                <w:sz w:val="20"/>
                <w:szCs w:val="20"/>
                <w:color w:val="auto"/>
              </w:rPr>
            </w:pPr>
            <w:r>
              <w:rPr>
                <w:rFonts w:ascii="Arial" w:cs="Arial" w:eastAsia="Arial" w:hAnsi="Arial"/>
                <w:sz w:val="16"/>
                <w:szCs w:val="16"/>
                <w:color w:val="auto"/>
              </w:rPr>
              <w:t>31, 2020, and 62 million at December 31, 2019</w:t>
            </w:r>
          </w:p>
        </w:tc>
        <w:tc>
          <w:tcPr>
            <w:tcW w:w="5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r>
      <w:tr>
        <w:trPr>
          <w:trHeight w:val="20"/>
        </w:trPr>
        <w:tc>
          <w:tcPr>
            <w:tcW w:w="8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Condensed Statements of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66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196"/>
        </w:trPr>
        <w:tc>
          <w:tcPr>
            <w:tcW w:w="6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Administrative services fees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6"/>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income and other revenue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operating expenses,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(income),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expenses, net</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6680" w:type="dxa"/>
            <w:vAlign w:val="bottom"/>
          </w:tcPr>
          <w:p>
            <w:pPr>
              <w:ind w:left="20"/>
              <w:spacing w:after="0"/>
              <w:rPr>
                <w:sz w:val="20"/>
                <w:szCs w:val="20"/>
                <w:color w:val="auto"/>
              </w:rPr>
            </w:pPr>
            <w:r>
              <w:rPr>
                <w:rFonts w:ascii="Arial" w:cs="Arial" w:eastAsia="Arial" w:hAnsi="Arial"/>
                <w:sz w:val="16"/>
                <w:szCs w:val="16"/>
                <w:color w:val="auto"/>
              </w:rPr>
              <w:t>Loss before income tax (benefit) expense and equity in net earnings of subsidiaries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Net loss before equity in net earnings of subsidiaries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earnings of subsidiaries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r>
      <w:tr>
        <w:trPr>
          <w:trHeight w:val="21"/>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183"/>
        </w:trPr>
        <w:tc>
          <w:tcPr>
            <w:tcW w:w="6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income (loss)</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9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706</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0"/>
        </w:trPr>
        <w:tc>
          <w:tcPr>
            <w:tcW w:w="6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9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2"/>
        </w:trPr>
        <w:tc>
          <w:tcPr>
            <w:tcW w:w="6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197"/>
        </w:trPr>
        <w:tc>
          <w:tcPr>
            <w:tcW w:w="6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Capital contributions to subsidiaries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received from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Net cash received from sale of subsidiaries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amounts due to/from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07"/>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senior notes offering, net of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senior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6680" w:type="dxa"/>
            <w:vAlign w:val="bottom"/>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9"/>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principal amount of convertible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0"/>
        </w:trPr>
        <w:tc>
          <w:tcPr>
            <w:tcW w:w="6680" w:type="dxa"/>
            <w:vAlign w:val="bottom"/>
          </w:tcPr>
          <w:p>
            <w:pPr>
              <w:ind w:left="140"/>
              <w:spacing w:after="0"/>
              <w:rPr>
                <w:sz w:val="20"/>
                <w:szCs w:val="20"/>
                <w:color w:val="auto"/>
              </w:rPr>
            </w:pPr>
            <w:r>
              <w:rPr>
                <w:rFonts w:ascii="Arial" w:cs="Arial" w:eastAsia="Arial" w:hAnsi="Arial"/>
                <w:sz w:val="16"/>
                <w:szCs w:val="16"/>
                <w:color w:val="auto"/>
              </w:rPr>
              <w:t>Repayment of credit facility</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3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3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Transactions with Subsidiaries</w:t>
      </w:r>
    </w:p>
    <w:p>
      <w:pPr>
        <w:spacing w:after="0" w:line="139"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The Registrant provides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91" w:name="page92"/>
    <w:bookmarkEnd w:id="91"/>
    <w:p>
      <w:pPr>
        <w:ind w:right="180"/>
        <w:spacing w:after="0" w:line="273" w:lineRule="auto"/>
        <w:rPr>
          <w:sz w:val="20"/>
          <w:szCs w:val="20"/>
          <w:color w:val="auto"/>
        </w:rPr>
      </w:pPr>
      <w:r>
        <w:rPr>
          <w:rFonts w:ascii="Arial" w:cs="Arial" w:eastAsia="Arial" w:hAnsi="Arial"/>
          <w:sz w:val="17"/>
          <w:szCs w:val="17"/>
          <w:color w:val="auto"/>
        </w:rPr>
        <w:t>resources, marketing, purchasing, risk management, actuarial, finance, accounting, compliance, legal and public 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2020, 2019, and 2018 for these services amounted to $1,208 million, $1,038 million, and $1,137 million, respectively, and are included in operating revenue.</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Dividends and Capital Contributions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When the Registrant receives dividends from its subsidiaries, such amounts are recorded as a reduction to the investments in the respective subsidiaries.</w:t>
      </w:r>
    </w:p>
    <w:p>
      <w:pPr>
        <w:spacing w:after="0" w:line="9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2" w:name="page93"/>
    <w:bookmarkEnd w:id="92"/>
    <w:p>
      <w:pPr>
        <w:spacing w:after="0"/>
        <w:rPr>
          <w:sz w:val="20"/>
          <w:szCs w:val="20"/>
          <w:color w:val="auto"/>
        </w:rPr>
      </w:pPr>
      <w:r>
        <w:rPr>
          <w:rFonts w:ascii="Arial" w:cs="Arial" w:eastAsia="Arial" w:hAnsi="Arial"/>
          <w:sz w:val="25"/>
          <w:szCs w:val="25"/>
          <w:b w:val="1"/>
          <w:bCs w:val="1"/>
          <w:color w:val="0F7C7F"/>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MANAGEMENT’S EVALUATION OF DISCLOSURE CONTROLS AND PROCEDURES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Securities Exchange Act of 1934, as amended (the Exchange Act), that are designed to provide reasonable assurance that information required to be disclosed by us in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our chief executive officer and our chief financial officer concluded that our disclosure controls and procedures were effective as of December 31, 2020,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828282"/>
        </w:rPr>
        <w:t>MANAGEMENT’S REPORT ON INTERNAL CONTROL OVER FINANCIAL REPORTING</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2" w:lineRule="exact"/>
        <w:rPr>
          <w:sz w:val="20"/>
          <w:szCs w:val="20"/>
          <w:color w:val="auto"/>
        </w:rPr>
      </w:pPr>
    </w:p>
    <w:p>
      <w:pPr>
        <w:ind w:right="160" w:firstLine="8"/>
        <w:spacing w:after="0" w:line="261"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Management concluded that we maintained effective internal control over financial reporting as of December 31, 2020, based on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September 1, 2020, we completed our acquisition of certain assets of Passport Health Plan, Inc. (“Passport”). On December 31, 2020, we completed our acquisition of the Magellan Complete Care line of business of Magellan Health, Inc. We are in the process of evaluating the existing controls and procedures of Passport and Magellan Complete Care, and integrating Passport and Magellan Complete Care into our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the business that we acquired in the Passport and Magellan Complete Care acquisitions from our assessment of the effectiveness of internal control over financial reporting as of December 31, 2020. The business that we acquired in the Passport and Magellan Complete Care acquisitions, in the aggregate, constituted 11% and 19% of our total and net assets, respectively, as of December 31, 2020, and 3% and 1% of our revenues and net income, respectively, for the year ended December 31, 2020. The scope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3" w:name="page94"/>
    <w:bookmarkEnd w:id="93"/>
    <w:p>
      <w:pPr>
        <w:jc w:val="both"/>
        <w:ind w:right="240"/>
        <w:spacing w:after="0" w:line="256" w:lineRule="auto"/>
        <w:rPr>
          <w:sz w:val="20"/>
          <w:szCs w:val="20"/>
          <w:color w:val="auto"/>
        </w:rPr>
      </w:pPr>
      <w:r>
        <w:rPr>
          <w:rFonts w:ascii="Arial" w:cs="Arial" w:eastAsia="Arial" w:hAnsi="Arial"/>
          <w:sz w:val="18"/>
          <w:szCs w:val="18"/>
          <w:color w:val="auto"/>
        </w:rPr>
        <w:t>management’s assessment of the effectiveness of the design and operation of our disclosure controls and procedures as of December 31, 2020, includes all of our consolidated operations except for those disclosure controls and procedures of Passport and Magellan Complete Care that are subsumed by internal control over financial reporting.</w:t>
      </w:r>
    </w:p>
    <w:p>
      <w:pPr>
        <w:spacing w:after="0" w:line="94"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Rule 13a-15(f) of the Exchange Act) during the quarter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4" w:name="page95"/>
    <w:bookmarkEnd w:id="94"/>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audited Molina Healthcare, Inc.’s internal control over financial reporting as of December 31, 2020,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2020, based on the COSO criteria.</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the Passport operations and Magellan Complete Care, which are included in the 2020 consolidated financial statements of Molina Healthcare, Inc. and constituted 11% and 19% of total and net assets, respectively, as of December 31, 2020 and 3% and 1% of revenues and net income, respectively, for the year then ended. Our audit of internal control over financial reporting of Molina Healthcare, Inc. also did not include an evaluation of the internal control over financial reporting of the Passport operations and Magellan Complete Care.</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three years in the period ended December 31, 2020, and the related notes and our report dated February 16, 2021,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become 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6" w:name="page97"/>
    <w:bookmarkEnd w:id="96"/>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accompanying consolidated balance sheets of Molina Healthcare, Inc. (the “Company”) as of December 31, 2020 and 2019, the related consolidated statements of income, comprehensive income,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16, 2021,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51"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Valuation of incurred but not paid fee-for-service claims</w:t>
      </w:r>
    </w:p>
    <w:p>
      <w:pPr>
        <w:spacing w:after="0" w:line="88" w:lineRule="exact"/>
        <w:rPr>
          <w:sz w:val="20"/>
          <w:szCs w:val="20"/>
          <w:color w:val="auto"/>
        </w:rPr>
      </w:pPr>
    </w:p>
    <w:p>
      <w:pPr>
        <w:ind w:left="20"/>
        <w:spacing w:after="0"/>
        <w:tabs>
          <w:tab w:leader="none" w:pos="18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of December 31, 2020, the Company’s liability for fee-for-service claims incurred but not paid (“IBNP”), excluding</w:t>
      </w:r>
    </w:p>
    <w:p>
      <w:pPr>
        <w:ind w:left="1900" w:right="40" w:hanging="1879"/>
        <w:spacing w:after="0" w:line="236" w:lineRule="auto"/>
        <w:tabs>
          <w:tab w:leader="none" w:pos="188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IBNP acquired from the Magellan Complete Care (“MCC”) acquisition, comprised $1,647 million of the $2,696 million of Medical Claims and Benefits Payable. As discussed in Note 10 to the consolidated financial statements, the Company’s IBNP liability is determined using actuarial methods that include a number of factors and assumptions, including completion factors, which seek to measure the cumulative percentage of claims expense that will have been paid for a given month of service as of the reporting date, based on historical payment patterns, and assumed health care cost trend factors, which represent an estimate of claims expense based on recent claims expense levels and healthcare cost levels. There is significant uncertainty inherent in determining management’s best estimate of completion and trend factors, which are used to calculate actuarial estimates of incurred but not paid claims.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w:t>
      </w:r>
    </w:p>
    <w:p>
      <w:pPr>
        <w:ind w:left="20"/>
        <w:spacing w:after="0" w:line="203" w:lineRule="auto"/>
        <w:rPr>
          <w:sz w:val="20"/>
          <w:szCs w:val="20"/>
          <w:color w:val="auto"/>
        </w:rPr>
      </w:pPr>
      <w:r>
        <w:rPr>
          <w:rFonts w:ascii="Arial" w:cs="Arial" w:eastAsia="Arial" w:hAnsi="Arial"/>
          <w:sz w:val="18"/>
          <w:szCs w:val="18"/>
          <w:i w:val="1"/>
          <w:iCs w:val="1"/>
          <w:color w:val="auto"/>
        </w:rPr>
        <w:t>addressed the</w:t>
      </w:r>
    </w:p>
    <w:p>
      <w:pPr>
        <w:ind w:left="2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ind w:right="80"/>
        <w:spacing w:after="0" w:line="229" w:lineRule="auto"/>
        <w:rPr>
          <w:sz w:val="20"/>
          <w:szCs w:val="20"/>
          <w:color w:val="auto"/>
        </w:rPr>
      </w:pPr>
      <w:r>
        <w:rPr>
          <w:rFonts w:ascii="Arial" w:cs="Arial" w:eastAsia="Arial" w:hAnsi="Arial"/>
          <w:sz w:val="18"/>
          <w:szCs w:val="18"/>
          <w:color w:val="auto"/>
        </w:rPr>
        <w:t>Auditing management’s best estimate of the IBNP liability was complex and required the involvement of our actuarial specialists due to the highly judgmental nature of completion and trend factor assumptions used in the valuation process. These assumptions have a significant effect on the valuation of the IBNP liability.</w:t>
      </w:r>
    </w:p>
    <w:p>
      <w:pPr>
        <w:spacing w:after="0" w:line="83"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process for estimating the IBNP liability. This included testing management review controls over completion and trend factor assumptions, and management’s review and approval of actuarial methods used to calculate IBNP liability, including the data inputs and outputs of those models.</w:t>
      </w:r>
    </w:p>
    <w:p>
      <w:pPr>
        <w:spacing w:after="0" w:line="81"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To test IBNP liability,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 With the assistance of EY actuarial specialists, we evaluated the Company’s selection and weighting of actuarial methods by comparing the weightings used in the current estimate to those used in prior periods and those used in the industry for the specific types of insurance. To evaluate significant assumptions used by management in the actuarial methods, we compared assumptions to current and historical claims trends, to those used historically and to current industry benchmarks. We also compared management’s recorded IBNP liability to a range of reasonable IBNP estimates calculated independently by our EY actuarial specialists. Additionally, we performed a review of the prior period estimates using subsequent claims development, and we reviewed and evaluated management’s disclosures surrounding fee-for-service claims IBNP.</w:t>
      </w:r>
    </w:p>
    <w:p>
      <w:pPr>
        <w:spacing w:after="0" w:line="180" w:lineRule="exact"/>
        <w:rPr>
          <w:sz w:val="20"/>
          <w:szCs w:val="20"/>
          <w:color w:val="auto"/>
        </w:rPr>
      </w:pPr>
    </w:p>
    <w:p>
      <w:pPr>
        <w:sectPr>
          <w:pgSz w:w="11900" w:h="16838" w:orient="portrait"/>
          <w:cols w:equalWidth="0" w:num="2">
            <w:col w:w="1480" w:space="420"/>
            <w:col w:w="9340"/>
          </w:cols>
          <w:pgMar w:left="320" w:top="949" w:right="339" w:bottom="1440" w:gutter="0" w:footer="0" w:header="0"/>
        </w:sectPr>
      </w:pPr>
    </w:p>
    <w:p>
      <w:pPr>
        <w:ind w:left="1900"/>
        <w:spacing w:after="0"/>
        <w:rPr>
          <w:sz w:val="20"/>
          <w:szCs w:val="20"/>
          <w:color w:val="auto"/>
        </w:rPr>
      </w:pPr>
      <w:r>
        <w:rPr>
          <w:rFonts w:ascii="Arial" w:cs="Arial" w:eastAsia="Arial" w:hAnsi="Arial"/>
          <w:sz w:val="18"/>
          <w:szCs w:val="18"/>
          <w:b w:val="1"/>
          <w:bCs w:val="1"/>
          <w:i w:val="1"/>
          <w:iCs w:val="1"/>
          <w:color w:val="auto"/>
        </w:rPr>
        <w:t>Valuation of intangibles</w:t>
      </w:r>
    </w:p>
    <w:p>
      <w:pPr>
        <w:spacing w:after="0" w:line="229" w:lineRule="exact"/>
        <w:rPr>
          <w:sz w:val="20"/>
          <w:szCs w:val="20"/>
          <w:color w:val="auto"/>
        </w:rPr>
      </w:pPr>
    </w:p>
    <w:p>
      <w:pPr>
        <w:ind w:left="20"/>
        <w:spacing w:after="0"/>
        <w:tabs>
          <w:tab w:leader="none" w:pos="18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During 2020, the Company completed its acquisition of MCC for net consideration of $1,037 million, as disclosed in</w:t>
      </w:r>
    </w:p>
    <w:p>
      <w:pPr>
        <w:spacing w:after="0" w:line="27" w:lineRule="exact"/>
        <w:rPr>
          <w:sz w:val="20"/>
          <w:szCs w:val="20"/>
          <w:color w:val="auto"/>
        </w:rPr>
      </w:pPr>
    </w:p>
    <w:p>
      <w:pPr>
        <w:ind w:left="1900" w:right="100" w:hanging="1879"/>
        <w:spacing w:after="0" w:line="261" w:lineRule="auto"/>
        <w:tabs>
          <w:tab w:leader="none" w:pos="18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Note 4 to the consolidated financial statements. The transaction was accounted for as a business combination using the acquisition method.</w:t>
      </w:r>
    </w:p>
    <w:p>
      <w:pPr>
        <w:sectPr>
          <w:pgSz w:w="11900" w:h="16838" w:orient="portrait"/>
          <w:cols w:equalWidth="0" w:num="1">
            <w:col w:w="1124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w:t>
      </w:r>
    </w:p>
    <w:p>
      <w:pPr>
        <w:ind w:left="20"/>
        <w:spacing w:after="0" w:line="203" w:lineRule="auto"/>
        <w:rPr>
          <w:sz w:val="20"/>
          <w:szCs w:val="20"/>
          <w:color w:val="auto"/>
        </w:rPr>
      </w:pPr>
      <w:r>
        <w:rPr>
          <w:rFonts w:ascii="Arial" w:cs="Arial" w:eastAsia="Arial" w:hAnsi="Arial"/>
          <w:sz w:val="18"/>
          <w:szCs w:val="18"/>
          <w:i w:val="1"/>
          <w:iCs w:val="1"/>
          <w:color w:val="auto"/>
        </w:rPr>
        <w:t>addressed the</w:t>
      </w:r>
    </w:p>
    <w:p>
      <w:pPr>
        <w:ind w:left="2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Auditing the Company’s accounting for its acquisition of MCC was complex due to the significant estimation uncertainty in the Company’s determination of the fair value of acquired contract rights which comprised $171 million of the acquired identified intangible assets of $191 million. The Company used a discounted cash flow model to measure contract rights. The significant estimation uncertainty was primarily due to the sensitivity of the fair value to underlying assumptions, specifically changes in forecasted operating margins, and the weighted average cost of capital, which are affected by expectations about future market or economic conditions.</w:t>
      </w:r>
    </w:p>
    <w:p>
      <w:pPr>
        <w:spacing w:after="0" w:line="83"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its accounting for acquisitions. This included testing management review controls over the estimation process supporting the recognition and measurement of contract rights. We also tested management’s review of assumptions used in the valuation models.</w:t>
      </w:r>
    </w:p>
    <w:p>
      <w:pPr>
        <w:spacing w:after="0" w:line="8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To test the estimated fair value of contract rights, our audit procedures included, among others, evaluating the Company's selection of the valuation methodology and significant assumptions used by the Company's valuation specialist, and evaluating the completeness and accuracy of the underlying data supporting the significant assumptions and estimates. We involved our valuation specialists to assist with our evaluation of the methodology used by the Company and significant assumptions included in the fair value estimates. We compared the significant assumptions used by management to current industry and economic trends, changes to the company’s business, markets, membership retention and growth rates, and other factors. Additionally, we reviewed and evaluated management’s disclosures surrounding determination of the intangible assets.</w:t>
      </w:r>
    </w:p>
    <w:p>
      <w:pPr>
        <w:spacing w:after="0" w:line="200" w:lineRule="exact"/>
        <w:rPr>
          <w:sz w:val="20"/>
          <w:szCs w:val="20"/>
          <w:color w:val="auto"/>
        </w:rPr>
      </w:pPr>
    </w:p>
    <w:p>
      <w:pPr>
        <w:sectPr>
          <w:pgSz w:w="11900" w:h="16838" w:orient="portrait"/>
          <w:cols w:equalWidth="0" w:num="2">
            <w:col w:w="1480" w:space="420"/>
            <w:col w:w="934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25"/>
          <w:szCs w:val="25"/>
          <w:b w:val="1"/>
          <w:bCs w:val="1"/>
          <w:color w:val="0F7C7F"/>
        </w:rPr>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DIRECTORS, EXECUTIVE OFFICERS, AND CORPORATE GOVERNANCE</w:t>
      </w:r>
    </w:p>
    <w:p>
      <w:pPr>
        <w:spacing w:after="0" w:line="1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required by Item 10 of Part III will be included in our Proxy Statement relating to our 2021 Annual Meeting of Stockholders, and is incorporated herein by reference. This information is included in the following sections of the Proxy Statement:</w:t>
      </w:r>
    </w:p>
    <w:p>
      <w:pPr>
        <w:spacing w:after="0" w:line="9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About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About Directors Continuing in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Information About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Corporate Governance and Board of Directors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About the Executive Officers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Information relating to our Code of Business Conduct and Ethics and compliance with Section 16(a) of the 1934 Act is set forth in our Proxy Statement relating to our 2021 Annual Meeting of Stockholders and is incorporated herein by reference. To the extent permissible under NYSE rules, we intend to disclose amendments to our Code of Business Conduct and Ethics, as well as waivers of the provisions thereof, on our investor relations website under the heading “Investor Information—Corporate Governance” at molinahealthcare.com.</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EXECUTIVE COMPENSATION</w:t>
      </w:r>
    </w:p>
    <w:p>
      <w:pPr>
        <w:spacing w:after="0" w:line="14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Information required by Item 11 of Part III will be included in our Proxy Statement relating to our 2021 Annual Meeting of Stockholders in the section entitled “Executive Compensation,” and is incorporated herein by reference.</w:t>
      </w:r>
    </w:p>
    <w:p>
      <w:pPr>
        <w:spacing w:after="0" w:line="60" w:lineRule="exact"/>
        <w:rPr>
          <w:sz w:val="20"/>
          <w:szCs w:val="20"/>
          <w:color w:val="auto"/>
        </w:rPr>
      </w:pPr>
    </w:p>
    <w:p>
      <w:pPr>
        <w:ind w:right="820"/>
        <w:spacing w:after="0" w:line="288" w:lineRule="auto"/>
        <w:rPr>
          <w:sz w:val="20"/>
          <w:szCs w:val="20"/>
          <w:color w:val="auto"/>
        </w:rPr>
      </w:pPr>
      <w:r>
        <w:rPr>
          <w:rFonts w:ascii="Arial" w:cs="Arial" w:eastAsia="Arial" w:hAnsi="Arial"/>
          <w:sz w:val="25"/>
          <w:szCs w:val="25"/>
          <w:b w:val="1"/>
          <w:bCs w:val="1"/>
          <w:color w:val="0F7C7F"/>
        </w:rPr>
        <w:t>SECURITY OWNERSHIP OF CERTAIN BENEFICIAL OWNERS AND MANAGEMENT AND RELATED SHAREHOLDER MATTERS</w:t>
      </w:r>
    </w:p>
    <w:p>
      <w:pPr>
        <w:spacing w:after="0" w:line="42"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Information required by Item 12 of Part III will be included in our Proxy Statement relating to our 2021 Annual Meeting of Stockholders in the section entitled “Security Ownership of Certain Beneficial Owners and Management,” and is incorporated herein by reference.</w:t>
      </w:r>
    </w:p>
    <w:p>
      <w:pPr>
        <w:spacing w:after="0" w:line="60" w:lineRule="exact"/>
        <w:rPr>
          <w:sz w:val="20"/>
          <w:szCs w:val="20"/>
          <w:color w:val="auto"/>
        </w:rPr>
      </w:pPr>
    </w:p>
    <w:p>
      <w:pPr>
        <w:ind w:right="2040"/>
        <w:spacing w:after="0" w:line="288" w:lineRule="auto"/>
        <w:rPr>
          <w:sz w:val="20"/>
          <w:szCs w:val="20"/>
          <w:color w:val="auto"/>
        </w:rPr>
      </w:pPr>
      <w:r>
        <w:rPr>
          <w:rFonts w:ascii="Arial" w:cs="Arial" w:eastAsia="Arial" w:hAnsi="Arial"/>
          <w:sz w:val="25"/>
          <w:szCs w:val="25"/>
          <w:b w:val="1"/>
          <w:bCs w:val="1"/>
          <w:color w:val="0F7C7F"/>
        </w:rPr>
        <w:t>CERTAIN RELATIONSHIPS AND RELATED TRANSACTIONS, AND DIRECTOR INDEPENDENCE</w:t>
      </w:r>
    </w:p>
    <w:p>
      <w:pPr>
        <w:spacing w:after="0" w:line="4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Information required by Item 13 of Part III will be included in our Proxy Statement relating to our 2021 Annual Meeting of Stockholders in the sections entitled “Related Party Transactions,” and “Corporate Governance and Board of Directors Matters—Director Independence,” and is incorporated herein by reference.</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PRINCIPAL ACCOUNTANT FEES AND SERVICES</w:t>
      </w:r>
    </w:p>
    <w:p>
      <w:pPr>
        <w:spacing w:after="0" w:line="14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Information required by Item 14 of Part III will be included in our Proxy Statement relating to our 2021 Annual Meeting of Stockholders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9" w:name="page100"/>
    <w:bookmarkEnd w:id="99"/>
    <w:p>
      <w:pPr>
        <w:spacing w:after="0"/>
        <w:rPr>
          <w:sz w:val="20"/>
          <w:szCs w:val="20"/>
          <w:color w:val="auto"/>
        </w:rPr>
      </w:pPr>
      <w:r>
        <w:rPr>
          <w:rFonts w:ascii="Arial" w:cs="Arial" w:eastAsia="Arial" w:hAnsi="Arial"/>
          <w:sz w:val="25"/>
          <w:szCs w:val="25"/>
          <w:b w:val="1"/>
          <w:bCs w:val="1"/>
          <w:color w:val="0F7C7F"/>
        </w:rPr>
        <w:t>EXHIBITS AND FINANCIAL STATEMENT SCHEDULES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FINANCIAL STATEMENTS AND SUPPLEMENTARY DATA</w:t>
      </w:r>
    </w:p>
    <w:p>
      <w:pPr>
        <w:spacing w:after="0" w:line="142" w:lineRule="exact"/>
        <w:rPr>
          <w:sz w:val="20"/>
          <w:szCs w:val="20"/>
          <w:color w:val="auto"/>
        </w:rPr>
      </w:pPr>
    </w:p>
    <w:p>
      <w:pPr>
        <w:ind w:left="860" w:right="140" w:hanging="407"/>
        <w:spacing w:after="0" w:line="261" w:lineRule="auto"/>
        <w:tabs>
          <w:tab w:leader="none" w:pos="8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consolidated financial statements are included in this report in the section entitled “Financial Statements and Supplementary Data.”</w:t>
      </w:r>
    </w:p>
    <w:p>
      <w:pPr>
        <w:spacing w:after="0" w:line="116"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900" w:right="16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EXHIBITS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00" w:name="page101"/>
    <w:bookmarkEnd w:id="100"/>
    <w:p>
      <w:pPr>
        <w:spacing w:after="0"/>
        <w:rPr>
          <w:sz w:val="20"/>
          <w:szCs w:val="20"/>
          <w:color w:val="auto"/>
        </w:rPr>
      </w:pPr>
      <w:r>
        <w:rPr>
          <w:rFonts w:ascii="Arial" w:cs="Arial" w:eastAsia="Arial" w:hAnsi="Arial"/>
          <w:sz w:val="25"/>
          <w:szCs w:val="25"/>
          <w:b w:val="1"/>
          <w:bCs w:val="1"/>
          <w:color w:val="0F7C7F"/>
        </w:rPr>
        <w:t>SIGNATURES</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undersigned registrant has duly caused this report to be signed on its behalf by the undersigned, thereunto duly authorized, on the 16th day of February, 2021.</w:t>
      </w:r>
    </w:p>
    <w:p>
      <w:pPr>
        <w:spacing w:after="0" w:line="18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MOLINA HEALTHCARE, INC.</w:t>
      </w:r>
    </w:p>
    <w:p>
      <w:pPr>
        <w:spacing w:after="0" w:line="117" w:lineRule="exact"/>
        <w:rPr>
          <w:sz w:val="20"/>
          <w:szCs w:val="20"/>
          <w:color w:val="auto"/>
        </w:rPr>
      </w:pPr>
    </w:p>
    <w:p>
      <w:pPr>
        <w:ind w:left="472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6350</wp:posOffset>
            </wp:positionV>
            <wp:extent cx="3815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b w:val="1"/>
          <w:bCs w:val="1"/>
          <w:color w:val="auto"/>
        </w:rPr>
        <w:t>Joseph M. Zubretsky</w:t>
      </w:r>
    </w:p>
    <w:p>
      <w:pPr>
        <w:spacing w:after="0" w:line="1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Chief Executive Officer</w:t>
      </w:r>
    </w:p>
    <w:p>
      <w:pPr>
        <w:ind w:left="5340"/>
        <w:spacing w:after="0"/>
        <w:rPr>
          <w:sz w:val="20"/>
          <w:szCs w:val="20"/>
          <w:color w:val="auto"/>
        </w:rPr>
      </w:pPr>
      <w:r>
        <w:rPr>
          <w:rFonts w:ascii="Arial" w:cs="Arial" w:eastAsia="Arial" w:hAnsi="Arial"/>
          <w:sz w:val="18"/>
          <w:szCs w:val="18"/>
          <w:b w:val="1"/>
          <w:bCs w:val="1"/>
          <w:color w:val="auto"/>
        </w:rPr>
        <w:t>(Principal Executive Officer)</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as indicated, as of February 16,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7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M. Zubretsky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Executive Officer, President and 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Joseph M. Zubretsky</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L. Tran</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Thomas L. Tran</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Maurice S. Hebert</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Maurice S. Hebert</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Garrey E. Carruthers</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Garrey E. Carruthers, Ph.D.</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Cooperman</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Daniel Cooperman</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Barbara L. Brasier</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Barbara L. Brasier</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J. Orlando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Steven J. Orlando</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Ronna E. Romney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Ronna E. Romney</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6"/>
        </w:trPr>
        <w:tc>
          <w:tcPr>
            <w:tcW w:w="4080" w:type="dxa"/>
            <w:vAlign w:val="bottom"/>
          </w:tcPr>
          <w:p>
            <w:pPr>
              <w:ind w:left="20"/>
              <w:spacing w:after="0"/>
              <w:rPr>
                <w:sz w:val="20"/>
                <w:szCs w:val="20"/>
                <w:color w:val="auto"/>
              </w:rPr>
            </w:pPr>
            <w:r>
              <w:rPr>
                <w:rFonts w:ascii="Arial" w:cs="Arial" w:eastAsia="Arial" w:hAnsi="Arial"/>
                <w:sz w:val="18"/>
                <w:szCs w:val="18"/>
                <w:color w:val="auto"/>
              </w:rPr>
              <w:t>/s/ Richard M. Schapiro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5800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Richard M. Schapiro</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800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Dale B. Wolf</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800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14" w:lineRule="exact"/>
        <w:rPr>
          <w:sz w:val="20"/>
          <w:szCs w:val="20"/>
          <w:color w:val="auto"/>
        </w:rPr>
      </w:pPr>
    </w:p>
    <w:p>
      <w:pPr>
        <w:sectPr>
          <w:pgSz w:w="11900" w:h="16838" w:orient="portrait"/>
          <w:cols w:equalWidth="0" w:num="2">
            <w:col w:w="6060" w:space="720"/>
            <w:col w:w="4460"/>
          </w:cols>
          <w:pgMar w:left="320" w:top="98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Richard C. Zoretic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25"/>
          <w:szCs w:val="25"/>
          <w:b w:val="1"/>
          <w:bCs w:val="1"/>
          <w:color w:val="0F7C7F"/>
        </w:rPr>
        <w:t>INDEX TO EXHIBITS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exhibits, which are furnished with this Annual Report on Form 10-K (this “Form 10-K”) or incorporated herein by reference, are filed as part of this annual report.</w:t>
      </w:r>
    </w:p>
    <w:p>
      <w:pPr>
        <w:spacing w:after="0" w:line="9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ectPr>
          <w:pgSz w:w="11900" w:h="16838" w:orient="portrait"/>
          <w:cols w:equalWidth="0" w:num="1">
            <w:col w:w="11240"/>
          </w:cols>
          <w:pgMar w:left="320" w:top="987" w:right="3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color w:val="auto"/>
              </w:rPr>
              <w:t>Number</w:t>
            </w:r>
          </w:p>
        </w:tc>
        <w:tc>
          <w:tcPr>
            <w:tcW w:w="5520" w:type="dxa"/>
            <w:vAlign w:val="bottom"/>
          </w:tcPr>
          <w:p>
            <w:pPr>
              <w:ind w:left="2360"/>
              <w:spacing w:after="0"/>
              <w:rPr>
                <w:sz w:val="20"/>
                <w:szCs w:val="20"/>
                <w:color w:val="auto"/>
              </w:rPr>
            </w:pPr>
            <w:r>
              <w:rPr>
                <w:rFonts w:ascii="Arial" w:cs="Arial" w:eastAsia="Arial" w:hAnsi="Arial"/>
                <w:sz w:val="16"/>
                <w:szCs w:val="16"/>
                <w:color w:val="auto"/>
              </w:rPr>
              <w:t>Description</w:t>
            </w:r>
          </w:p>
        </w:tc>
      </w:tr>
      <w:tr>
        <w:trPr>
          <w:trHeight w:val="174"/>
        </w:trPr>
        <w:tc>
          <w:tcPr>
            <w:tcW w:w="1040" w:type="dxa"/>
            <w:vAlign w:val="bottom"/>
            <w:tcBorders>
              <w:top w:val="single" w:sz="8" w:color="auto"/>
            </w:tcBorders>
            <w:gridSpan w:val="3"/>
          </w:tcPr>
          <w:p>
            <w:pPr>
              <w:ind w:left="20"/>
              <w:spacing w:after="0" w:line="174" w:lineRule="exact"/>
              <w:rPr>
                <w:rFonts w:ascii="Arial" w:cs="Arial" w:eastAsia="Arial" w:hAnsi="Arial"/>
                <w:sz w:val="16"/>
                <w:szCs w:val="16"/>
                <w:u w:val="single" w:color="auto"/>
                <w:color w:val="0F7C7F"/>
              </w:rPr>
            </w:pPr>
            <w:hyperlink r:id="rId130">
              <w:r>
                <w:rPr>
                  <w:rFonts w:ascii="Arial" w:cs="Arial" w:eastAsia="Arial" w:hAnsi="Arial"/>
                  <w:sz w:val="16"/>
                  <w:szCs w:val="16"/>
                  <w:u w:val="single" w:color="auto"/>
                  <w:color w:val="0F7C7F"/>
                </w:rPr>
                <w:t>2.1</w:t>
              </w:r>
            </w:hyperlink>
          </w:p>
        </w:tc>
        <w:tc>
          <w:tcPr>
            <w:tcW w:w="100" w:type="dxa"/>
            <w:vAlign w:val="bottom"/>
          </w:tcPr>
          <w:p>
            <w:pPr>
              <w:spacing w:after="0"/>
              <w:rPr>
                <w:sz w:val="15"/>
                <w:szCs w:val="15"/>
                <w:color w:val="auto"/>
              </w:rPr>
            </w:pPr>
          </w:p>
        </w:tc>
        <w:tc>
          <w:tcPr>
            <w:tcW w:w="5520" w:type="dxa"/>
            <w:vAlign w:val="bottom"/>
            <w:tcBorders>
              <w:top w:val="single" w:sz="8" w:color="auto"/>
            </w:tcBorders>
          </w:tcPr>
          <w:p>
            <w:pPr>
              <w:ind w:left="20"/>
              <w:spacing w:after="0" w:line="174" w:lineRule="exact"/>
              <w:rPr>
                <w:sz w:val="20"/>
                <w:szCs w:val="20"/>
                <w:color w:val="auto"/>
              </w:rPr>
            </w:pPr>
            <w:r>
              <w:rPr>
                <w:rFonts w:ascii="Arial" w:cs="Arial" w:eastAsia="Arial" w:hAnsi="Arial"/>
                <w:sz w:val="16"/>
                <w:szCs w:val="16"/>
                <w:color w:val="auto"/>
              </w:rPr>
              <w:t>Stock and Asset Purchase Agreement, dated as of April 30, 2020, by and</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between Molina Healthcare, Inc. and Magellan Health, Inc.**</w:t>
            </w:r>
          </w:p>
        </w:tc>
      </w:tr>
      <w:tr>
        <w:trPr>
          <w:trHeight w:val="183"/>
        </w:trPr>
        <w:tc>
          <w:tcPr>
            <w:tcW w:w="1040" w:type="dxa"/>
            <w:vAlign w:val="bottom"/>
            <w:gridSpan w:val="3"/>
          </w:tcPr>
          <w:p>
            <w:pPr>
              <w:ind w:left="20"/>
              <w:spacing w:after="0"/>
              <w:rPr>
                <w:rFonts w:ascii="Arial" w:cs="Arial" w:eastAsia="Arial" w:hAnsi="Arial"/>
                <w:sz w:val="16"/>
                <w:szCs w:val="16"/>
                <w:u w:val="single" w:color="auto"/>
                <w:color w:val="0F7C7F"/>
              </w:rPr>
            </w:pPr>
            <w:hyperlink r:id="rId131">
              <w:r>
                <w:rPr>
                  <w:rFonts w:ascii="Arial" w:cs="Arial" w:eastAsia="Arial" w:hAnsi="Arial"/>
                  <w:sz w:val="16"/>
                  <w:szCs w:val="16"/>
                  <w:u w:val="single" w:color="auto"/>
                  <w:color w:val="0F7C7F"/>
                </w:rPr>
                <w:t>2.2</w:t>
              </w:r>
            </w:hyperlink>
          </w:p>
        </w:tc>
        <w:tc>
          <w:tcPr>
            <w:tcW w:w="1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Asset Purchase Agreement, dated as of September 28, 2020, by and</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between Molina Healthcare, Inc. and Affinity Health Plan, Inc.**</w:t>
            </w:r>
          </w:p>
        </w:tc>
      </w:tr>
      <w:tr>
        <w:trPr>
          <w:trHeight w:val="216"/>
        </w:trPr>
        <w:tc>
          <w:tcPr>
            <w:tcW w:w="1040" w:type="dxa"/>
            <w:vAlign w:val="bottom"/>
            <w:gridSpan w:val="3"/>
          </w:tcPr>
          <w:p>
            <w:pPr>
              <w:ind w:left="20"/>
              <w:spacing w:after="0"/>
              <w:rPr>
                <w:rFonts w:ascii="Arial" w:cs="Arial" w:eastAsia="Arial" w:hAnsi="Arial"/>
                <w:sz w:val="16"/>
                <w:szCs w:val="16"/>
                <w:u w:val="single" w:color="auto"/>
                <w:color w:val="0F7C7F"/>
              </w:rPr>
            </w:pPr>
            <w:hyperlink r:id="rId132">
              <w:r>
                <w:rPr>
                  <w:rFonts w:ascii="Arial" w:cs="Arial" w:eastAsia="Arial" w:hAnsi="Arial"/>
                  <w:sz w:val="16"/>
                  <w:szCs w:val="16"/>
                  <w:u w:val="single" w:color="auto"/>
                  <w:color w:val="0F7C7F"/>
                </w:rPr>
                <w:t>3.1</w:t>
              </w:r>
            </w:hyperlink>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Certificate of Incorporation</w:t>
            </w:r>
          </w:p>
        </w:tc>
      </w:tr>
      <w:tr>
        <w:trPr>
          <w:trHeight w:val="378"/>
        </w:trPr>
        <w:tc>
          <w:tcPr>
            <w:tcW w:w="1040" w:type="dxa"/>
            <w:vAlign w:val="bottom"/>
            <w:gridSpan w:val="3"/>
          </w:tcPr>
          <w:p>
            <w:pPr>
              <w:ind w:left="20"/>
              <w:spacing w:after="0"/>
              <w:rPr>
                <w:rFonts w:ascii="Arial" w:cs="Arial" w:eastAsia="Arial" w:hAnsi="Arial"/>
                <w:sz w:val="16"/>
                <w:szCs w:val="16"/>
                <w:u w:val="single" w:color="auto"/>
                <w:color w:val="0F7C7F"/>
              </w:rPr>
            </w:pPr>
            <w:hyperlink r:id="rId133">
              <w:r>
                <w:rPr>
                  <w:rFonts w:ascii="Arial" w:cs="Arial" w:eastAsia="Arial" w:hAnsi="Arial"/>
                  <w:sz w:val="16"/>
                  <w:szCs w:val="16"/>
                  <w:u w:val="single" w:color="auto"/>
                  <w:color w:val="0F7C7F"/>
                </w:rPr>
                <w:t>3.2</w:t>
              </w:r>
            </w:hyperlink>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Certificate of Amendment to Certificate of Incorporation</w:t>
            </w:r>
          </w:p>
        </w:tc>
      </w:tr>
      <w:tr>
        <w:trPr>
          <w:trHeight w:val="446"/>
        </w:trPr>
        <w:tc>
          <w:tcPr>
            <w:tcW w:w="1040" w:type="dxa"/>
            <w:vAlign w:val="bottom"/>
            <w:gridSpan w:val="3"/>
          </w:tcPr>
          <w:p>
            <w:pPr>
              <w:ind w:left="20"/>
              <w:spacing w:after="0"/>
              <w:rPr>
                <w:rFonts w:ascii="Arial" w:cs="Arial" w:eastAsia="Arial" w:hAnsi="Arial"/>
                <w:sz w:val="16"/>
                <w:szCs w:val="16"/>
                <w:u w:val="single" w:color="auto"/>
                <w:color w:val="0F7C7F"/>
              </w:rPr>
            </w:pPr>
            <w:hyperlink r:id="rId134">
              <w:r>
                <w:rPr>
                  <w:rFonts w:ascii="Arial" w:cs="Arial" w:eastAsia="Arial" w:hAnsi="Arial"/>
                  <w:sz w:val="16"/>
                  <w:szCs w:val="16"/>
                  <w:u w:val="single" w:color="auto"/>
                  <w:color w:val="0F7C7F"/>
                </w:rPr>
                <w:t>3.3</w:t>
              </w:r>
            </w:hyperlink>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Certificate of Amendment to Certificate of Incorporation</w:t>
            </w:r>
          </w:p>
        </w:tc>
      </w:tr>
      <w:tr>
        <w:trPr>
          <w:trHeight w:val="378"/>
        </w:trPr>
        <w:tc>
          <w:tcPr>
            <w:tcW w:w="1040" w:type="dxa"/>
            <w:vAlign w:val="bottom"/>
            <w:gridSpan w:val="3"/>
          </w:tcPr>
          <w:p>
            <w:pPr>
              <w:ind w:left="20"/>
              <w:spacing w:after="0"/>
              <w:rPr>
                <w:rFonts w:ascii="Arial" w:cs="Arial" w:eastAsia="Arial" w:hAnsi="Arial"/>
                <w:sz w:val="16"/>
                <w:szCs w:val="16"/>
                <w:u w:val="single" w:color="auto"/>
                <w:color w:val="0F7C7F"/>
              </w:rPr>
            </w:pPr>
            <w:hyperlink r:id="rId135">
              <w:r>
                <w:rPr>
                  <w:rFonts w:ascii="Arial" w:cs="Arial" w:eastAsia="Arial" w:hAnsi="Arial"/>
                  <w:sz w:val="16"/>
                  <w:szCs w:val="16"/>
                  <w:u w:val="single" w:color="auto"/>
                  <w:color w:val="0F7C7F"/>
                </w:rPr>
                <w:t>3.4</w:t>
              </w:r>
            </w:hyperlink>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Sixth Amended and Restated Bylaws of Molina Healthcare, Inc.</w:t>
            </w:r>
          </w:p>
        </w:tc>
      </w:tr>
      <w:tr>
        <w:trPr>
          <w:trHeight w:val="343"/>
        </w:trPr>
        <w:tc>
          <w:tcPr>
            <w:tcW w:w="260" w:type="dxa"/>
            <w:vAlign w:val="bottom"/>
            <w:gridSpan w:val="2"/>
          </w:tcPr>
          <w:p>
            <w:pPr>
              <w:ind w:left="20"/>
              <w:spacing w:after="0"/>
              <w:rPr>
                <w:rFonts w:ascii="Arial" w:cs="Arial" w:eastAsia="Arial" w:hAnsi="Arial"/>
                <w:sz w:val="16"/>
                <w:szCs w:val="16"/>
                <w:color w:val="0F7C7F"/>
                <w:w w:val="98"/>
              </w:rPr>
            </w:pPr>
            <w:hyperlink r:id="rId136">
              <w:r>
                <w:rPr>
                  <w:rFonts w:ascii="Arial" w:cs="Arial" w:eastAsia="Arial" w:hAnsi="Arial"/>
                  <w:sz w:val="16"/>
                  <w:szCs w:val="16"/>
                  <w:color w:val="0F7C7F"/>
                  <w:w w:val="98"/>
                </w:rPr>
                <w:t>4.</w:t>
              </w:r>
              <w:r>
                <w:rPr>
                  <w:rFonts w:ascii="Arial" w:cs="Arial" w:eastAsia="Arial" w:hAnsi="Arial"/>
                  <w:sz w:val="16"/>
                  <w:szCs w:val="16"/>
                  <w:u w:val="single" w:color="auto"/>
                  <w:color w:val="0F7C7F"/>
                  <w:w w:val="98"/>
                </w:rPr>
                <w:t>1</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Indenture dated November 10, 2015, by and among Molina Healthcare, Inc.,</w:t>
            </w:r>
          </w:p>
        </w:tc>
      </w:tr>
      <w:tr>
        <w:trPr>
          <w:trHeight w:val="144"/>
        </w:trPr>
        <w:tc>
          <w:tcPr>
            <w:tcW w:w="20" w:type="dxa"/>
            <w:vAlign w:val="bottom"/>
          </w:tcPr>
          <w:p>
            <w:pPr>
              <w:spacing w:after="0"/>
              <w:rPr>
                <w:sz w:val="12"/>
                <w:szCs w:val="12"/>
                <w:color w:val="auto"/>
              </w:rPr>
            </w:pPr>
          </w:p>
        </w:tc>
        <w:tc>
          <w:tcPr>
            <w:tcW w:w="240" w:type="dxa"/>
            <w:vAlign w:val="bottom"/>
            <w:tcBorders>
              <w:top w:val="single" w:sz="8" w:color="0F7C7F"/>
            </w:tcBorders>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tcPr>
          <w:p>
            <w:pPr>
              <w:ind w:left="20"/>
              <w:spacing w:after="0" w:line="144" w:lineRule="exact"/>
              <w:rPr>
                <w:sz w:val="20"/>
                <w:szCs w:val="20"/>
                <w:color w:val="auto"/>
              </w:rPr>
            </w:pPr>
            <w:r>
              <w:rPr>
                <w:rFonts w:ascii="Arial" w:cs="Arial" w:eastAsia="Arial" w:hAnsi="Arial"/>
                <w:sz w:val="16"/>
                <w:szCs w:val="16"/>
                <w:color w:val="auto"/>
              </w:rPr>
              <w:t>the guarantor parties thereto and U.S. Bank National Association, as</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Trustee</w:t>
            </w:r>
          </w:p>
        </w:tc>
      </w:tr>
      <w:tr>
        <w:trPr>
          <w:trHeight w:val="182"/>
        </w:trPr>
        <w:tc>
          <w:tcPr>
            <w:tcW w:w="20" w:type="dxa"/>
            <w:vAlign w:val="bottom"/>
          </w:tcPr>
          <w:p>
            <w:pPr>
              <w:spacing w:after="0"/>
              <w:rPr>
                <w:sz w:val="15"/>
                <w:szCs w:val="15"/>
                <w:color w:val="auto"/>
              </w:rPr>
            </w:pPr>
          </w:p>
        </w:tc>
        <w:tc>
          <w:tcPr>
            <w:tcW w:w="240" w:type="dxa"/>
            <w:vAlign w:val="bottom"/>
            <w:tcBorders>
              <w:bottom w:val="single" w:sz="8" w:color="0F7C7F"/>
            </w:tcBorders>
          </w:tcPr>
          <w:p>
            <w:pPr>
              <w:spacing w:after="0" w:line="181" w:lineRule="exact"/>
              <w:rPr>
                <w:rFonts w:ascii="Arial" w:cs="Arial" w:eastAsia="Arial" w:hAnsi="Arial"/>
                <w:sz w:val="16"/>
                <w:szCs w:val="16"/>
                <w:color w:val="0F7C7F"/>
                <w:w w:val="98"/>
              </w:rPr>
            </w:pPr>
            <w:hyperlink r:id="rId136">
              <w:r>
                <w:rPr>
                  <w:rFonts w:ascii="Arial" w:cs="Arial" w:eastAsia="Arial" w:hAnsi="Arial"/>
                  <w:sz w:val="16"/>
                  <w:szCs w:val="16"/>
                  <w:color w:val="0F7C7F"/>
                  <w:w w:val="98"/>
                </w:rPr>
                <w:t>4.</w:t>
              </w:r>
              <w:r>
                <w:rPr>
                  <w:rFonts w:ascii="Arial" w:cs="Arial" w:eastAsia="Arial" w:hAnsi="Arial"/>
                  <w:sz w:val="16"/>
                  <w:szCs w:val="16"/>
                  <w:u w:val="single" w:color="auto"/>
                  <w:color w:val="0F7C7F"/>
                  <w:w w:val="98"/>
                </w:rPr>
                <w:t>2</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Form of 5.375% Senior Notes due 2022</w:t>
            </w:r>
          </w:p>
        </w:tc>
      </w:tr>
      <w:tr>
        <w:trPr>
          <w:trHeight w:val="360"/>
        </w:trPr>
        <w:tc>
          <w:tcPr>
            <w:tcW w:w="1040" w:type="dxa"/>
            <w:vAlign w:val="bottom"/>
            <w:gridSpan w:val="3"/>
          </w:tcPr>
          <w:p>
            <w:pPr>
              <w:ind w:left="20"/>
              <w:spacing w:after="0"/>
              <w:rPr>
                <w:rFonts w:ascii="Arial" w:cs="Arial" w:eastAsia="Arial" w:hAnsi="Arial"/>
                <w:sz w:val="16"/>
                <w:szCs w:val="16"/>
                <w:u w:val="single" w:color="auto"/>
                <w:color w:val="0F7C7F"/>
              </w:rPr>
            </w:pPr>
            <w:hyperlink r:id="rId136">
              <w:r>
                <w:rPr>
                  <w:rFonts w:ascii="Arial" w:cs="Arial" w:eastAsia="Arial" w:hAnsi="Arial"/>
                  <w:sz w:val="16"/>
                  <w:szCs w:val="16"/>
                  <w:u w:val="single" w:color="auto"/>
                  <w:color w:val="0F7C7F"/>
                </w:rPr>
                <w:t>4.3</w:t>
              </w:r>
            </w:hyperlink>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Form of Guarantee pursuant to Indenture, dated as of November 10, 2015,</w:t>
            </w: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Pr>
          <w:p>
            <w:pPr>
              <w:ind w:left="20"/>
              <w:spacing w:after="0" w:line="162" w:lineRule="exact"/>
              <w:rPr>
                <w:sz w:val="20"/>
                <w:szCs w:val="20"/>
                <w:color w:val="auto"/>
              </w:rPr>
            </w:pPr>
            <w:r>
              <w:rPr>
                <w:rFonts w:ascii="Arial" w:cs="Arial" w:eastAsia="Arial" w:hAnsi="Arial"/>
                <w:sz w:val="16"/>
                <w:szCs w:val="16"/>
                <w:color w:val="auto"/>
              </w:rPr>
              <w:t>by and among Molina Healthcare, Inc., the guarantors party thereto and</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U.S. Bank National Association, as Trustee</w:t>
            </w:r>
          </w:p>
        </w:tc>
      </w:tr>
      <w:tr>
        <w:trPr>
          <w:trHeight w:val="182"/>
        </w:trPr>
        <w:tc>
          <w:tcPr>
            <w:tcW w:w="260" w:type="dxa"/>
            <w:vAlign w:val="bottom"/>
            <w:gridSpan w:val="2"/>
          </w:tcPr>
          <w:p>
            <w:pPr>
              <w:ind w:left="20"/>
              <w:spacing w:after="0" w:line="181" w:lineRule="exact"/>
              <w:rPr>
                <w:rFonts w:ascii="Arial" w:cs="Arial" w:eastAsia="Arial" w:hAnsi="Arial"/>
                <w:sz w:val="16"/>
                <w:szCs w:val="16"/>
                <w:color w:val="0F7C7F"/>
                <w:w w:val="98"/>
              </w:rPr>
            </w:pPr>
            <w:hyperlink r:id="rId137">
              <w:r>
                <w:rPr>
                  <w:rFonts w:ascii="Arial" w:cs="Arial" w:eastAsia="Arial" w:hAnsi="Arial"/>
                  <w:sz w:val="16"/>
                  <w:szCs w:val="16"/>
                  <w:color w:val="0F7C7F"/>
                  <w:w w:val="98"/>
                </w:rPr>
                <w:t>4.</w:t>
              </w:r>
              <w:r>
                <w:rPr>
                  <w:rFonts w:ascii="Arial" w:cs="Arial" w:eastAsia="Arial" w:hAnsi="Arial"/>
                  <w:sz w:val="16"/>
                  <w:szCs w:val="16"/>
                  <w:u w:val="single" w:color="auto"/>
                  <w:color w:val="0F7C7F"/>
                  <w:w w:val="98"/>
                </w:rPr>
                <w:t>4</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First Supplemental Indenture, dated as of February 16, 2016, by and among</w:t>
            </w:r>
          </w:p>
        </w:tc>
      </w:tr>
      <w:tr>
        <w:trPr>
          <w:trHeight w:val="144"/>
        </w:trPr>
        <w:tc>
          <w:tcPr>
            <w:tcW w:w="20" w:type="dxa"/>
            <w:vAlign w:val="bottom"/>
          </w:tcPr>
          <w:p>
            <w:pPr>
              <w:spacing w:after="0"/>
              <w:rPr>
                <w:sz w:val="12"/>
                <w:szCs w:val="12"/>
                <w:color w:val="auto"/>
              </w:rPr>
            </w:pPr>
          </w:p>
        </w:tc>
        <w:tc>
          <w:tcPr>
            <w:tcW w:w="240" w:type="dxa"/>
            <w:vAlign w:val="bottom"/>
            <w:tcBorders>
              <w:top w:val="single" w:sz="8" w:color="0F7C7F"/>
            </w:tcBorders>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tcPr>
          <w:p>
            <w:pPr>
              <w:ind w:left="20"/>
              <w:spacing w:after="0" w:line="144" w:lineRule="exact"/>
              <w:rPr>
                <w:sz w:val="20"/>
                <w:szCs w:val="20"/>
                <w:color w:val="auto"/>
              </w:rPr>
            </w:pPr>
            <w:r>
              <w:rPr>
                <w:rFonts w:ascii="Arial" w:cs="Arial" w:eastAsia="Arial" w:hAnsi="Arial"/>
                <w:sz w:val="16"/>
                <w:szCs w:val="16"/>
                <w:color w:val="auto"/>
              </w:rPr>
              <w:t>Molina Healthcare, Inc., the guarantors party thereto and U.S. Bank National</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Association, as Trustee</w:t>
            </w:r>
          </w:p>
        </w:tc>
      </w:tr>
      <w:tr>
        <w:trPr>
          <w:trHeight w:val="182"/>
        </w:trPr>
        <w:tc>
          <w:tcPr>
            <w:tcW w:w="260" w:type="dxa"/>
            <w:vAlign w:val="bottom"/>
            <w:gridSpan w:val="2"/>
          </w:tcPr>
          <w:p>
            <w:pPr>
              <w:ind w:left="20"/>
              <w:spacing w:after="0" w:line="181" w:lineRule="exact"/>
              <w:rPr>
                <w:rFonts w:ascii="Arial" w:cs="Arial" w:eastAsia="Arial" w:hAnsi="Arial"/>
                <w:sz w:val="16"/>
                <w:szCs w:val="16"/>
                <w:color w:val="0F7C7F"/>
                <w:w w:val="98"/>
              </w:rPr>
            </w:pPr>
            <w:hyperlink r:id="rId138">
              <w:r>
                <w:rPr>
                  <w:rFonts w:ascii="Arial" w:cs="Arial" w:eastAsia="Arial" w:hAnsi="Arial"/>
                  <w:sz w:val="16"/>
                  <w:szCs w:val="16"/>
                  <w:color w:val="0F7C7F"/>
                  <w:w w:val="98"/>
                </w:rPr>
                <w:t>4.</w:t>
              </w:r>
              <w:r>
                <w:rPr>
                  <w:rFonts w:ascii="Arial" w:cs="Arial" w:eastAsia="Arial" w:hAnsi="Arial"/>
                  <w:sz w:val="16"/>
                  <w:szCs w:val="16"/>
                  <w:u w:val="single" w:color="auto"/>
                  <w:color w:val="0F7C7F"/>
                  <w:w w:val="98"/>
                </w:rPr>
                <w:t>5</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Indenture, dated as of June 2, 2020, by and between Molina Healthcare,</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F7C7F"/>
            </w:tcBorders>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Inc. and U.S. Bank National Association, as Trustee.</w:t>
            </w:r>
          </w:p>
        </w:tc>
      </w:tr>
      <w:tr>
        <w:trPr>
          <w:trHeight w:val="216"/>
        </w:trPr>
        <w:tc>
          <w:tcPr>
            <w:tcW w:w="1040" w:type="dxa"/>
            <w:vAlign w:val="bottom"/>
            <w:gridSpan w:val="3"/>
          </w:tcPr>
          <w:p>
            <w:pPr>
              <w:ind w:left="20"/>
              <w:spacing w:after="0"/>
              <w:rPr>
                <w:rFonts w:ascii="Arial" w:cs="Arial" w:eastAsia="Arial" w:hAnsi="Arial"/>
                <w:sz w:val="16"/>
                <w:szCs w:val="16"/>
                <w:u w:val="single" w:color="auto"/>
                <w:color w:val="0F7C7F"/>
              </w:rPr>
            </w:pPr>
            <w:hyperlink r:id="rId138">
              <w:r>
                <w:rPr>
                  <w:rFonts w:ascii="Arial" w:cs="Arial" w:eastAsia="Arial" w:hAnsi="Arial"/>
                  <w:sz w:val="16"/>
                  <w:szCs w:val="16"/>
                  <w:u w:val="single" w:color="auto"/>
                  <w:color w:val="0F7C7F"/>
                </w:rPr>
                <w:t>4.6</w:t>
              </w:r>
            </w:hyperlink>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Form of 4.375% Notes (included in Exhibit 4.5).</w:t>
            </w:r>
          </w:p>
        </w:tc>
      </w:tr>
      <w:tr>
        <w:trPr>
          <w:trHeight w:val="505"/>
        </w:trPr>
        <w:tc>
          <w:tcPr>
            <w:tcW w:w="260" w:type="dxa"/>
            <w:vAlign w:val="bottom"/>
            <w:gridSpan w:val="2"/>
          </w:tcPr>
          <w:p>
            <w:pPr>
              <w:ind w:left="20"/>
              <w:spacing w:after="0"/>
              <w:rPr>
                <w:rFonts w:ascii="Arial" w:cs="Arial" w:eastAsia="Arial" w:hAnsi="Arial"/>
                <w:sz w:val="16"/>
                <w:szCs w:val="16"/>
                <w:color w:val="0F7C7F"/>
                <w:w w:val="98"/>
              </w:rPr>
            </w:pPr>
            <w:hyperlink r:id="rId139">
              <w:r>
                <w:rPr>
                  <w:rFonts w:ascii="Arial" w:cs="Arial" w:eastAsia="Arial" w:hAnsi="Arial"/>
                  <w:sz w:val="16"/>
                  <w:szCs w:val="16"/>
                  <w:color w:val="0F7C7F"/>
                  <w:w w:val="98"/>
                </w:rPr>
                <w:t>4.</w:t>
              </w:r>
              <w:r>
                <w:rPr>
                  <w:rFonts w:ascii="Arial" w:cs="Arial" w:eastAsia="Arial" w:hAnsi="Arial"/>
                  <w:sz w:val="16"/>
                  <w:szCs w:val="16"/>
                  <w:u w:val="single" w:color="auto"/>
                  <w:color w:val="0F7C7F"/>
                  <w:w w:val="98"/>
                </w:rPr>
                <w:t>7</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Indenture, dated as of November 17, 2020, by and between Molina</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F7C7F"/>
            </w:tcBorders>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Healthcare, Inc. and U.S. Bank National Association, as Trustee.</w:t>
            </w:r>
          </w:p>
        </w:tc>
      </w:tr>
      <w:tr>
        <w:trPr>
          <w:trHeight w:val="182"/>
        </w:trPr>
        <w:tc>
          <w:tcPr>
            <w:tcW w:w="20" w:type="dxa"/>
            <w:vAlign w:val="bottom"/>
          </w:tcPr>
          <w:p>
            <w:pPr>
              <w:spacing w:after="0"/>
              <w:rPr>
                <w:sz w:val="15"/>
                <w:szCs w:val="15"/>
                <w:color w:val="auto"/>
              </w:rPr>
            </w:pPr>
          </w:p>
        </w:tc>
        <w:tc>
          <w:tcPr>
            <w:tcW w:w="240" w:type="dxa"/>
            <w:vAlign w:val="bottom"/>
            <w:tcBorders>
              <w:bottom w:val="single" w:sz="8" w:color="0F7C7F"/>
            </w:tcBorders>
          </w:tcPr>
          <w:p>
            <w:pPr>
              <w:spacing w:after="0" w:line="181" w:lineRule="exact"/>
              <w:rPr>
                <w:rFonts w:ascii="Arial" w:cs="Arial" w:eastAsia="Arial" w:hAnsi="Arial"/>
                <w:sz w:val="16"/>
                <w:szCs w:val="16"/>
                <w:color w:val="0F7C7F"/>
                <w:w w:val="98"/>
              </w:rPr>
            </w:pPr>
            <w:hyperlink r:id="rId139">
              <w:r>
                <w:rPr>
                  <w:rFonts w:ascii="Arial" w:cs="Arial" w:eastAsia="Arial" w:hAnsi="Arial"/>
                  <w:sz w:val="16"/>
                  <w:szCs w:val="16"/>
                  <w:color w:val="0F7C7F"/>
                  <w:w w:val="98"/>
                </w:rPr>
                <w:t>4.</w:t>
              </w:r>
              <w:r>
                <w:rPr>
                  <w:rFonts w:ascii="Arial" w:cs="Arial" w:eastAsia="Arial" w:hAnsi="Arial"/>
                  <w:sz w:val="16"/>
                  <w:szCs w:val="16"/>
                  <w:u w:val="single" w:color="auto"/>
                  <w:color w:val="0F7C7F"/>
                  <w:w w:val="98"/>
                </w:rPr>
                <w:t>8</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Form of 3.875% Notes (included in Exhibit 4.7).</w:t>
            </w:r>
          </w:p>
        </w:tc>
      </w:tr>
      <w:tr>
        <w:trPr>
          <w:trHeight w:val="555"/>
        </w:trPr>
        <w:tc>
          <w:tcPr>
            <w:tcW w:w="1040" w:type="dxa"/>
            <w:vAlign w:val="bottom"/>
            <w:gridSpan w:val="3"/>
          </w:tcPr>
          <w:p>
            <w:pPr>
              <w:ind w:left="20"/>
              <w:spacing w:after="0"/>
              <w:rPr>
                <w:rFonts w:ascii="Arial" w:cs="Arial" w:eastAsia="Arial" w:hAnsi="Arial"/>
                <w:sz w:val="16"/>
                <w:szCs w:val="16"/>
                <w:u w:val="single" w:color="auto"/>
                <w:color w:val="0F7C7F"/>
              </w:rPr>
            </w:pPr>
            <w:hyperlink w:anchor="page105">
              <w:r>
                <w:rPr>
                  <w:rFonts w:ascii="Arial" w:cs="Arial" w:eastAsia="Arial" w:hAnsi="Arial"/>
                  <w:sz w:val="16"/>
                  <w:szCs w:val="16"/>
                  <w:u w:val="single" w:color="auto"/>
                  <w:color w:val="0F7C7F"/>
                </w:rPr>
                <w:t>4.9</w:t>
              </w:r>
            </w:hyperlink>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Description of Registrant’s Securities</w:t>
            </w:r>
          </w:p>
        </w:tc>
      </w:tr>
      <w:tr>
        <w:trPr>
          <w:trHeight w:val="183"/>
        </w:trPr>
        <w:tc>
          <w:tcPr>
            <w:tcW w:w="1040" w:type="dxa"/>
            <w:vAlign w:val="bottom"/>
            <w:gridSpan w:val="3"/>
          </w:tcPr>
          <w:p>
            <w:pPr>
              <w:ind w:left="20"/>
              <w:spacing w:after="0"/>
              <w:rPr>
                <w:rFonts w:ascii="Arial" w:cs="Arial" w:eastAsia="Arial" w:hAnsi="Arial"/>
                <w:sz w:val="16"/>
                <w:szCs w:val="16"/>
                <w:u w:val="single" w:color="auto"/>
                <w:color w:val="0F7C7F"/>
              </w:rPr>
            </w:pPr>
            <w:hyperlink r:id="rId140">
              <w:r>
                <w:rPr>
                  <w:rFonts w:ascii="Arial" w:cs="Arial" w:eastAsia="Arial" w:hAnsi="Arial"/>
                  <w:sz w:val="16"/>
                  <w:szCs w:val="16"/>
                  <w:u w:val="single" w:color="auto"/>
                  <w:color w:val="0F7C7F"/>
                </w:rPr>
                <w:t>10.1</w:t>
              </w:r>
            </w:hyperlink>
          </w:p>
        </w:tc>
        <w:tc>
          <w:tcPr>
            <w:tcW w:w="1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Credit Agreement, dated as of June 8, 2020, by and among Molina</w:t>
            </w: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Pr>
          <w:p>
            <w:pPr>
              <w:ind w:left="20"/>
              <w:spacing w:after="0" w:line="162" w:lineRule="exact"/>
              <w:rPr>
                <w:sz w:val="20"/>
                <w:szCs w:val="20"/>
                <w:color w:val="auto"/>
              </w:rPr>
            </w:pPr>
            <w:r>
              <w:rPr>
                <w:rFonts w:ascii="Arial" w:cs="Arial" w:eastAsia="Arial" w:hAnsi="Arial"/>
                <w:sz w:val="16"/>
                <w:szCs w:val="16"/>
                <w:color w:val="auto"/>
              </w:rPr>
              <w:t>Healthcare, Inc., as the Borrower, Truist Bank, as Administrative Agent,</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Issuing Bank and Swingline Lender, and the Lenders party thereto.</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20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Filed as Exhibit 2.1 to registrant’s Form 8-K filed May 6, 2020</w:t>
      </w:r>
    </w:p>
    <w:p>
      <w:pPr>
        <w:spacing w:after="0" w:line="194"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Filed as Exhibit 2.1 to registrant’s Form 10-Q filed October 29, 2020</w:t>
      </w:r>
    </w:p>
    <w:p>
      <w:pPr>
        <w:spacing w:after="0" w:line="22"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Filed as Exhibit 3.2 to registrant’s Registration Statement on Form S-1 filed December 30, 2002</w:t>
      </w:r>
    </w:p>
    <w:p>
      <w:pPr>
        <w:spacing w:after="0" w:line="63" w:lineRule="exact"/>
        <w:rPr>
          <w:sz w:val="20"/>
          <w:szCs w:val="20"/>
          <w:color w:val="auto"/>
        </w:rPr>
      </w:pPr>
    </w:p>
    <w:p>
      <w:pPr>
        <w:ind w:right="820"/>
        <w:spacing w:after="0" w:line="232" w:lineRule="auto"/>
        <w:rPr>
          <w:sz w:val="20"/>
          <w:szCs w:val="20"/>
          <w:color w:val="auto"/>
        </w:rPr>
      </w:pPr>
      <w:r>
        <w:rPr>
          <w:rFonts w:ascii="Arial" w:cs="Arial" w:eastAsia="Arial" w:hAnsi="Arial"/>
          <w:sz w:val="16"/>
          <w:szCs w:val="16"/>
          <w:color w:val="auto"/>
        </w:rPr>
        <w:t>Filed as Appendix A to registrant’s Definitive Proxy Statement on Form DEF 14A filed March 25, 2013</w:t>
      </w:r>
    </w:p>
    <w:p>
      <w:pPr>
        <w:spacing w:after="0" w:line="49" w:lineRule="exact"/>
        <w:rPr>
          <w:sz w:val="20"/>
          <w:szCs w:val="20"/>
          <w:color w:val="auto"/>
        </w:rPr>
      </w:pPr>
    </w:p>
    <w:p>
      <w:pPr>
        <w:ind w:right="820"/>
        <w:spacing w:after="0" w:line="232" w:lineRule="auto"/>
        <w:rPr>
          <w:sz w:val="20"/>
          <w:szCs w:val="20"/>
          <w:color w:val="auto"/>
        </w:rPr>
      </w:pPr>
      <w:r>
        <w:rPr>
          <w:rFonts w:ascii="Arial" w:cs="Arial" w:eastAsia="Arial" w:hAnsi="Arial"/>
          <w:sz w:val="16"/>
          <w:szCs w:val="16"/>
          <w:color w:val="auto"/>
        </w:rPr>
        <w:t>Filed as Appendix A to registrant’s Definitive Proxy Statement on Form DEF 14A filed March 25, 2019</w:t>
      </w:r>
    </w:p>
    <w:p>
      <w:pPr>
        <w:spacing w:after="0" w:line="22"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color w:val="auto"/>
        </w:rPr>
        <w:t>Filed as Exhibit 3.3 to registrant’s Form 10-K filed February 19, 2019</w:t>
      </w:r>
    </w:p>
    <w:p>
      <w:pPr>
        <w:spacing w:after="0" w:line="22"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184"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22"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184" w:lineRule="exact"/>
        <w:rPr>
          <w:sz w:val="20"/>
          <w:szCs w:val="20"/>
          <w:color w:val="auto"/>
        </w:rPr>
      </w:pPr>
    </w:p>
    <w:p>
      <w:pPr>
        <w:ind w:right="320"/>
        <w:spacing w:after="0" w:line="232" w:lineRule="auto"/>
        <w:rPr>
          <w:sz w:val="20"/>
          <w:szCs w:val="20"/>
          <w:color w:val="auto"/>
        </w:rPr>
      </w:pPr>
      <w:r>
        <w:rPr>
          <w:rFonts w:ascii="Arial" w:cs="Arial" w:eastAsia="Arial" w:hAnsi="Arial"/>
          <w:sz w:val="16"/>
          <w:szCs w:val="16"/>
          <w:color w:val="auto"/>
        </w:rPr>
        <w:t>Filed as Exhibit 4.1 to registrant’s Form 8-K filed February 18, 2016</w:t>
      </w:r>
    </w:p>
    <w:p>
      <w:pPr>
        <w:spacing w:after="0" w:line="184" w:lineRule="exact"/>
        <w:rPr>
          <w:sz w:val="20"/>
          <w:szCs w:val="20"/>
          <w:color w:val="auto"/>
        </w:rPr>
      </w:pPr>
    </w:p>
    <w:p>
      <w:pPr>
        <w:ind w:right="420"/>
        <w:spacing w:after="0" w:line="232" w:lineRule="auto"/>
        <w:rPr>
          <w:sz w:val="20"/>
          <w:szCs w:val="20"/>
          <w:color w:val="auto"/>
        </w:rPr>
      </w:pPr>
      <w:r>
        <w:rPr>
          <w:rFonts w:ascii="Arial" w:cs="Arial" w:eastAsia="Arial" w:hAnsi="Arial"/>
          <w:sz w:val="16"/>
          <w:szCs w:val="16"/>
          <w:color w:val="auto"/>
        </w:rPr>
        <w:t>Filed as Exhibit 4.1 to registrant’s Form 8-K filed June 2, 2020</w:t>
      </w:r>
    </w:p>
    <w:p>
      <w:pPr>
        <w:spacing w:after="0" w:line="22" w:lineRule="exact"/>
        <w:rPr>
          <w:sz w:val="20"/>
          <w:szCs w:val="20"/>
          <w:color w:val="auto"/>
        </w:rPr>
      </w:pPr>
    </w:p>
    <w:p>
      <w:pPr>
        <w:ind w:right="320"/>
        <w:spacing w:after="0" w:line="225" w:lineRule="auto"/>
        <w:rPr>
          <w:sz w:val="20"/>
          <w:szCs w:val="20"/>
          <w:color w:val="auto"/>
        </w:rPr>
      </w:pPr>
      <w:r>
        <w:rPr>
          <w:rFonts w:ascii="Arial" w:cs="Arial" w:eastAsia="Arial" w:hAnsi="Arial"/>
          <w:sz w:val="16"/>
          <w:szCs w:val="16"/>
          <w:color w:val="auto"/>
        </w:rPr>
        <w:t>Filed as Exhibit 4.2 to registrant’s Form 8-K filed June 2, 2020 (Included in Exhibit 4.1 to registrant’s Form 8-K filed June 2, 2020)</w:t>
      </w:r>
    </w:p>
    <w:p>
      <w:pPr>
        <w:spacing w:after="0" w:line="23"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color w:val="auto"/>
        </w:rPr>
        <w:t>Filed as Exhibit 4.1 to registrant’s Form 8-K filed November 17, 2020</w:t>
      </w:r>
    </w:p>
    <w:p>
      <w:pPr>
        <w:spacing w:after="0" w:line="22"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Filed as Exhibit 4.2 to registrant’s Form 8-K filed November 17, 2020 (Included in Exhibit 4.1 to registrant’s Form 8-K filed November 17, 2020)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right="340"/>
        <w:spacing w:after="0" w:line="232" w:lineRule="auto"/>
        <w:rPr>
          <w:sz w:val="20"/>
          <w:szCs w:val="20"/>
          <w:color w:val="auto"/>
        </w:rPr>
      </w:pPr>
      <w:r>
        <w:rPr>
          <w:rFonts w:ascii="Arial" w:cs="Arial" w:eastAsia="Arial" w:hAnsi="Arial"/>
          <w:sz w:val="16"/>
          <w:szCs w:val="16"/>
          <w:color w:val="auto"/>
        </w:rPr>
        <w:t>Filed as Exhibit 10.1 to registrant’s Form 8-K filed June 8, 2020</w:t>
      </w:r>
    </w:p>
    <w:p>
      <w:pPr>
        <w:spacing w:after="0" w:line="362" w:lineRule="exact"/>
        <w:rPr>
          <w:sz w:val="20"/>
          <w:szCs w:val="20"/>
          <w:color w:val="auto"/>
        </w:rPr>
      </w:pPr>
    </w:p>
    <w:p>
      <w:pPr>
        <w:sectPr>
          <w:pgSz w:w="11900" w:h="16838" w:orient="portrait"/>
          <w:cols w:equalWidth="0" w:num="2">
            <w:col w:w="6660" w:space="120"/>
            <w:col w:w="4460"/>
          </w:cols>
          <w:pgMar w:left="320" w:top="987" w:right="339" w:bottom="1440" w:gutter="0" w:footer="0" w:header="0"/>
          <w:type w:val="continuous"/>
        </w:sectPr>
      </w:pPr>
    </w:p>
    <w:p>
      <w:pPr>
        <w:spacing w:after="0" w:line="35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2020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20" w:type="dxa"/>
            <w:vAlign w:val="bottom"/>
            <w:gridSpan w:val="5"/>
          </w:tcPr>
          <w:p>
            <w:pPr>
              <w:spacing w:after="0"/>
              <w:rPr>
                <w:sz w:val="20"/>
                <w:szCs w:val="20"/>
                <w:color w:val="auto"/>
              </w:rPr>
            </w:pPr>
            <w:r>
              <w:rPr>
                <w:rFonts w:ascii="Arial" w:cs="Arial" w:eastAsia="Arial" w:hAnsi="Arial"/>
                <w:sz w:val="16"/>
                <w:szCs w:val="16"/>
                <w:color w:val="auto"/>
              </w:rPr>
              <w:t>Number</w:t>
            </w:r>
          </w:p>
        </w:tc>
        <w:tc>
          <w:tcPr>
            <w:tcW w:w="5520" w:type="dxa"/>
            <w:vAlign w:val="bottom"/>
          </w:tcPr>
          <w:p>
            <w:pPr>
              <w:ind w:left="2360"/>
              <w:spacing w:after="0"/>
              <w:rPr>
                <w:sz w:val="20"/>
                <w:szCs w:val="20"/>
                <w:color w:val="auto"/>
              </w:rPr>
            </w:pPr>
            <w:r>
              <w:rPr>
                <w:rFonts w:ascii="Arial" w:cs="Arial" w:eastAsia="Arial" w:hAnsi="Arial"/>
                <w:sz w:val="16"/>
                <w:szCs w:val="16"/>
                <w:color w:val="auto"/>
              </w:rPr>
              <w:t>Description</w:t>
            </w:r>
          </w:p>
        </w:tc>
      </w:tr>
      <w:tr>
        <w:trPr>
          <w:trHeight w:val="172"/>
        </w:trPr>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0F7C7F"/>
            </w:tcBorders>
          </w:tcPr>
          <w:p>
            <w:pPr>
              <w:spacing w:after="0" w:line="172" w:lineRule="exact"/>
              <w:rPr>
                <w:rFonts w:ascii="Arial" w:cs="Arial" w:eastAsia="Arial" w:hAnsi="Arial"/>
                <w:sz w:val="16"/>
                <w:szCs w:val="16"/>
                <w:color w:val="0F7C7F"/>
                <w:w w:val="96"/>
              </w:rPr>
            </w:pPr>
            <w:hyperlink r:id="rId143">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2</w:t>
              </w:r>
            </w:hyperlink>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Molina Healthcare, Inc. 2011 Employee Stock Purchase Plan</w:t>
            </w:r>
          </w:p>
        </w:tc>
      </w:tr>
      <w:tr>
        <w:trPr>
          <w:trHeight w:val="358"/>
        </w:trPr>
        <w:tc>
          <w:tcPr>
            <w:tcW w:w="20" w:type="dxa"/>
            <w:vAlign w:val="bottom"/>
          </w:tcPr>
          <w:p>
            <w:pPr>
              <w:spacing w:after="0"/>
              <w:rPr>
                <w:sz w:val="24"/>
                <w:szCs w:val="24"/>
                <w:color w:val="auto"/>
              </w:rPr>
            </w:pPr>
          </w:p>
        </w:tc>
        <w:tc>
          <w:tcPr>
            <w:tcW w:w="380" w:type="dxa"/>
            <w:vAlign w:val="bottom"/>
            <w:tcBorders>
              <w:bottom w:val="single" w:sz="8" w:color="0F7C7F"/>
            </w:tcBorders>
          </w:tcPr>
          <w:p>
            <w:pPr>
              <w:spacing w:after="0"/>
              <w:rPr>
                <w:rFonts w:ascii="Arial" w:cs="Arial" w:eastAsia="Arial" w:hAnsi="Arial"/>
                <w:sz w:val="16"/>
                <w:szCs w:val="16"/>
                <w:color w:val="0F7C7F"/>
                <w:w w:val="96"/>
              </w:rPr>
            </w:pPr>
            <w:hyperlink r:id="rId144">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3</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Molina Healthcare, Inc. 2011 Equity Incentive Plan</w:t>
            </w:r>
          </w:p>
        </w:tc>
      </w:tr>
      <w:tr>
        <w:trPr>
          <w:trHeight w:val="358"/>
        </w:trPr>
        <w:tc>
          <w:tcPr>
            <w:tcW w:w="20" w:type="dxa"/>
            <w:vAlign w:val="bottom"/>
          </w:tcPr>
          <w:p>
            <w:pPr>
              <w:spacing w:after="0"/>
              <w:rPr>
                <w:sz w:val="24"/>
                <w:szCs w:val="24"/>
                <w:color w:val="auto"/>
              </w:rPr>
            </w:pPr>
          </w:p>
        </w:tc>
        <w:tc>
          <w:tcPr>
            <w:tcW w:w="380" w:type="dxa"/>
            <w:vAlign w:val="bottom"/>
            <w:tcBorders>
              <w:bottom w:val="single" w:sz="8" w:color="0F7C7F"/>
            </w:tcBorders>
          </w:tcPr>
          <w:p>
            <w:pPr>
              <w:spacing w:after="0"/>
              <w:rPr>
                <w:rFonts w:ascii="Arial" w:cs="Arial" w:eastAsia="Arial" w:hAnsi="Arial"/>
                <w:sz w:val="16"/>
                <w:szCs w:val="16"/>
                <w:color w:val="0F7C7F"/>
                <w:w w:val="96"/>
              </w:rPr>
            </w:pPr>
            <w:hyperlink r:id="rId145">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4</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2011 Equity Incentive Plan - Form of Stock Option Agreement (Director)</w:t>
            </w:r>
          </w:p>
        </w:tc>
      </w:tr>
      <w:tr>
        <w:trPr>
          <w:trHeight w:val="358"/>
        </w:trPr>
        <w:tc>
          <w:tcPr>
            <w:tcW w:w="400" w:type="dxa"/>
            <w:vAlign w:val="bottom"/>
            <w:gridSpan w:val="2"/>
          </w:tcPr>
          <w:p>
            <w:pPr>
              <w:ind w:left="20"/>
              <w:spacing w:after="0"/>
              <w:rPr>
                <w:rFonts w:ascii="Arial" w:cs="Arial" w:eastAsia="Arial" w:hAnsi="Arial"/>
                <w:sz w:val="16"/>
                <w:szCs w:val="16"/>
                <w:color w:val="0F7C7F"/>
                <w:w w:val="96"/>
              </w:rPr>
            </w:pPr>
            <w:hyperlink r:id="rId146">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5</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2011 Equity Incentive Plan - Form of Restricted Stock Award Agreement</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(Employee)</w:t>
            </w:r>
          </w:p>
        </w:tc>
      </w:tr>
      <w:tr>
        <w:trPr>
          <w:trHeight w:val="181"/>
        </w:trPr>
        <w:tc>
          <w:tcPr>
            <w:tcW w:w="400" w:type="dxa"/>
            <w:vAlign w:val="bottom"/>
            <w:gridSpan w:val="2"/>
          </w:tcPr>
          <w:p>
            <w:pPr>
              <w:ind w:left="20"/>
              <w:spacing w:after="0" w:line="181" w:lineRule="exact"/>
              <w:rPr>
                <w:rFonts w:ascii="Arial" w:cs="Arial" w:eastAsia="Arial" w:hAnsi="Arial"/>
                <w:sz w:val="16"/>
                <w:szCs w:val="16"/>
                <w:color w:val="0F7C7F"/>
                <w:w w:val="96"/>
              </w:rPr>
            </w:pPr>
            <w:hyperlink r:id="rId147">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6</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2011 Equity Incentive Plan - Form of Performance Unit Award Agreement 1</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(Executive Officer)</w:t>
            </w:r>
          </w:p>
        </w:tc>
      </w:tr>
      <w:tr>
        <w:trPr>
          <w:trHeight w:val="182"/>
        </w:trPr>
        <w:tc>
          <w:tcPr>
            <w:tcW w:w="400" w:type="dxa"/>
            <w:vAlign w:val="bottom"/>
            <w:gridSpan w:val="2"/>
          </w:tcPr>
          <w:p>
            <w:pPr>
              <w:ind w:left="20"/>
              <w:spacing w:after="0" w:line="181" w:lineRule="exact"/>
              <w:rPr>
                <w:rFonts w:ascii="Arial" w:cs="Arial" w:eastAsia="Arial" w:hAnsi="Arial"/>
                <w:sz w:val="16"/>
                <w:szCs w:val="16"/>
                <w:color w:val="0F7C7F"/>
                <w:w w:val="96"/>
              </w:rPr>
            </w:pPr>
            <w:hyperlink r:id="rId148">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2011 Equity Incentive Plan - Form of Performance Unit Award Agreement 2</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(Executive Officer)</w:t>
            </w:r>
          </w:p>
        </w:tc>
      </w:tr>
      <w:tr>
        <w:trPr>
          <w:trHeight w:val="181"/>
        </w:trPr>
        <w:tc>
          <w:tcPr>
            <w:tcW w:w="20" w:type="dxa"/>
            <w:vAlign w:val="bottom"/>
          </w:tcPr>
          <w:p>
            <w:pPr>
              <w:spacing w:after="0"/>
              <w:rPr>
                <w:sz w:val="15"/>
                <w:szCs w:val="15"/>
                <w:color w:val="auto"/>
              </w:rPr>
            </w:pPr>
          </w:p>
        </w:tc>
        <w:tc>
          <w:tcPr>
            <w:tcW w:w="380" w:type="dxa"/>
            <w:vAlign w:val="bottom"/>
            <w:tcBorders>
              <w:bottom w:val="single" w:sz="8" w:color="0F7C7F"/>
            </w:tcBorders>
          </w:tcPr>
          <w:p>
            <w:pPr>
              <w:spacing w:after="0" w:line="181" w:lineRule="exact"/>
              <w:rPr>
                <w:rFonts w:ascii="Arial" w:cs="Arial" w:eastAsia="Arial" w:hAnsi="Arial"/>
                <w:sz w:val="16"/>
                <w:szCs w:val="16"/>
                <w:color w:val="0F7C7F"/>
                <w:w w:val="96"/>
              </w:rPr>
            </w:pPr>
            <w:hyperlink r:id="rId134">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8</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2019 Employee Stock Purchase Plan</w:t>
            </w:r>
          </w:p>
        </w:tc>
      </w:tr>
      <w:tr>
        <w:trPr>
          <w:trHeight w:val="358"/>
        </w:trPr>
        <w:tc>
          <w:tcPr>
            <w:tcW w:w="20" w:type="dxa"/>
            <w:vAlign w:val="bottom"/>
          </w:tcPr>
          <w:p>
            <w:pPr>
              <w:spacing w:after="0"/>
              <w:rPr>
                <w:sz w:val="24"/>
                <w:szCs w:val="24"/>
                <w:color w:val="auto"/>
              </w:rPr>
            </w:pPr>
          </w:p>
        </w:tc>
        <w:tc>
          <w:tcPr>
            <w:tcW w:w="380" w:type="dxa"/>
            <w:vAlign w:val="bottom"/>
            <w:tcBorders>
              <w:bottom w:val="single" w:sz="8" w:color="0F7C7F"/>
            </w:tcBorders>
          </w:tcPr>
          <w:p>
            <w:pPr>
              <w:spacing w:after="0"/>
              <w:rPr>
                <w:rFonts w:ascii="Arial" w:cs="Arial" w:eastAsia="Arial" w:hAnsi="Arial"/>
                <w:sz w:val="16"/>
                <w:szCs w:val="16"/>
                <w:color w:val="0F7C7F"/>
                <w:w w:val="96"/>
              </w:rPr>
            </w:pPr>
            <w:hyperlink r:id="rId134">
              <w:r>
                <w:rPr>
                  <w:rFonts w:ascii="Arial" w:cs="Arial" w:eastAsia="Arial" w:hAnsi="Arial"/>
                  <w:sz w:val="16"/>
                  <w:szCs w:val="16"/>
                  <w:color w:val="0F7C7F"/>
                  <w:w w:val="96"/>
                </w:rPr>
                <w:t>*10.</w:t>
              </w:r>
              <w:r>
                <w:rPr>
                  <w:rFonts w:ascii="Arial" w:cs="Arial" w:eastAsia="Arial" w:hAnsi="Arial"/>
                  <w:sz w:val="16"/>
                  <w:szCs w:val="16"/>
                  <w:u w:val="single" w:color="auto"/>
                  <w:color w:val="0F7C7F"/>
                  <w:w w:val="96"/>
                </w:rPr>
                <w:t>9</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Molina Healthcare, Inc. 2019 Equity Incentive Plan</w:t>
            </w:r>
          </w:p>
        </w:tc>
      </w:tr>
      <w:tr>
        <w:trPr>
          <w:trHeight w:val="358"/>
        </w:trPr>
        <w:tc>
          <w:tcPr>
            <w:tcW w:w="500" w:type="dxa"/>
            <w:vAlign w:val="bottom"/>
            <w:gridSpan w:val="3"/>
          </w:tcPr>
          <w:p>
            <w:pPr>
              <w:ind w:left="20"/>
              <w:spacing w:after="0"/>
              <w:rPr>
                <w:rFonts w:ascii="Arial" w:cs="Arial" w:eastAsia="Arial" w:hAnsi="Arial"/>
                <w:sz w:val="16"/>
                <w:szCs w:val="16"/>
                <w:color w:val="0F7C7F"/>
                <w:w w:val="99"/>
              </w:rPr>
            </w:pPr>
            <w:hyperlink r:id="rId149">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10</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2019 Equity Incentive Plan - Form of Restricted Stock Award Agreement</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(Employee/Officer with No Employment Agreement)</w:t>
            </w:r>
          </w:p>
        </w:tc>
      </w:tr>
      <w:tr>
        <w:trPr>
          <w:trHeight w:val="181"/>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0">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11</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2019 Equity Incentive Plan - Form of Performance Stock Unit Award</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Agreement (Employee/Officer with No Employment Agreement)</w:t>
            </w:r>
          </w:p>
        </w:tc>
      </w:tr>
      <w:tr>
        <w:trPr>
          <w:trHeight w:val="182"/>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1">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12</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2019 Equity Incentive Plan - Form of Restricted Stock Award Agreement</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(Officer with Employment Agreement)</w:t>
            </w:r>
          </w:p>
        </w:tc>
      </w:tr>
      <w:tr>
        <w:trPr>
          <w:trHeight w:val="181"/>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2">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13</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2019 Equity Incentive Plan - Form of Performance Stock Unit Award</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Agreement (Officer with Employment Agreement)</w:t>
            </w:r>
          </w:p>
        </w:tc>
      </w:tr>
      <w:tr>
        <w:trPr>
          <w:trHeight w:val="182"/>
        </w:trPr>
        <w:tc>
          <w:tcPr>
            <w:tcW w:w="500" w:type="dxa"/>
            <w:vAlign w:val="bottom"/>
            <w:gridSpan w:val="3"/>
          </w:tcPr>
          <w:p>
            <w:pPr>
              <w:ind w:left="20"/>
              <w:spacing w:after="0" w:line="181" w:lineRule="exact"/>
              <w:rPr>
                <w:rFonts w:ascii="Arial" w:cs="Arial" w:eastAsia="Arial" w:hAnsi="Arial"/>
                <w:sz w:val="16"/>
                <w:szCs w:val="16"/>
                <w:color w:val="0F7C7F"/>
                <w:w w:val="99"/>
              </w:rPr>
            </w:pPr>
            <w:hyperlink w:anchor="page109">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14</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Molina Healthcare, Inc. Second Amended and Restated Change in Control</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Severance Plan</w:t>
            </w:r>
          </w:p>
        </w:tc>
      </w:tr>
      <w:tr>
        <w:trPr>
          <w:trHeight w:val="181"/>
        </w:trPr>
        <w:tc>
          <w:tcPr>
            <w:tcW w:w="20" w:type="dxa"/>
            <w:vAlign w:val="bottom"/>
          </w:tcPr>
          <w:p>
            <w:pPr>
              <w:spacing w:after="0"/>
              <w:rPr>
                <w:sz w:val="15"/>
                <w:szCs w:val="15"/>
                <w:color w:val="auto"/>
              </w:rPr>
            </w:pPr>
          </w:p>
        </w:tc>
        <w:tc>
          <w:tcPr>
            <w:tcW w:w="480" w:type="dxa"/>
            <w:vAlign w:val="bottom"/>
            <w:tcBorders>
              <w:bottom w:val="single" w:sz="8" w:color="0F7C7F"/>
            </w:tcBorders>
            <w:gridSpan w:val="2"/>
          </w:tcPr>
          <w:p>
            <w:pPr>
              <w:spacing w:after="0" w:line="181" w:lineRule="exact"/>
              <w:rPr>
                <w:rFonts w:ascii="Arial" w:cs="Arial" w:eastAsia="Arial" w:hAnsi="Arial"/>
                <w:sz w:val="16"/>
                <w:szCs w:val="16"/>
                <w:color w:val="0F7C7F"/>
                <w:w w:val="99"/>
              </w:rPr>
            </w:pPr>
            <w:hyperlink r:id="rId153">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15</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Form of Indemnification Agreement</w:t>
            </w:r>
          </w:p>
        </w:tc>
      </w:tr>
      <w:tr>
        <w:trPr>
          <w:trHeight w:val="358"/>
        </w:trPr>
        <w:tc>
          <w:tcPr>
            <w:tcW w:w="500" w:type="dxa"/>
            <w:vAlign w:val="bottom"/>
            <w:gridSpan w:val="3"/>
          </w:tcPr>
          <w:p>
            <w:pPr>
              <w:ind w:left="20"/>
              <w:spacing w:after="0"/>
              <w:rPr>
                <w:rFonts w:ascii="Arial" w:cs="Arial" w:eastAsia="Arial" w:hAnsi="Arial"/>
                <w:sz w:val="16"/>
                <w:szCs w:val="16"/>
                <w:color w:val="0F7C7F"/>
                <w:w w:val="99"/>
              </w:rPr>
            </w:pPr>
            <w:hyperlink r:id="rId154">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16</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Molina Healthcare, Inc. Amended and Restated Deferred Compensation</w:t>
            </w:r>
          </w:p>
        </w:tc>
      </w:tr>
      <w:tr>
        <w:trPr>
          <w:trHeight w:val="176"/>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Plan (2018)</w:t>
            </w:r>
          </w:p>
        </w:tc>
      </w:tr>
      <w:tr>
        <w:trPr>
          <w:trHeight w:val="182"/>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5">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17</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Amendment No. One to the Molina Healthcare, Inc. Amended and Restated</w:t>
            </w:r>
          </w:p>
        </w:tc>
      </w:tr>
      <w:tr>
        <w:trPr>
          <w:trHeight w:val="176"/>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Deferred Compensation Plan (2018)</w:t>
            </w:r>
          </w:p>
        </w:tc>
      </w:tr>
      <w:tr>
        <w:trPr>
          <w:trHeight w:val="183"/>
        </w:trPr>
        <w:tc>
          <w:tcPr>
            <w:tcW w:w="500" w:type="dxa"/>
            <w:vAlign w:val="bottom"/>
            <w:gridSpan w:val="3"/>
          </w:tcPr>
          <w:p>
            <w:pPr>
              <w:ind w:left="20"/>
              <w:spacing w:after="0"/>
              <w:rPr>
                <w:rFonts w:ascii="Arial" w:cs="Arial" w:eastAsia="Arial" w:hAnsi="Arial"/>
                <w:sz w:val="16"/>
                <w:szCs w:val="16"/>
                <w:u w:val="single" w:color="auto"/>
                <w:color w:val="0F7C7F"/>
                <w:w w:val="99"/>
              </w:rPr>
            </w:pPr>
            <w:hyperlink w:anchor="page127">
              <w:r>
                <w:rPr>
                  <w:rFonts w:ascii="Arial" w:cs="Arial" w:eastAsia="Arial" w:hAnsi="Arial"/>
                  <w:sz w:val="16"/>
                  <w:szCs w:val="16"/>
                  <w:u w:val="single" w:color="auto"/>
                  <w:color w:val="0F7C7F"/>
                  <w:w w:val="99"/>
                </w:rPr>
                <w:t>*10.18</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Amendment No. Two to the Molina Healthcare, Inc. Amended and Restated</w:t>
            </w: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Deferred Compensation Plan (2018)</w:t>
            </w:r>
          </w:p>
        </w:tc>
      </w:tr>
      <w:tr>
        <w:trPr>
          <w:trHeight w:val="182"/>
        </w:trPr>
        <w:tc>
          <w:tcPr>
            <w:tcW w:w="20" w:type="dxa"/>
            <w:vAlign w:val="bottom"/>
          </w:tcPr>
          <w:p>
            <w:pPr>
              <w:spacing w:after="0"/>
              <w:rPr>
                <w:sz w:val="15"/>
                <w:szCs w:val="15"/>
                <w:color w:val="auto"/>
              </w:rPr>
            </w:pPr>
          </w:p>
        </w:tc>
        <w:tc>
          <w:tcPr>
            <w:tcW w:w="480" w:type="dxa"/>
            <w:vAlign w:val="bottom"/>
            <w:tcBorders>
              <w:bottom w:val="single" w:sz="8" w:color="0F7C7F"/>
            </w:tcBorders>
            <w:gridSpan w:val="2"/>
          </w:tcPr>
          <w:p>
            <w:pPr>
              <w:spacing w:after="0" w:line="181" w:lineRule="exact"/>
              <w:rPr>
                <w:rFonts w:ascii="Arial" w:cs="Arial" w:eastAsia="Arial" w:hAnsi="Arial"/>
                <w:sz w:val="16"/>
                <w:szCs w:val="16"/>
                <w:color w:val="0F7C7F"/>
                <w:w w:val="99"/>
              </w:rPr>
            </w:pPr>
            <w:hyperlink r:id="rId156">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19</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Employment Agreement with Jeff Barlow dated June 14, 2013</w:t>
            </w:r>
          </w:p>
        </w:tc>
      </w:tr>
      <w:tr>
        <w:trPr>
          <w:trHeight w:val="358"/>
        </w:trPr>
        <w:tc>
          <w:tcPr>
            <w:tcW w:w="500" w:type="dxa"/>
            <w:vAlign w:val="bottom"/>
            <w:gridSpan w:val="3"/>
          </w:tcPr>
          <w:p>
            <w:pPr>
              <w:ind w:left="20"/>
              <w:spacing w:after="0"/>
              <w:rPr>
                <w:rFonts w:ascii="Arial" w:cs="Arial" w:eastAsia="Arial" w:hAnsi="Arial"/>
                <w:sz w:val="16"/>
                <w:szCs w:val="16"/>
                <w:color w:val="0F7C7F"/>
                <w:w w:val="99"/>
              </w:rPr>
            </w:pPr>
            <w:hyperlink r:id="rId157">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20</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Change in Control Agreement with Jeff D. Barlow, dated as of September</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18, 2012</w:t>
            </w:r>
          </w:p>
        </w:tc>
      </w:tr>
      <w:tr>
        <w:trPr>
          <w:trHeight w:val="181"/>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8">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21</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Employment Agreement, dated October 9, 2017, by and between Molina</w:t>
            </w:r>
          </w:p>
        </w:tc>
      </w:tr>
      <w:tr>
        <w:trPr>
          <w:trHeight w:val="177"/>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Healthcare, Inc. and Joseph M. Zubretsky</w:t>
            </w:r>
          </w:p>
        </w:tc>
      </w:tr>
      <w:tr>
        <w:trPr>
          <w:trHeight w:val="182"/>
        </w:trPr>
        <w:tc>
          <w:tcPr>
            <w:tcW w:w="500" w:type="dxa"/>
            <w:vAlign w:val="bottom"/>
            <w:gridSpan w:val="3"/>
          </w:tcPr>
          <w:p>
            <w:pPr>
              <w:ind w:left="20"/>
              <w:spacing w:after="0" w:line="181" w:lineRule="exact"/>
              <w:rPr>
                <w:rFonts w:ascii="Arial" w:cs="Arial" w:eastAsia="Arial" w:hAnsi="Arial"/>
                <w:sz w:val="16"/>
                <w:szCs w:val="16"/>
                <w:color w:val="0F7C7F"/>
                <w:w w:val="99"/>
              </w:rPr>
            </w:pPr>
            <w:hyperlink r:id="rId159">
              <w:r>
                <w:rPr>
                  <w:rFonts w:ascii="Arial" w:cs="Arial" w:eastAsia="Arial" w:hAnsi="Arial"/>
                  <w:sz w:val="16"/>
                  <w:szCs w:val="16"/>
                  <w:color w:val="0F7C7F"/>
                  <w:w w:val="99"/>
                </w:rPr>
                <w:t>*10.</w:t>
              </w:r>
              <w:r>
                <w:rPr>
                  <w:rFonts w:ascii="Arial" w:cs="Arial" w:eastAsia="Arial" w:hAnsi="Arial"/>
                  <w:sz w:val="16"/>
                  <w:szCs w:val="16"/>
                  <w:u w:val="single" w:color="auto"/>
                  <w:color w:val="0F7C7F"/>
                  <w:w w:val="99"/>
                </w:rPr>
                <w:t>22</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Offer Letter, dated May 4, 2018, by and between Molina Healthcare, Inc.</w:t>
            </w:r>
          </w:p>
        </w:tc>
      </w:tr>
      <w:tr>
        <w:trPr>
          <w:trHeight w:val="176"/>
        </w:trPr>
        <w:tc>
          <w:tcPr>
            <w:tcW w:w="20" w:type="dxa"/>
            <w:vAlign w:val="bottom"/>
          </w:tcPr>
          <w:p>
            <w:pPr>
              <w:spacing w:after="0"/>
              <w:rPr>
                <w:sz w:val="15"/>
                <w:szCs w:val="15"/>
                <w:color w:val="auto"/>
              </w:rPr>
            </w:pPr>
          </w:p>
        </w:tc>
        <w:tc>
          <w:tcPr>
            <w:tcW w:w="380" w:type="dxa"/>
            <w:vAlign w:val="bottom"/>
            <w:tcBorders>
              <w:top w:val="single" w:sz="8" w:color="0F7C7F"/>
            </w:tcBorders>
          </w:tcPr>
          <w:p>
            <w:pPr>
              <w:spacing w:after="0"/>
              <w:rPr>
                <w:sz w:val="15"/>
                <w:szCs w:val="15"/>
                <w:color w:val="auto"/>
              </w:rPr>
            </w:pPr>
          </w:p>
        </w:tc>
        <w:tc>
          <w:tcPr>
            <w:tcW w:w="100" w:type="dxa"/>
            <w:vAlign w:val="bottom"/>
            <w:tcBorders>
              <w:top w:val="single" w:sz="8" w:color="0F7C7F"/>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Arial" w:cs="Arial" w:eastAsia="Arial" w:hAnsi="Arial"/>
                <w:sz w:val="16"/>
                <w:szCs w:val="16"/>
                <w:color w:val="auto"/>
              </w:rPr>
              <w:t>and Thomas L. Tran</w:t>
            </w:r>
          </w:p>
        </w:tc>
      </w:tr>
      <w:tr>
        <w:trPr>
          <w:trHeight w:val="182"/>
        </w:trPr>
        <w:tc>
          <w:tcPr>
            <w:tcW w:w="1040" w:type="dxa"/>
            <w:vAlign w:val="bottom"/>
            <w:gridSpan w:val="5"/>
          </w:tcPr>
          <w:p>
            <w:pPr>
              <w:ind w:left="20"/>
              <w:spacing w:after="0" w:line="181" w:lineRule="exact"/>
              <w:rPr>
                <w:rFonts w:ascii="Arial" w:cs="Arial" w:eastAsia="Arial" w:hAnsi="Arial"/>
                <w:sz w:val="16"/>
                <w:szCs w:val="16"/>
                <w:color w:val="0F7C7F"/>
              </w:rPr>
            </w:pPr>
            <w:hyperlink r:id="rId160">
              <w:r>
                <w:rPr>
                  <w:rFonts w:ascii="Arial" w:cs="Arial" w:eastAsia="Arial" w:hAnsi="Arial"/>
                  <w:sz w:val="16"/>
                  <w:szCs w:val="16"/>
                  <w:color w:val="0F7C7F"/>
                </w:rPr>
                <w:t>+10.</w:t>
              </w:r>
              <w:r>
                <w:rPr>
                  <w:rFonts w:ascii="Arial" w:cs="Arial" w:eastAsia="Arial" w:hAnsi="Arial"/>
                  <w:sz w:val="16"/>
                  <w:szCs w:val="16"/>
                  <w:u w:val="single" w:color="auto"/>
                  <w:color w:val="0F7C7F"/>
                </w:rPr>
                <w:t>23</w:t>
              </w:r>
            </w:hyperlink>
          </w:p>
        </w:tc>
        <w:tc>
          <w:tcPr>
            <w:tcW w:w="100" w:type="dxa"/>
            <w:vAlign w:val="bottom"/>
          </w:tcPr>
          <w:p>
            <w:pPr>
              <w:spacing w:after="0"/>
              <w:rPr>
                <w:sz w:val="15"/>
                <w:szCs w:val="15"/>
                <w:color w:val="auto"/>
              </w:rPr>
            </w:pPr>
          </w:p>
        </w:tc>
        <w:tc>
          <w:tcPr>
            <w:tcW w:w="5520" w:type="dxa"/>
            <w:vAlign w:val="bottom"/>
          </w:tcPr>
          <w:p>
            <w:pPr>
              <w:ind w:left="20"/>
              <w:spacing w:after="0" w:line="181" w:lineRule="exact"/>
              <w:rPr>
                <w:sz w:val="20"/>
                <w:szCs w:val="20"/>
                <w:color w:val="auto"/>
              </w:rPr>
            </w:pPr>
            <w:r>
              <w:rPr>
                <w:rFonts w:ascii="Arial" w:cs="Arial" w:eastAsia="Arial" w:hAnsi="Arial"/>
                <w:sz w:val="16"/>
                <w:szCs w:val="16"/>
                <w:color w:val="auto"/>
              </w:rPr>
              <w:t>Master Services Agreement for Information Technology Services, dated</w:t>
            </w:r>
          </w:p>
        </w:tc>
      </w:tr>
      <w:tr>
        <w:trPr>
          <w:trHeight w:val="144"/>
        </w:trPr>
        <w:tc>
          <w:tcPr>
            <w:tcW w:w="20" w:type="dxa"/>
            <w:vAlign w:val="bottom"/>
          </w:tcPr>
          <w:p>
            <w:pPr>
              <w:spacing w:after="0"/>
              <w:rPr>
                <w:sz w:val="12"/>
                <w:szCs w:val="12"/>
                <w:color w:val="auto"/>
              </w:rPr>
            </w:pPr>
          </w:p>
        </w:tc>
        <w:tc>
          <w:tcPr>
            <w:tcW w:w="380" w:type="dxa"/>
            <w:vAlign w:val="bottom"/>
            <w:tcBorders>
              <w:top w:val="single" w:sz="8" w:color="0F7C7F"/>
            </w:tcBorders>
          </w:tcPr>
          <w:p>
            <w:pPr>
              <w:spacing w:after="0"/>
              <w:rPr>
                <w:sz w:val="12"/>
                <w:szCs w:val="12"/>
                <w:color w:val="auto"/>
              </w:rPr>
            </w:pPr>
          </w:p>
        </w:tc>
        <w:tc>
          <w:tcPr>
            <w:tcW w:w="10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20" w:type="dxa"/>
            <w:vAlign w:val="bottom"/>
          </w:tcPr>
          <w:p>
            <w:pPr>
              <w:ind w:left="20"/>
              <w:spacing w:after="0" w:line="144" w:lineRule="exact"/>
              <w:rPr>
                <w:sz w:val="20"/>
                <w:szCs w:val="20"/>
                <w:color w:val="auto"/>
              </w:rPr>
            </w:pPr>
            <w:r>
              <w:rPr>
                <w:rFonts w:ascii="Arial" w:cs="Arial" w:eastAsia="Arial" w:hAnsi="Arial"/>
                <w:sz w:val="16"/>
                <w:szCs w:val="16"/>
                <w:color w:val="auto"/>
              </w:rPr>
              <w:t>February 4, 2019, by and between Molina Healthcare, Inc. and Infosys</w:t>
            </w: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Limited</w:t>
            </w:r>
          </w:p>
        </w:tc>
      </w:tr>
      <w:tr>
        <w:trPr>
          <w:trHeight w:val="183"/>
        </w:trPr>
        <w:tc>
          <w:tcPr>
            <w:tcW w:w="500" w:type="dxa"/>
            <w:vAlign w:val="bottom"/>
            <w:gridSpan w:val="3"/>
          </w:tcPr>
          <w:p>
            <w:pPr>
              <w:ind w:left="20"/>
              <w:spacing w:after="0"/>
              <w:rPr>
                <w:rFonts w:ascii="Arial" w:cs="Arial" w:eastAsia="Arial" w:hAnsi="Arial"/>
                <w:sz w:val="16"/>
                <w:szCs w:val="16"/>
                <w:u w:val="single" w:color="auto"/>
                <w:color w:val="0F7C7F"/>
              </w:rPr>
            </w:pPr>
            <w:hyperlink r:id="rId161">
              <w:r>
                <w:rPr>
                  <w:rFonts w:ascii="Arial" w:cs="Arial" w:eastAsia="Arial" w:hAnsi="Arial"/>
                  <w:sz w:val="16"/>
                  <w:szCs w:val="16"/>
                  <w:u w:val="single" w:color="auto"/>
                  <w:color w:val="0F7C7F"/>
                </w:rPr>
                <w:t>10.24</w:t>
              </w:r>
            </w:hyperlink>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First Amendment, dated August 1, 2019, to the Master Services Agreement</w:t>
            </w: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20" w:type="dxa"/>
            <w:vAlign w:val="bottom"/>
          </w:tcPr>
          <w:p>
            <w:pPr>
              <w:ind w:left="20"/>
              <w:spacing w:after="0" w:line="162" w:lineRule="exact"/>
              <w:rPr>
                <w:sz w:val="20"/>
                <w:szCs w:val="20"/>
                <w:color w:val="auto"/>
              </w:rPr>
            </w:pPr>
            <w:r>
              <w:rPr>
                <w:rFonts w:ascii="Arial" w:cs="Arial" w:eastAsia="Arial" w:hAnsi="Arial"/>
                <w:sz w:val="16"/>
                <w:szCs w:val="16"/>
                <w:color w:val="auto"/>
              </w:rPr>
              <w:t>for Information Technology Services, dated February 4, 2019, by and</w:t>
            </w: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between Molina Healthcare, Inc. and Infosys Limited</w:t>
            </w:r>
          </w:p>
        </w:tc>
      </w:tr>
      <w:tr>
        <w:trPr>
          <w:trHeight w:val="216"/>
        </w:trPr>
        <w:tc>
          <w:tcPr>
            <w:tcW w:w="400" w:type="dxa"/>
            <w:vAlign w:val="bottom"/>
            <w:gridSpan w:val="2"/>
          </w:tcPr>
          <w:p>
            <w:pPr>
              <w:ind w:left="20"/>
              <w:spacing w:after="0"/>
              <w:rPr>
                <w:rFonts w:ascii="Arial" w:cs="Arial" w:eastAsia="Arial" w:hAnsi="Arial"/>
                <w:sz w:val="16"/>
                <w:szCs w:val="16"/>
                <w:u w:val="single" w:color="auto"/>
                <w:color w:val="0F7C7F"/>
              </w:rPr>
            </w:pPr>
            <w:hyperlink w:anchor="page128">
              <w:r>
                <w:rPr>
                  <w:rFonts w:ascii="Arial" w:cs="Arial" w:eastAsia="Arial" w:hAnsi="Arial"/>
                  <w:sz w:val="16"/>
                  <w:szCs w:val="16"/>
                  <w:u w:val="single" w:color="auto"/>
                  <w:color w:val="0F7C7F"/>
                </w:rPr>
                <w:t>21.1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List of subsidiaries</w:t>
            </w:r>
          </w:p>
        </w:tc>
      </w:tr>
      <w:tr>
        <w:trPr>
          <w:trHeight w:val="216"/>
        </w:trPr>
        <w:tc>
          <w:tcPr>
            <w:tcW w:w="400" w:type="dxa"/>
            <w:vAlign w:val="bottom"/>
            <w:gridSpan w:val="2"/>
          </w:tcPr>
          <w:p>
            <w:pPr>
              <w:ind w:left="20"/>
              <w:spacing w:after="0"/>
              <w:rPr>
                <w:rFonts w:ascii="Arial" w:cs="Arial" w:eastAsia="Arial" w:hAnsi="Arial"/>
                <w:sz w:val="16"/>
                <w:szCs w:val="16"/>
                <w:u w:val="single" w:color="auto"/>
                <w:color w:val="0F7C7F"/>
              </w:rPr>
            </w:pPr>
            <w:hyperlink w:anchor="page130">
              <w:r>
                <w:rPr>
                  <w:rFonts w:ascii="Arial" w:cs="Arial" w:eastAsia="Arial" w:hAnsi="Arial"/>
                  <w:sz w:val="16"/>
                  <w:szCs w:val="16"/>
                  <w:u w:val="single" w:color="auto"/>
                  <w:color w:val="0F7C7F"/>
                </w:rPr>
                <w:t>23.1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16"/>
        </w:trPr>
        <w:tc>
          <w:tcPr>
            <w:tcW w:w="400" w:type="dxa"/>
            <w:vAlign w:val="bottom"/>
            <w:gridSpan w:val="2"/>
          </w:tcPr>
          <w:p>
            <w:pPr>
              <w:ind w:left="20"/>
              <w:spacing w:after="0"/>
              <w:rPr>
                <w:rFonts w:ascii="Arial" w:cs="Arial" w:eastAsia="Arial" w:hAnsi="Arial"/>
                <w:sz w:val="16"/>
                <w:szCs w:val="16"/>
                <w:u w:val="single" w:color="auto"/>
                <w:color w:val="0F7C7F"/>
              </w:rPr>
            </w:pPr>
            <w:hyperlink w:anchor="page131">
              <w:r>
                <w:rPr>
                  <w:rFonts w:ascii="Arial" w:cs="Arial" w:eastAsia="Arial" w:hAnsi="Arial"/>
                  <w:sz w:val="16"/>
                  <w:szCs w:val="16"/>
                  <w:u w:val="single" w:color="auto"/>
                  <w:color w:val="0F7C7F"/>
                </w:rPr>
                <w:t>31.1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Section 302 Certification of Chief Executive Officer</w:t>
            </w:r>
          </w:p>
        </w:tc>
      </w:tr>
      <w:tr>
        <w:trPr>
          <w:trHeight w:val="216"/>
        </w:trPr>
        <w:tc>
          <w:tcPr>
            <w:tcW w:w="400" w:type="dxa"/>
            <w:vAlign w:val="bottom"/>
            <w:gridSpan w:val="2"/>
          </w:tcPr>
          <w:p>
            <w:pPr>
              <w:ind w:left="20"/>
              <w:spacing w:after="0"/>
              <w:rPr>
                <w:rFonts w:ascii="Arial" w:cs="Arial" w:eastAsia="Arial" w:hAnsi="Arial"/>
                <w:sz w:val="16"/>
                <w:szCs w:val="16"/>
                <w:u w:val="single" w:color="auto"/>
                <w:color w:val="0F7C7F"/>
              </w:rPr>
            </w:pPr>
            <w:hyperlink w:anchor="page132">
              <w:r>
                <w:rPr>
                  <w:rFonts w:ascii="Arial" w:cs="Arial" w:eastAsia="Arial" w:hAnsi="Arial"/>
                  <w:sz w:val="16"/>
                  <w:szCs w:val="16"/>
                  <w:u w:val="single" w:color="auto"/>
                  <w:color w:val="0F7C7F"/>
                </w:rPr>
                <w:t>31.2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Section 302 Certification of Chief Financial Officer</w:t>
            </w:r>
          </w:p>
        </w:tc>
      </w:tr>
      <w:tr>
        <w:trPr>
          <w:trHeight w:val="183"/>
        </w:trPr>
        <w:tc>
          <w:tcPr>
            <w:tcW w:w="400" w:type="dxa"/>
            <w:vAlign w:val="bottom"/>
            <w:gridSpan w:val="2"/>
          </w:tcPr>
          <w:p>
            <w:pPr>
              <w:ind w:left="20"/>
              <w:spacing w:after="0"/>
              <w:rPr>
                <w:rFonts w:ascii="Arial" w:cs="Arial" w:eastAsia="Arial" w:hAnsi="Arial"/>
                <w:sz w:val="16"/>
                <w:szCs w:val="16"/>
                <w:u w:val="single" w:color="auto"/>
                <w:color w:val="0F7C7F"/>
              </w:rPr>
            </w:pPr>
            <w:hyperlink w:anchor="page133">
              <w:r>
                <w:rPr>
                  <w:rFonts w:ascii="Arial" w:cs="Arial" w:eastAsia="Arial" w:hAnsi="Arial"/>
                  <w:sz w:val="16"/>
                  <w:szCs w:val="16"/>
                  <w:u w:val="single" w:color="auto"/>
                  <w:color w:val="0F7C7F"/>
                </w:rPr>
                <w:t>32.1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Certificate of Chief Executive Officer pursuant to 18 U.S.C. Section 1350, as</w:t>
            </w: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20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6"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Filed as Exhibit 10.6 to registrant’s Form 10-K filed February 26, 2015</w:t>
      </w:r>
    </w:p>
    <w:p>
      <w:pPr>
        <w:spacing w:after="0" w:line="22" w:lineRule="exact"/>
        <w:rPr>
          <w:sz w:val="20"/>
          <w:szCs w:val="20"/>
          <w:color w:val="auto"/>
        </w:rPr>
      </w:pPr>
    </w:p>
    <w:p>
      <w:pPr>
        <w:ind w:right="140"/>
        <w:spacing w:after="0" w:line="232" w:lineRule="auto"/>
        <w:rPr>
          <w:sz w:val="20"/>
          <w:szCs w:val="20"/>
          <w:color w:val="auto"/>
        </w:rPr>
      </w:pPr>
      <w:r>
        <w:rPr>
          <w:rFonts w:ascii="Arial" w:cs="Arial" w:eastAsia="Arial" w:hAnsi="Arial"/>
          <w:sz w:val="16"/>
          <w:szCs w:val="16"/>
          <w:color w:val="auto"/>
        </w:rPr>
        <w:t>Filed as Exhibit 10.8 to registrant’s Form 10-K filed February 26, 2014</w:t>
      </w:r>
    </w:p>
    <w:p>
      <w:pPr>
        <w:spacing w:after="0" w:line="2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Filed as Exhibit 10.2 to registrant’s Form 10-Q filed May 4, 2017</w:t>
      </w:r>
    </w:p>
    <w:p>
      <w:pPr>
        <w:spacing w:after="0" w:line="2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Filed as Exhibit 10.3 to registrant’s Form 10-Q filed May 4, 2017</w:t>
      </w:r>
    </w:p>
    <w:p>
      <w:pPr>
        <w:spacing w:after="0" w:line="2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Filed as Exhibit 10.4 to registrant’s Form 10-Q filed May 4, 2017</w:t>
      </w:r>
    </w:p>
    <w:p>
      <w:pPr>
        <w:spacing w:after="0" w:line="2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Filed as Exhibit 10.5 to registrant’s Form 10-Q filed May 4, 2017</w:t>
      </w:r>
    </w:p>
    <w:p>
      <w:pPr>
        <w:spacing w:after="0" w:line="22" w:lineRule="exact"/>
        <w:rPr>
          <w:sz w:val="20"/>
          <w:szCs w:val="20"/>
          <w:color w:val="auto"/>
        </w:rPr>
      </w:pPr>
    </w:p>
    <w:p>
      <w:pPr>
        <w:ind w:right="820"/>
        <w:spacing w:after="0" w:line="232" w:lineRule="auto"/>
        <w:rPr>
          <w:sz w:val="20"/>
          <w:szCs w:val="20"/>
          <w:color w:val="auto"/>
        </w:rPr>
      </w:pPr>
      <w:r>
        <w:rPr>
          <w:rFonts w:ascii="Arial" w:cs="Arial" w:eastAsia="Arial" w:hAnsi="Arial"/>
          <w:sz w:val="16"/>
          <w:szCs w:val="16"/>
          <w:color w:val="auto"/>
        </w:rPr>
        <w:t>Filed as Appendix C to registrant’s Definitive Proxy Statement on Form DEF 14A filed March 25, 2019</w:t>
      </w:r>
    </w:p>
    <w:p>
      <w:pPr>
        <w:spacing w:after="0" w:line="22" w:lineRule="exact"/>
        <w:rPr>
          <w:sz w:val="20"/>
          <w:szCs w:val="20"/>
          <w:color w:val="auto"/>
        </w:rPr>
      </w:pPr>
    </w:p>
    <w:p>
      <w:pPr>
        <w:ind w:right="820"/>
        <w:spacing w:after="0" w:line="232" w:lineRule="auto"/>
        <w:rPr>
          <w:sz w:val="20"/>
          <w:szCs w:val="20"/>
          <w:color w:val="auto"/>
        </w:rPr>
      </w:pPr>
      <w:r>
        <w:rPr>
          <w:rFonts w:ascii="Arial" w:cs="Arial" w:eastAsia="Arial" w:hAnsi="Arial"/>
          <w:sz w:val="16"/>
          <w:szCs w:val="16"/>
          <w:color w:val="auto"/>
        </w:rPr>
        <w:t>Filed as Appendix B to registrant’s Definitive Proxy Statement on Form DEF 14A filed March 25, 2019</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10.1 to registrant’s Form 10-Q filed July 31, 2019</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10.2 to registrant’s Form 10-Q filed July 31, 2019</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10.3 to registrant’s Form 10-Q filed July 31, 2019</w:t>
      </w:r>
    </w:p>
    <w:p>
      <w:pPr>
        <w:spacing w:after="0" w:line="22" w:lineRule="exact"/>
        <w:rPr>
          <w:sz w:val="20"/>
          <w:szCs w:val="20"/>
          <w:color w:val="auto"/>
        </w:rPr>
      </w:pPr>
    </w:p>
    <w:p>
      <w:pPr>
        <w:ind w:right="200"/>
        <w:spacing w:after="0" w:line="232" w:lineRule="auto"/>
        <w:rPr>
          <w:sz w:val="20"/>
          <w:szCs w:val="20"/>
          <w:color w:val="auto"/>
        </w:rPr>
      </w:pPr>
      <w:r>
        <w:rPr>
          <w:rFonts w:ascii="Arial" w:cs="Arial" w:eastAsia="Arial" w:hAnsi="Arial"/>
          <w:sz w:val="16"/>
          <w:szCs w:val="16"/>
          <w:color w:val="auto"/>
        </w:rPr>
        <w:t>Filed as Exhibit 10.4 to registrant’s Form 10-Q filed July 31, 2019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Filed as Exhibit 10.14 to registrant’s Form 10-K filed March 14, 2007</w:t>
      </w:r>
    </w:p>
    <w:p>
      <w:pPr>
        <w:spacing w:after="0" w:line="22"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Filed as Exhibit 10.2 to registrant’s Form 10-Q filed August 1, 2018</w:t>
      </w:r>
    </w:p>
    <w:p>
      <w:pPr>
        <w:spacing w:after="0" w:line="22" w:lineRule="exact"/>
        <w:rPr>
          <w:sz w:val="20"/>
          <w:szCs w:val="20"/>
          <w:color w:val="auto"/>
        </w:rPr>
      </w:pPr>
    </w:p>
    <w:p>
      <w:pPr>
        <w:ind w:right="740"/>
        <w:spacing w:after="0" w:line="232" w:lineRule="auto"/>
        <w:rPr>
          <w:sz w:val="20"/>
          <w:szCs w:val="20"/>
          <w:color w:val="auto"/>
        </w:rPr>
      </w:pPr>
      <w:r>
        <w:rPr>
          <w:rFonts w:ascii="Arial" w:cs="Arial" w:eastAsia="Arial" w:hAnsi="Arial"/>
          <w:sz w:val="16"/>
          <w:szCs w:val="16"/>
          <w:color w:val="auto"/>
        </w:rPr>
        <w:t>Filed as Exhibit 10.25 to registrant’s Form 10-K filed February 14, 2020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Filed as Exhibit 10.3 to registrant’s Form 8-K filed June 14, 2013</w:t>
      </w:r>
    </w:p>
    <w:p>
      <w:pPr>
        <w:spacing w:after="0" w:line="22" w:lineRule="exact"/>
        <w:rPr>
          <w:sz w:val="20"/>
          <w:szCs w:val="20"/>
          <w:color w:val="auto"/>
        </w:rPr>
      </w:pPr>
    </w:p>
    <w:p>
      <w:pPr>
        <w:ind w:right="740"/>
        <w:spacing w:after="0" w:line="232" w:lineRule="auto"/>
        <w:rPr>
          <w:sz w:val="20"/>
          <w:szCs w:val="20"/>
          <w:color w:val="auto"/>
        </w:rPr>
      </w:pPr>
      <w:r>
        <w:rPr>
          <w:rFonts w:ascii="Arial" w:cs="Arial" w:eastAsia="Arial" w:hAnsi="Arial"/>
          <w:sz w:val="16"/>
          <w:szCs w:val="16"/>
          <w:color w:val="auto"/>
        </w:rPr>
        <w:t>Filed as Exhibit 10.16 to registrant’s Form 10-K filed February 28, 2013</w:t>
      </w:r>
    </w:p>
    <w:p>
      <w:pPr>
        <w:spacing w:after="0" w:line="22" w:lineRule="exact"/>
        <w:rPr>
          <w:sz w:val="20"/>
          <w:szCs w:val="20"/>
          <w:color w:val="auto"/>
        </w:rPr>
      </w:pPr>
    </w:p>
    <w:p>
      <w:pPr>
        <w:ind w:right="300"/>
        <w:spacing w:after="0" w:line="232" w:lineRule="auto"/>
        <w:rPr>
          <w:sz w:val="20"/>
          <w:szCs w:val="20"/>
          <w:color w:val="auto"/>
        </w:rPr>
      </w:pPr>
      <w:r>
        <w:rPr>
          <w:rFonts w:ascii="Arial" w:cs="Arial" w:eastAsia="Arial" w:hAnsi="Arial"/>
          <w:sz w:val="16"/>
          <w:szCs w:val="16"/>
          <w:color w:val="auto"/>
        </w:rPr>
        <w:t>Filed as Exhibit 10.1 to registrant’s Form 8-K filed October 10, 2017</w:t>
      </w:r>
    </w:p>
    <w:p>
      <w:pPr>
        <w:spacing w:after="0" w:line="22" w:lineRule="exact"/>
        <w:rPr>
          <w:sz w:val="20"/>
          <w:szCs w:val="20"/>
          <w:color w:val="auto"/>
        </w:rPr>
      </w:pPr>
    </w:p>
    <w:p>
      <w:pPr>
        <w:ind w:right="300"/>
        <w:spacing w:after="0" w:line="232" w:lineRule="auto"/>
        <w:rPr>
          <w:sz w:val="20"/>
          <w:szCs w:val="20"/>
          <w:color w:val="auto"/>
        </w:rPr>
      </w:pPr>
      <w:r>
        <w:rPr>
          <w:rFonts w:ascii="Arial" w:cs="Arial" w:eastAsia="Arial" w:hAnsi="Arial"/>
          <w:sz w:val="16"/>
          <w:szCs w:val="16"/>
          <w:color w:val="auto"/>
        </w:rPr>
        <w:t>Filed as Exhibit 10.1 to registrant’s Form 8-K filed May 24, 2018</w:t>
      </w:r>
    </w:p>
    <w:p>
      <w:pPr>
        <w:spacing w:after="0" w:line="22" w:lineRule="exact"/>
        <w:rPr>
          <w:sz w:val="20"/>
          <w:szCs w:val="20"/>
          <w:color w:val="auto"/>
        </w:rPr>
      </w:pPr>
    </w:p>
    <w:p>
      <w:pPr>
        <w:ind w:right="740"/>
        <w:spacing w:after="0" w:line="232" w:lineRule="auto"/>
        <w:rPr>
          <w:sz w:val="20"/>
          <w:szCs w:val="20"/>
          <w:color w:val="auto"/>
        </w:rPr>
      </w:pPr>
      <w:r>
        <w:rPr>
          <w:rFonts w:ascii="Arial" w:cs="Arial" w:eastAsia="Arial" w:hAnsi="Arial"/>
          <w:sz w:val="16"/>
          <w:szCs w:val="16"/>
          <w:color w:val="auto"/>
        </w:rPr>
        <w:t>Filed as Exhibit 10.36 to registrant’s Form 10-K filed February 19, 2019</w:t>
      </w:r>
    </w:p>
    <w:p>
      <w:pPr>
        <w:spacing w:after="0" w:line="184" w:lineRule="exact"/>
        <w:rPr>
          <w:sz w:val="20"/>
          <w:szCs w:val="20"/>
          <w:color w:val="auto"/>
        </w:rPr>
      </w:pPr>
    </w:p>
    <w:p>
      <w:pPr>
        <w:ind w:right="180"/>
        <w:spacing w:after="0" w:line="232" w:lineRule="auto"/>
        <w:rPr>
          <w:sz w:val="20"/>
          <w:szCs w:val="20"/>
          <w:color w:val="auto"/>
        </w:rPr>
      </w:pPr>
      <w:r>
        <w:rPr>
          <w:rFonts w:ascii="Arial" w:cs="Arial" w:eastAsia="Arial" w:hAnsi="Arial"/>
          <w:sz w:val="16"/>
          <w:szCs w:val="16"/>
          <w:color w:val="auto"/>
        </w:rPr>
        <w:t>Filed as Exhibit 10.1 to registrant’s Form 10-Q filed October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72" w:lineRule="exact"/>
        <w:rPr>
          <w:sz w:val="20"/>
          <w:szCs w:val="20"/>
          <w:color w:val="auto"/>
        </w:rPr>
      </w:pPr>
    </w:p>
    <w:p>
      <w:pPr>
        <w:sectPr>
          <w:pgSz w:w="11900" w:h="16838" w:orient="portrait"/>
          <w:cols w:equalWidth="0" w:num="2">
            <w:col w:w="6660" w:space="120"/>
            <w:col w:w="4460"/>
          </w:cols>
          <w:pgMar w:left="320" w:top="951" w:right="339" w:bottom="1440" w:gutter="0" w:footer="0" w:header="0"/>
        </w:sectPr>
      </w:pPr>
    </w:p>
    <w:p>
      <w:pPr>
        <w:spacing w:after="0" w:line="3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Molina Healthcare, Inc. 2020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98"/>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Number</w:t>
            </w:r>
          </w:p>
        </w:tc>
        <w:tc>
          <w:tcPr>
            <w:tcW w:w="100" w:type="dxa"/>
            <w:vAlign w:val="bottom"/>
          </w:tcPr>
          <w:p>
            <w:pPr>
              <w:spacing w:after="0"/>
              <w:rPr>
                <w:sz w:val="17"/>
                <w:szCs w:val="17"/>
                <w:color w:val="auto"/>
              </w:rPr>
            </w:pPr>
          </w:p>
        </w:tc>
        <w:tc>
          <w:tcPr>
            <w:tcW w:w="5520" w:type="dxa"/>
            <w:vAlign w:val="bottom"/>
            <w:tcBorders>
              <w:bottom w:val="single" w:sz="8" w:color="auto"/>
            </w:tcBorders>
          </w:tcPr>
          <w:p>
            <w:pPr>
              <w:ind w:left="2360"/>
              <w:spacing w:after="0"/>
              <w:rPr>
                <w:sz w:val="20"/>
                <w:szCs w:val="20"/>
                <w:color w:val="auto"/>
              </w:rPr>
            </w:pPr>
            <w:r>
              <w:rPr>
                <w:rFonts w:ascii="Arial" w:cs="Arial" w:eastAsia="Arial" w:hAnsi="Arial"/>
                <w:sz w:val="16"/>
                <w:szCs w:val="16"/>
                <w:color w:val="auto"/>
              </w:rPr>
              <w:t>Description</w:t>
            </w:r>
          </w:p>
        </w:tc>
        <w:tc>
          <w:tcPr>
            <w:tcW w:w="120" w:type="dxa"/>
            <w:vAlign w:val="bottom"/>
          </w:tcPr>
          <w:p>
            <w:pPr>
              <w:spacing w:after="0"/>
              <w:rPr>
                <w:sz w:val="17"/>
                <w:szCs w:val="17"/>
                <w:color w:val="auto"/>
              </w:rPr>
            </w:pPr>
          </w:p>
        </w:tc>
        <w:tc>
          <w:tcPr>
            <w:tcW w:w="444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Method of Filing</w:t>
            </w:r>
          </w:p>
        </w:tc>
      </w:tr>
      <w:tr>
        <w:trPr>
          <w:trHeight w:val="174"/>
        </w:trPr>
        <w:tc>
          <w:tcPr>
            <w:tcW w:w="1040" w:type="dxa"/>
            <w:vAlign w:val="bottom"/>
          </w:tcPr>
          <w:p>
            <w:pPr>
              <w:ind w:left="20"/>
              <w:spacing w:after="0" w:line="174" w:lineRule="exact"/>
              <w:rPr>
                <w:rFonts w:ascii="Arial" w:cs="Arial" w:eastAsia="Arial" w:hAnsi="Arial"/>
                <w:sz w:val="16"/>
                <w:szCs w:val="16"/>
                <w:u w:val="single" w:color="auto"/>
                <w:color w:val="0F7C7F"/>
              </w:rPr>
            </w:pPr>
            <w:hyperlink w:anchor="page134">
              <w:r>
                <w:rPr>
                  <w:rFonts w:ascii="Arial" w:cs="Arial" w:eastAsia="Arial" w:hAnsi="Arial"/>
                  <w:sz w:val="16"/>
                  <w:szCs w:val="16"/>
                  <w:u w:val="single" w:color="auto"/>
                  <w:color w:val="0F7C7F"/>
                </w:rPr>
                <w:t>32.2</w:t>
              </w:r>
            </w:hyperlink>
          </w:p>
        </w:tc>
        <w:tc>
          <w:tcPr>
            <w:tcW w:w="100" w:type="dxa"/>
            <w:vAlign w:val="bottom"/>
          </w:tcPr>
          <w:p>
            <w:pPr>
              <w:spacing w:after="0"/>
              <w:rPr>
                <w:sz w:val="15"/>
                <w:szCs w:val="15"/>
                <w:color w:val="auto"/>
              </w:rPr>
            </w:pPr>
          </w:p>
        </w:tc>
        <w:tc>
          <w:tcPr>
            <w:tcW w:w="564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Certificate of Chief Financial Officer pursuant to 18 U.S.C. Section 1350, as</w:t>
            </w:r>
          </w:p>
        </w:tc>
        <w:tc>
          <w:tcPr>
            <w:tcW w:w="4440" w:type="dxa"/>
            <w:vAlign w:val="bottom"/>
          </w:tcPr>
          <w:p>
            <w:pPr>
              <w:spacing w:after="0" w:line="174" w:lineRule="exact"/>
              <w:rPr>
                <w:sz w:val="20"/>
                <w:szCs w:val="20"/>
                <w:color w:val="auto"/>
              </w:rPr>
            </w:pPr>
            <w:r>
              <w:rPr>
                <w:rFonts w:ascii="Arial" w:cs="Arial" w:eastAsia="Arial" w:hAnsi="Arial"/>
                <w:sz w:val="16"/>
                <w:szCs w:val="16"/>
                <w:color w:val="auto"/>
              </w:rPr>
              <w:t>Filed herewith</w:t>
            </w: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440" w:type="dxa"/>
            <w:vAlign w:val="bottom"/>
          </w:tcPr>
          <w:p>
            <w:pPr>
              <w:spacing w:after="0"/>
              <w:rPr>
                <w:sz w:val="16"/>
                <w:szCs w:val="16"/>
                <w:color w:val="auto"/>
              </w:rPr>
            </w:pP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Instance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183"/>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(formatted as Inline XBRL and embedded</w:t>
            </w:r>
          </w:p>
        </w:tc>
        <w:tc>
          <w:tcPr>
            <w:tcW w:w="44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gridSpan w:val="2"/>
          </w:tcPr>
          <w:p>
            <w:pPr>
              <w:ind w:left="20"/>
              <w:spacing w:after="0"/>
              <w:rPr>
                <w:sz w:val="20"/>
                <w:szCs w:val="20"/>
                <w:color w:val="auto"/>
              </w:rPr>
            </w:pPr>
            <w:r>
              <w:rPr>
                <w:rFonts w:ascii="Arial" w:cs="Arial" w:eastAsia="Arial" w:hAnsi="Arial"/>
                <w:sz w:val="16"/>
                <w:szCs w:val="16"/>
                <w:color w:val="auto"/>
              </w:rPr>
              <w:t>within Exhibit 101)</w:t>
            </w:r>
          </w:p>
        </w:tc>
        <w:tc>
          <w:tcPr>
            <w:tcW w:w="4440" w:type="dxa"/>
            <w:vAlign w:val="bottom"/>
          </w:tcPr>
          <w:p>
            <w:pPr>
              <w:spacing w:after="0"/>
              <w:rPr>
                <w:sz w:val="16"/>
                <w:szCs w:val="16"/>
                <w:color w:val="auto"/>
              </w:rPr>
            </w:pPr>
          </w:p>
        </w:tc>
      </w:tr>
    </w:tbl>
    <w:p>
      <w:pPr>
        <w:spacing w:after="0" w:line="48" w:lineRule="exact"/>
        <w:rPr>
          <w:sz w:val="20"/>
          <w:szCs w:val="20"/>
          <w:color w:val="auto"/>
        </w:rPr>
      </w:pPr>
    </w:p>
    <w:p>
      <w:pPr>
        <w:ind w:left="1000" w:right="40" w:hanging="961"/>
        <w:spacing w:after="0" w:line="232"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(and/or incorporated by reference) as an exhibit to this Annual Report on Form 10-K pursuant to Item 15(b) of Form 10-K.</w:t>
      </w:r>
    </w:p>
    <w:p>
      <w:pPr>
        <w:spacing w:after="0" w:line="22" w:lineRule="exact"/>
        <w:rPr>
          <w:sz w:val="20"/>
          <w:szCs w:val="20"/>
          <w:color w:val="auto"/>
        </w:rPr>
      </w:pPr>
    </w:p>
    <w:p>
      <w:pPr>
        <w:ind w:left="1000" w:right="100" w:hanging="961"/>
        <w:spacing w:after="0" w:line="23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portions of this agreement have been omitted in accordance with Item 601(b)(10) of Regulation S-K. A copy of any omitted portion will be furnished to the Securities and Exchange Commission upon request.</w:t>
      </w:r>
    </w:p>
    <w:p>
      <w:pPr>
        <w:spacing w:after="0" w:line="22" w:lineRule="exact"/>
        <w:rPr>
          <w:sz w:val="20"/>
          <w:szCs w:val="20"/>
          <w:color w:val="auto"/>
        </w:rPr>
      </w:pPr>
    </w:p>
    <w:p>
      <w:pPr>
        <w:ind w:left="1000" w:right="60" w:hanging="961"/>
        <w:spacing w:after="0" w:line="225"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2020 Form 10-K | 101</w:t>
      </w:r>
    </w:p>
    <w:p>
      <w:pPr>
        <w:sectPr>
          <w:pgSz w:w="11900" w:h="16838" w:orient="portrait"/>
          <w:cols w:equalWidth="0" w:num="1">
            <w:col w:w="11240"/>
          </w:cols>
          <w:pgMar w:left="320" w:top="951" w:right="339" w:bottom="1440" w:gutter="0" w:footer="0" w:header="0"/>
        </w:sectPr>
      </w:pPr>
    </w:p>
    <w:bookmarkStart w:id="104" w:name="page105"/>
    <w:bookmarkEnd w:id="104"/>
    <w:p>
      <w:pPr>
        <w:jc w:val="center"/>
        <w:ind w:right="-99"/>
        <w:spacing w:after="0"/>
        <w:rPr>
          <w:sz w:val="20"/>
          <w:szCs w:val="20"/>
          <w:color w:val="auto"/>
        </w:rPr>
      </w:pPr>
      <w:r>
        <w:rPr>
          <w:rFonts w:ascii="Arial" w:cs="Arial" w:eastAsia="Arial" w:hAnsi="Arial"/>
          <w:sz w:val="22"/>
          <w:szCs w:val="22"/>
          <w:b w:val="1"/>
          <w:bCs w:val="1"/>
          <w:color w:val="auto"/>
        </w:rPr>
        <w:t>DESCRIPTION OF THE REGISTRANT’S SECURITIES REGISTERED PURSUANT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SECTION 12 OF THE SECURITIES EXCHANGE ACT OF 1934</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Common Stock of Molina Healthcare, Inc., a Delaware corporation (the “Company”), is registered under Section 12 of the Securities Exchange Act of 1934, as amended (the “Exchange Act”). The following description of the Company’s Common Stock is a summary, does not purport to be complete, and is subject to and qualified in its entirety by reference to the Company’s certificate of incorporation, as amended (the “Certificate of Incorporation”), and the Company’s Sixth Amended and Restated Bylaws (the “Bylaws”), each of which is incorporated herein by reference as an exhibit to the Annual Report on Form 10-K for the year ended December 31, 2020 filed with the Securities and Exchange Commission, of which this Exhibit 4.9 is a part. Please refer to the Certificate of Incorporation, the Bylaws and the applicable provisions of the General Corporation Law of the State of Delaware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53"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The Company’s authorized capital stock consists of 170,000,000 shares, with a par value of $0.001 per share, of which 150,000,000 shares are designated as Common Stock and 20,000,000 shares are designated as Preferred Stock. No shares of Preferred Stock are currently outstanding.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Fully Paid and Nonassessable</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All of the outstanding shares of Common Stock are fully paid and nonassessable.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Voting Rights</w:t>
      </w:r>
    </w:p>
    <w:p>
      <w:pPr>
        <w:spacing w:after="0" w:line="247" w:lineRule="exact"/>
        <w:rPr>
          <w:sz w:val="20"/>
          <w:szCs w:val="20"/>
          <w:color w:val="auto"/>
        </w:rPr>
      </w:pPr>
    </w:p>
    <w:p>
      <w:pPr>
        <w:ind w:left="660" w:right="240" w:firstLine="648"/>
        <w:spacing w:after="0" w:line="263" w:lineRule="auto"/>
        <w:rPr>
          <w:sz w:val="20"/>
          <w:szCs w:val="20"/>
          <w:color w:val="auto"/>
        </w:rPr>
      </w:pPr>
      <w:r>
        <w:rPr>
          <w:rFonts w:ascii="Arial" w:cs="Arial" w:eastAsia="Arial" w:hAnsi="Arial"/>
          <w:sz w:val="22"/>
          <w:szCs w:val="22"/>
          <w:color w:val="auto"/>
        </w:rPr>
        <w:t>The holders of shares of Common Stock are entitled to one vote per share on all matters to be voted on by such holders.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Dividends</w:t>
      </w:r>
    </w:p>
    <w:p>
      <w:pPr>
        <w:spacing w:after="0" w:line="247" w:lineRule="exact"/>
        <w:rPr>
          <w:sz w:val="20"/>
          <w:szCs w:val="20"/>
          <w:color w:val="auto"/>
        </w:rPr>
      </w:pPr>
    </w:p>
    <w:p>
      <w:pPr>
        <w:ind w:left="660" w:right="100" w:firstLine="648"/>
        <w:spacing w:after="0" w:line="253" w:lineRule="auto"/>
        <w:rPr>
          <w:sz w:val="20"/>
          <w:szCs w:val="20"/>
          <w:color w:val="auto"/>
        </w:rPr>
      </w:pPr>
      <w:r>
        <w:rPr>
          <w:rFonts w:ascii="Arial" w:cs="Arial" w:eastAsia="Arial" w:hAnsi="Arial"/>
          <w:sz w:val="22"/>
          <w:szCs w:val="22"/>
          <w:color w:val="auto"/>
        </w:rPr>
        <w:t>Subject to preferences that may be applicable to any preferred stock outstanding at the time, the holders of Common Stock are entitled to receive dividends, if any, declared from time to time by the Company’s board of directors (the “Board”) out of legally available funds.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Right to Receive Liquidation Distributions</w:t>
      </w:r>
    </w:p>
    <w:p>
      <w:pPr>
        <w:spacing w:after="0" w:line="247"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color w:val="auto"/>
        </w:rPr>
        <w:t>Upon liquidation, dissolution or winding up of the Company, holders of Common Stock are entitled to share ratably in all assets remaining after payment of liabilities and the liquidation preference of any then outstanding shares of preferred stock.</w:t>
      </w:r>
    </w:p>
    <w:p>
      <w:pPr>
        <w:sectPr>
          <w:pgSz w:w="11900" w:h="16838" w:orient="portrait"/>
          <w:cols w:equalWidth="0" w:num="1">
            <w:col w:w="11140"/>
          </w:cols>
          <w:pgMar w:left="320" w:top="1422" w:right="439" w:bottom="1440" w:gutter="0" w:footer="0" w:header="0"/>
        </w:sectPr>
      </w:pPr>
    </w:p>
    <w:bookmarkStart w:id="105" w:name="page106"/>
    <w:bookmarkEnd w:id="105"/>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 Preemptive or Similar Rights</w:t>
      </w:r>
    </w:p>
    <w:p>
      <w:pPr>
        <w:spacing w:after="0" w:line="247" w:lineRule="exact"/>
        <w:rPr>
          <w:sz w:val="20"/>
          <w:szCs w:val="20"/>
          <w:color w:val="auto"/>
        </w:rPr>
      </w:pPr>
    </w:p>
    <w:p>
      <w:pPr>
        <w:ind w:left="660" w:right="80" w:firstLine="648"/>
        <w:spacing w:after="0" w:line="263" w:lineRule="auto"/>
        <w:rPr>
          <w:sz w:val="20"/>
          <w:szCs w:val="20"/>
          <w:color w:val="auto"/>
        </w:rPr>
      </w:pPr>
      <w:r>
        <w:rPr>
          <w:rFonts w:ascii="Arial" w:cs="Arial" w:eastAsia="Arial" w:hAnsi="Arial"/>
          <w:sz w:val="22"/>
          <w:szCs w:val="22"/>
          <w:color w:val="auto"/>
        </w:rPr>
        <w:t>The holders of Common Stock have no preemptive or other subscription rights, and there are no conversion rights or redemption or sinking fund provisions with respect to such shares of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Delaware Anti-Takeover Statute</w:t>
      </w:r>
    </w:p>
    <w:p>
      <w:pPr>
        <w:spacing w:after="0" w:line="25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Company is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215" w:lineRule="exact"/>
        <w:rPr>
          <w:sz w:val="20"/>
          <w:szCs w:val="20"/>
          <w:color w:val="auto"/>
        </w:rPr>
      </w:pPr>
    </w:p>
    <w:p>
      <w:pPr>
        <w:ind w:left="1300" w:right="220" w:hanging="320"/>
        <w:spacing w:after="0" w:line="263" w:lineRule="auto"/>
        <w:tabs>
          <w:tab w:leader="none" w:pos="1295" w:val="left"/>
        </w:tabs>
        <w:numPr>
          <w:ilvl w:val="0"/>
          <w:numId w:val="45"/>
        </w:numPr>
        <w:rPr>
          <w:rFonts w:ascii="Arial" w:cs="Arial" w:eastAsia="Arial" w:hAnsi="Arial"/>
          <w:sz w:val="21"/>
          <w:szCs w:val="21"/>
          <w:color w:val="auto"/>
        </w:rPr>
      </w:pPr>
      <w:r>
        <w:rPr>
          <w:rFonts w:ascii="Arial" w:cs="Arial" w:eastAsia="Arial" w:hAnsi="Arial"/>
          <w:sz w:val="21"/>
          <w:szCs w:val="21"/>
          <w:color w:val="auto"/>
        </w:rPr>
        <w:t>prior to the date of the transaction, the corporation’s board of directors approved either the business combination or the transaction which resulted in the stockholder becoming an interested stockholder;</w:t>
      </w:r>
    </w:p>
    <w:p>
      <w:pPr>
        <w:spacing w:after="0" w:line="1" w:lineRule="exact"/>
        <w:rPr>
          <w:rFonts w:ascii="Arial" w:cs="Arial" w:eastAsia="Arial" w:hAnsi="Arial"/>
          <w:sz w:val="21"/>
          <w:szCs w:val="21"/>
          <w:color w:val="auto"/>
        </w:rPr>
      </w:pPr>
    </w:p>
    <w:p>
      <w:pPr>
        <w:jc w:val="both"/>
        <w:ind w:left="1300" w:right="680" w:hanging="320"/>
        <w:spacing w:after="0" w:line="254" w:lineRule="auto"/>
        <w:tabs>
          <w:tab w:leader="none" w:pos="1295" w:val="left"/>
        </w:tabs>
        <w:numPr>
          <w:ilvl w:val="0"/>
          <w:numId w:val="45"/>
        </w:numPr>
        <w:rPr>
          <w:rFonts w:ascii="Arial" w:cs="Arial" w:eastAsia="Arial" w:hAnsi="Arial"/>
          <w:sz w:val="21"/>
          <w:szCs w:val="21"/>
          <w:color w:val="auto"/>
        </w:rPr>
      </w:pPr>
      <w:r>
        <w:rPr>
          <w:rFonts w:ascii="Arial" w:cs="Arial" w:eastAsia="Arial" w:hAnsi="Arial"/>
          <w:sz w:val="21"/>
          <w:szCs w:val="21"/>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2" w:lineRule="exact"/>
        <w:rPr>
          <w:rFonts w:ascii="Arial" w:cs="Arial" w:eastAsia="Arial" w:hAnsi="Arial"/>
          <w:sz w:val="21"/>
          <w:szCs w:val="21"/>
          <w:color w:val="auto"/>
        </w:rPr>
      </w:pPr>
    </w:p>
    <w:p>
      <w:pPr>
        <w:ind w:left="1300" w:right="120" w:hanging="320"/>
        <w:spacing w:after="0" w:line="244" w:lineRule="auto"/>
        <w:tabs>
          <w:tab w:leader="none" w:pos="1295" w:val="left"/>
        </w:tabs>
        <w:numPr>
          <w:ilvl w:val="0"/>
          <w:numId w:val="45"/>
        </w:numPr>
        <w:rPr>
          <w:rFonts w:ascii="Arial" w:cs="Arial" w:eastAsia="Arial" w:hAnsi="Arial"/>
          <w:sz w:val="22"/>
          <w:szCs w:val="22"/>
          <w:color w:val="auto"/>
        </w:rPr>
      </w:pPr>
      <w:r>
        <w:rPr>
          <w:rFonts w:ascii="Arial" w:cs="Arial" w:eastAsia="Arial" w:hAnsi="Arial"/>
          <w:sz w:val="22"/>
          <w:szCs w:val="22"/>
          <w:color w:val="auto"/>
        </w:rPr>
        <w:t>at or subsequent to the date of the transaction, the business combination is approved by the corporation’s board of directors and authorized at an annual or special meeting of stockholders, and not by written consent, by the affirmative vote of at least two-thirds of the outstanding voting stock which is not owned by the interested stockholder.</w:t>
      </w:r>
    </w:p>
    <w:p>
      <w:pPr>
        <w:spacing w:after="0" w:line="222"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existence of this provision could delay, defer or prevent a change of control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 Notice Requirements for Stockholder Proposals and Director Nominations</w:t>
      </w:r>
    </w:p>
    <w:p>
      <w:pPr>
        <w:spacing w:after="0" w:line="253"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Bylaws provide that stockholders seeking to bring business before an annual meeting of stockholders, or to nominate candidates for election as directors at an annual meeting of stockholders, must provide timely notice in writing. To be timely, a stockholder's notice shall be delivered to the Secretary of the Company at the principal executive offices of the Company not later than the close of business on the ninetieth (90th) day nor earlier than the close of business on the one hundred twentieth (120th) day prior to the first anniversary of the preceding year's annual meeting of the stockholders; provided, however, that in the event that the date of the annual meeting is scheduled more than thirty (30) days prior to the anniversary of the preceding</w:t>
      </w:r>
    </w:p>
    <w:p>
      <w:pPr>
        <w:sectPr>
          <w:pgSz w:w="11900" w:h="16838" w:orient="portrait"/>
          <w:cols w:equalWidth="0" w:num="1">
            <w:col w:w="11240"/>
          </w:cols>
          <w:pgMar w:left="320" w:top="1440" w:right="339" w:bottom="1440" w:gutter="0" w:footer="0" w:header="0"/>
        </w:sectPr>
      </w:pPr>
    </w:p>
    <w:bookmarkStart w:id="106" w:name="page107"/>
    <w:bookmarkEnd w:id="106"/>
    <w:p>
      <w:pPr>
        <w:ind w:right="20"/>
        <w:spacing w:after="0" w:line="294" w:lineRule="auto"/>
        <w:rPr>
          <w:sz w:val="20"/>
          <w:szCs w:val="20"/>
          <w:color w:val="auto"/>
        </w:rPr>
      </w:pPr>
      <w:r>
        <w:rPr>
          <w:rFonts w:ascii="Arial" w:cs="Arial" w:eastAsia="Arial" w:hAnsi="Arial"/>
          <w:sz w:val="19"/>
          <w:szCs w:val="19"/>
          <w:color w:val="auto"/>
        </w:rPr>
        <w:t>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The Bylaws also specify requirements as to the form and content of a stockholder’s notice. These provisions may preclude, delay or discourage stockholders from bringing matters before an annual meeting of stockholders or from making nominations for directors at an annual meeting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Action; Special Meeting of Stockholders</w:t>
      </w:r>
    </w:p>
    <w:p>
      <w:pPr>
        <w:spacing w:after="0" w:line="253" w:lineRule="exact"/>
        <w:rPr>
          <w:sz w:val="20"/>
          <w:szCs w:val="20"/>
          <w:color w:val="auto"/>
        </w:rPr>
      </w:pPr>
    </w:p>
    <w:p>
      <w:pPr>
        <w:ind w:right="280" w:firstLine="648"/>
        <w:spacing w:after="0" w:line="263" w:lineRule="auto"/>
        <w:rPr>
          <w:sz w:val="20"/>
          <w:szCs w:val="20"/>
          <w:color w:val="auto"/>
        </w:rPr>
      </w:pPr>
      <w:r>
        <w:rPr>
          <w:rFonts w:ascii="Arial" w:cs="Arial" w:eastAsia="Arial" w:hAnsi="Arial"/>
          <w:sz w:val="21"/>
          <w:szCs w:val="21"/>
          <w:color w:val="auto"/>
        </w:rPr>
        <w:t>The Certificate of Incorporation eliminates the ability of stockholders to act by written consent. It further provides that special meetings of the Company’s stockholders may be called only by our Chairman of the Board, Chief Executive Officer, President, a majority of the Company’s directors or a committee of the board of directors specifically designated to call special meetings of stockholders. These provisions may limit the ability of stockholders to remove current management or approve transactions that stockholders may deem to be in their best interests.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but Unissued Shares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Company’s authorized but unissued shares of Common Stock and preferred stock will be available for future issuance without stockholder approval. These additional shares may be utilized for a variety of corporate purposes, including public or private offerings to raise additional capital, corporate acquisitions and employee benefit plans. The existence of authorized but unissued shares of Common Stock and preferred stock could render more difficult or discourage an attempt to effect a change in the Company’s control or a change in the Company’s management by means of a proxy contest, tender offer, merger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Charter Amendments</w:t>
      </w:r>
    </w:p>
    <w:p>
      <w:pPr>
        <w:spacing w:after="0" w:line="25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Delaware law provides generally that the affirmative vote of a majority of the shares entitled to vote on any matter is required to amend a corporation’s certificate of incorporation or bylaws, unless either a corporation’s certificate of incorporation or bylaws requires a greater percentage.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Elimination of Classified Board of Directors</w:t>
      </w:r>
    </w:p>
    <w:p>
      <w:pPr>
        <w:spacing w:after="0" w:line="253"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Historically, the Board was divided into three classes, designated as Class I, Class II, and Class III, with each class having three Board seats. However, on the recommendation of the Board, at the Company’s 2019 annual meeting of stockholders, the Company’s stockholders voted to eliminate the classification of the Board over a three-year period beginning at the 2020 annual meeting of stockholders, and provide for the annual election of all directors beginning at the 2022 annual meeting of stockholders. Thus, beginning with the 2020 election, the classified Board began “rolling off” in stages over the following two years. For 2020, the three Class III</w:t>
      </w:r>
    </w:p>
    <w:p>
      <w:pPr>
        <w:sectPr>
          <w:pgSz w:w="11900" w:h="16838" w:orient="portrait"/>
          <w:cols w:equalWidth="0" w:num="1">
            <w:col w:w="11240"/>
          </w:cols>
          <w:pgMar w:left="320" w:top="1428" w:right="339" w:bottom="1440" w:gutter="0" w:footer="0" w:header="0"/>
        </w:sectPr>
      </w:pPr>
    </w:p>
    <w:bookmarkStart w:id="107" w:name="page108"/>
    <w:bookmarkEnd w:id="107"/>
    <w:p>
      <w:pPr>
        <w:ind w:right="40"/>
        <w:spacing w:after="0" w:line="248" w:lineRule="auto"/>
        <w:rPr>
          <w:sz w:val="20"/>
          <w:szCs w:val="20"/>
          <w:color w:val="auto"/>
        </w:rPr>
      </w:pPr>
      <w:r>
        <w:rPr>
          <w:rFonts w:ascii="Arial" w:cs="Arial" w:eastAsia="Arial" w:hAnsi="Arial"/>
          <w:sz w:val="22"/>
          <w:szCs w:val="22"/>
          <w:color w:val="auto"/>
        </w:rPr>
        <w:t>directors are subject to election to only a one-year term expiring at the 2021 annual meeting of stockholders. Both the three Class I directors and once again the three Class III directors will be subject to election at the 2021 annual meeting of stockholders to a one-year term expiring at the 2022 annual meeting of stockholders. From and after the Company’s 2022 annual meeting of stockholders, the Board will no longer be divided into classes, and all nine directors will be elected for a one-year term expiring at the next annual meeting of stockholders in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Cumulative Voting</w:t>
      </w:r>
    </w:p>
    <w:p>
      <w:pPr>
        <w:spacing w:after="0" w:line="25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Under cumulative voting, a minority stockholder holding a sufficient percentage of a class of shares may be able to ensure the election of one or more directors. The Certificate of Incorporation expressly denies stockholders the right to cumulative voting in the 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Registrar</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the Common Stock is American Stock Transfer &amp; Trust Company, LLC.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Common Stock is listed on the New York Stock Exchange under the symbol “MOH”.</w:t>
      </w:r>
    </w:p>
    <w:p>
      <w:pPr>
        <w:sectPr>
          <w:pgSz w:w="11900" w:h="16838" w:orient="portrait"/>
          <w:cols w:equalWidth="0" w:num="1">
            <w:col w:w="11220"/>
          </w:cols>
          <w:pgMar w:left="320" w:top="1428" w:right="3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MOLINA HEALTHCARE,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CHANGE IN CONTROL SEVERANCE PLAN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February 9, 2021)</w:t>
      </w:r>
    </w:p>
    <w:p>
      <w:pPr>
        <w:spacing w:after="0" w:line="355"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right="60"/>
        <w:spacing w:after="0" w:line="287" w:lineRule="auto"/>
        <w:rPr>
          <w:sz w:val="20"/>
          <w:szCs w:val="20"/>
          <w:color w:val="auto"/>
        </w:rPr>
      </w:pPr>
      <w:r>
        <w:rPr>
          <w:rFonts w:ascii="Arial" w:cs="Arial" w:eastAsia="Arial" w:hAnsi="Arial"/>
          <w:sz w:val="21"/>
          <w:szCs w:val="21"/>
          <w:color w:val="auto"/>
        </w:rPr>
        <w:t>Molina Healthcare, Inc. considers the maintenance of a sound management to be essential to protecting and enhancing the best interests of the Company and its stockholders. Thus, the Company recognizes that the possibility of a Change in Control may exist from time to time, and that this possibility, and the uncertainty and questions it may raise among management, may result in the departure or distraction of management personnel to the detriment of the Company and its stockholders. Accordingly, the Company has determined that appropriate steps should be taken to encourage the continued attention and dedication of members of the Company’s management to their assigned duties without the distraction which may arise from the possibility of a Change in Control.</w:t>
      </w:r>
    </w:p>
    <w:p>
      <w:pPr>
        <w:spacing w:after="0" w:line="139" w:lineRule="exact"/>
        <w:rPr>
          <w:sz w:val="20"/>
          <w:szCs w:val="20"/>
          <w:color w:val="auto"/>
        </w:rPr>
      </w:pPr>
    </w:p>
    <w:p>
      <w:pPr>
        <w:ind w:right="120"/>
        <w:spacing w:after="0" w:line="323" w:lineRule="auto"/>
        <w:rPr>
          <w:sz w:val="20"/>
          <w:szCs w:val="20"/>
          <w:color w:val="auto"/>
        </w:rPr>
      </w:pPr>
      <w:r>
        <w:rPr>
          <w:rFonts w:ascii="Arial" w:cs="Arial" w:eastAsia="Arial" w:hAnsi="Arial"/>
          <w:sz w:val="19"/>
          <w:szCs w:val="19"/>
          <w:color w:val="auto"/>
        </w:rPr>
        <w:t>The Company’s Change in Control Severance Plan was originally effective as of May 3, 2017, amended and restated as of February 18, 2019, and is hereby further amended and restated effective as of February 9,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Second Amended and Restated Change in Control Severance Plan (this “</w:t>
      </w:r>
      <w:r>
        <w:rPr>
          <w:rFonts w:ascii="Arial" w:cs="Arial" w:eastAsia="Arial" w:hAnsi="Arial"/>
          <w:sz w:val="19"/>
          <w:szCs w:val="19"/>
          <w:u w:val="single" w:color="auto"/>
          <w:color w:val="auto"/>
        </w:rPr>
        <w:t>Plan</w:t>
      </w:r>
      <w:r>
        <w:rPr>
          <w:rFonts w:ascii="Arial" w:cs="Arial" w:eastAsia="Arial" w:hAnsi="Arial"/>
          <w:sz w:val="19"/>
          <w:szCs w:val="19"/>
          <w:color w:val="auto"/>
        </w:rPr>
        <w:t>”) does not alter the status of Participants as at-will employees of the Company. Just as Participants remain free to leave the employ of the Company at any time, so too does the Company retain its right to terminate the employment of Participants without notice, at any time, for any reason, except to the extent otherwise provided in a written employment agreement between the Company and the Participant.</w:t>
      </w:r>
    </w:p>
    <w:p>
      <w:pPr>
        <w:spacing w:after="0" w:line="112" w:lineRule="exact"/>
        <w:rPr>
          <w:sz w:val="20"/>
          <w:szCs w:val="20"/>
          <w:color w:val="auto"/>
        </w:rPr>
      </w:pPr>
    </w:p>
    <w:p>
      <w:pPr>
        <w:spacing w:after="0" w:line="323" w:lineRule="auto"/>
        <w:rPr>
          <w:sz w:val="20"/>
          <w:szCs w:val="20"/>
          <w:color w:val="auto"/>
        </w:rPr>
      </w:pPr>
      <w:r>
        <w:rPr>
          <w:rFonts w:ascii="Arial" w:cs="Arial" w:eastAsia="Arial" w:hAnsi="Arial"/>
          <w:sz w:val="19"/>
          <w:szCs w:val="19"/>
          <w:color w:val="auto"/>
        </w:rPr>
        <w:t>However, the Company believes that, both prior to and at the time a Change in Control is anticipated or occurring, it is necessary to have the continued attention and dedication of Participants to their assigned duties without distraction, and this Plan is intended as an inducement for Participants’ willingness to continue to serve as employees of the Company (subject, however, to either party’s right to terminate such employment at any time). Therefore, should a Participant still be an employee of the Company at the time of a Change in Control, the Company agrees that such Participant shall receive the severance benefits hereinafter set forth in the event the Participant’s employment with the Company terminates under the circumstances described below.</w:t>
      </w:r>
    </w:p>
    <w:p>
      <w:pPr>
        <w:spacing w:after="0" w:line="120"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right="80"/>
        <w:spacing w:after="0" w:line="289" w:lineRule="auto"/>
        <w:rPr>
          <w:sz w:val="20"/>
          <w:szCs w:val="20"/>
          <w:color w:val="auto"/>
        </w:rPr>
      </w:pPr>
      <w:r>
        <w:rPr>
          <w:rFonts w:ascii="Arial" w:cs="Arial" w:eastAsia="Arial" w:hAnsi="Arial"/>
          <w:sz w:val="22"/>
          <w:szCs w:val="22"/>
          <w:color w:val="auto"/>
        </w:rPr>
        <w:t>As used herein the following words and phrases shall have the following respective meanings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35" w:right="339" w:bottom="1440" w:gutter="0" w:footer="0" w:header="0"/>
        </w:sectPr>
      </w:pPr>
    </w:p>
    <w:bookmarkStart w:id="109" w:name="page110"/>
    <w:bookmarkEnd w:id="109"/>
    <w:p>
      <w:pPr>
        <w:spacing w:after="0" w:line="2"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Any entity which controls, is controlled by, or is under common control with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8" w:right="20" w:firstLine="8"/>
        <w:spacing w:after="0" w:line="331" w:lineRule="auto"/>
        <w:tabs>
          <w:tab w:leader="none" w:pos="4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xml:space="preserve">. The Participant’s annual base salary paid or payable, including any base salary that is subject to deferral, to the Participant by the Company or any of its Affiliates at the rate in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(or required to be in effect before any diminution that is a basis of the Participant’s termination for Good Reason) on the Date of Termination or immediately prior to the Change in Control if the Participant’s annual base salary was higher at such time.</w:t>
      </w:r>
    </w:p>
    <w:p>
      <w:pPr>
        <w:spacing w:after="0" w:line="200" w:lineRule="exact"/>
        <w:rPr>
          <w:rFonts w:ascii="Arial" w:cs="Arial" w:eastAsia="Arial" w:hAnsi="Arial"/>
          <w:sz w:val="19"/>
          <w:szCs w:val="19"/>
          <w:color w:val="auto"/>
        </w:rPr>
      </w:pPr>
    </w:p>
    <w:p>
      <w:pPr>
        <w:spacing w:after="0" w:line="322" w:lineRule="exact"/>
        <w:rPr>
          <w:rFonts w:ascii="Arial" w:cs="Arial" w:eastAsia="Arial" w:hAnsi="Arial"/>
          <w:sz w:val="19"/>
          <w:szCs w:val="19"/>
          <w:color w:val="auto"/>
        </w:rPr>
      </w:pPr>
    </w:p>
    <w:p>
      <w:pPr>
        <w:ind w:left="452" w:hanging="452"/>
        <w:spacing w:after="0"/>
        <w:tabs>
          <w:tab w:leader="none" w:pos="45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The Participant’s target annual bonus.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472" w:hanging="472"/>
        <w:spacing w:after="0"/>
        <w:tabs>
          <w:tab w:leader="none" w:pos="47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Applicable Multiple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 respect to any Participant who is at or above the level of Senior Vice President, two (2).</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8" w:right="320" w:firstLine="656"/>
        <w:spacing w:after="0" w:line="289" w:lineRule="auto"/>
        <w:tabs>
          <w:tab w:leader="none" w:pos="1116"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 respect to any Participant who is at or above the level of Associate Vice President, but below the level of Senior Vice President, one (1).</w:t>
      </w:r>
    </w:p>
    <w:p>
      <w:pPr>
        <w:spacing w:after="0" w:line="200" w:lineRule="exact"/>
        <w:rPr>
          <w:rFonts w:ascii="Arial" w:cs="Arial" w:eastAsia="Arial" w:hAnsi="Arial"/>
          <w:sz w:val="22"/>
          <w:szCs w:val="22"/>
          <w:color w:val="auto"/>
        </w:rPr>
      </w:pPr>
    </w:p>
    <w:p>
      <w:pPr>
        <w:spacing w:after="0" w:line="351" w:lineRule="exact"/>
        <w:rPr>
          <w:rFonts w:ascii="Arial" w:cs="Arial" w:eastAsia="Arial" w:hAnsi="Arial"/>
          <w:sz w:val="22"/>
          <w:szCs w:val="22"/>
          <w:color w:val="auto"/>
        </w:rPr>
      </w:pPr>
    </w:p>
    <w:p>
      <w:pPr>
        <w:ind w:left="1192" w:hanging="544"/>
        <w:spacing w:after="0"/>
        <w:tabs>
          <w:tab w:leader="none" w:pos="1192" w:val="left"/>
        </w:tabs>
        <w:numPr>
          <w:ilvl w:val="1"/>
          <w:numId w:val="48"/>
        </w:numPr>
        <w:rPr>
          <w:rFonts w:ascii="Arial" w:cs="Arial" w:eastAsia="Arial" w:hAnsi="Arial"/>
          <w:sz w:val="19"/>
          <w:szCs w:val="19"/>
          <w:color w:val="auto"/>
        </w:rPr>
      </w:pPr>
      <w:r>
        <w:rPr>
          <w:rFonts w:ascii="Arial" w:cs="Arial" w:eastAsia="Arial" w:hAnsi="Arial"/>
          <w:sz w:val="19"/>
          <w:szCs w:val="19"/>
          <w:color w:val="auto"/>
        </w:rPr>
        <w:t>With respect to any Participant, other than a Participant identified in clause (i) or (ii) of this Section 2(d), one (1).</w:t>
      </w:r>
    </w:p>
    <w:p>
      <w:pPr>
        <w:spacing w:after="0" w:line="294" w:lineRule="exact"/>
        <w:rPr>
          <w:rFonts w:ascii="Arial" w:cs="Arial" w:eastAsia="Arial" w:hAnsi="Arial"/>
          <w:sz w:val="19"/>
          <w:szCs w:val="19"/>
          <w:color w:val="auto"/>
        </w:rPr>
      </w:pPr>
    </w:p>
    <w:p>
      <w:pPr>
        <w:ind w:left="452" w:hanging="452"/>
        <w:spacing w:after="0"/>
        <w:tabs>
          <w:tab w:leader="none" w:pos="45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The Board of Directors of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432" w:hanging="432"/>
        <w:spacing w:after="0"/>
        <w:tabs>
          <w:tab w:leader="none" w:pos="43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With respect to any Participant: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8" w:right="380" w:firstLine="656"/>
        <w:spacing w:after="0" w:line="289" w:lineRule="auto"/>
        <w:tabs>
          <w:tab w:leader="none" w:pos="10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Participant’s willful engaging in illegal conduct or gross misconduct which is materially and demonstrably injurious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9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72"/>
          </w:cols>
          <w:pgMar w:left="328" w:top="1440" w:right="599" w:bottom="1440" w:gutter="0" w:footer="0" w:header="0"/>
        </w:sectPr>
      </w:pPr>
    </w:p>
    <w:bookmarkStart w:id="110" w:name="page111"/>
    <w:bookmarkEnd w:id="110"/>
    <w:p>
      <w:pPr>
        <w:spacing w:after="0" w:line="2" w:lineRule="exact"/>
        <w:rPr>
          <w:sz w:val="20"/>
          <w:szCs w:val="20"/>
          <w:color w:val="auto"/>
        </w:rPr>
      </w:pPr>
    </w:p>
    <w:p>
      <w:pPr>
        <w:ind w:left="-8" w:right="440" w:firstLine="656"/>
        <w:spacing w:after="0" w:line="289" w:lineRule="auto"/>
        <w:tabs>
          <w:tab w:leader="none" w:pos="11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Participant’s material violation of any policy or code of conduct of the Company or any of its Affiliates, and failure to correct (if possible) following notification of such violation;</w:t>
      </w:r>
    </w:p>
    <w:p>
      <w:pPr>
        <w:spacing w:after="0" w:line="200" w:lineRule="exact"/>
        <w:rPr>
          <w:rFonts w:ascii="Arial" w:cs="Arial" w:eastAsia="Arial" w:hAnsi="Arial"/>
          <w:sz w:val="22"/>
          <w:szCs w:val="22"/>
          <w:color w:val="auto"/>
        </w:rPr>
      </w:pPr>
    </w:p>
    <w:p>
      <w:pPr>
        <w:spacing w:after="0" w:line="351" w:lineRule="exact"/>
        <w:rPr>
          <w:rFonts w:ascii="Arial" w:cs="Arial" w:eastAsia="Arial" w:hAnsi="Arial"/>
          <w:sz w:val="22"/>
          <w:szCs w:val="22"/>
          <w:color w:val="auto"/>
        </w:rPr>
      </w:pPr>
    </w:p>
    <w:p>
      <w:pPr>
        <w:ind w:left="1192" w:hanging="544"/>
        <w:spacing w:after="0"/>
        <w:tabs>
          <w:tab w:leader="none" w:pos="119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Participant’s unauthorized use or disclosure of confidential information or trade secrets;</w:t>
      </w:r>
    </w:p>
    <w:p>
      <w:pPr>
        <w:spacing w:after="0" w:line="246" w:lineRule="exact"/>
        <w:rPr>
          <w:rFonts w:ascii="Arial" w:cs="Arial" w:eastAsia="Arial" w:hAnsi="Arial"/>
          <w:sz w:val="22"/>
          <w:szCs w:val="22"/>
          <w:color w:val="auto"/>
        </w:rPr>
      </w:pPr>
    </w:p>
    <w:p>
      <w:pPr>
        <w:ind w:left="1172" w:hanging="524"/>
        <w:spacing w:after="0"/>
        <w:tabs>
          <w:tab w:leader="none" w:pos="117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Participant’s engaging in competition with the Company;</w:t>
      </w:r>
    </w:p>
    <w:p>
      <w:pPr>
        <w:spacing w:after="0" w:line="246" w:lineRule="exact"/>
        <w:rPr>
          <w:rFonts w:ascii="Arial" w:cs="Arial" w:eastAsia="Arial" w:hAnsi="Arial"/>
          <w:sz w:val="22"/>
          <w:szCs w:val="22"/>
          <w:color w:val="auto"/>
        </w:rPr>
      </w:pPr>
    </w:p>
    <w:p>
      <w:pPr>
        <w:ind w:left="1112" w:hanging="464"/>
        <w:spacing w:after="0"/>
        <w:tabs>
          <w:tab w:leader="none" w:pos="1112"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material breach by the Participant of his or her fiduciary duty to the Company; or</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8" w:firstLine="656"/>
        <w:spacing w:after="0" w:line="247" w:lineRule="auto"/>
        <w:tabs>
          <w:tab w:leader="none" w:pos="1168"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willful and continued failure of the Participant to perform substantially the Participant’s duties with the Company or one of its Affiliates to the extent, degree and level of performance as expected of the Participant (other than any such failure resulting from incapacity due to physical or mental illness), after a written demand for substantial performance is delivered to the Participant by the Board or the Chief Executive Officer of the Company which specifically identifies the manner in which the Board or Chief Executive Officer believes that the Participant has not substantially performed the Participant’s duties.</w:t>
      </w:r>
    </w:p>
    <w:p>
      <w:pPr>
        <w:spacing w:after="0" w:line="219" w:lineRule="exact"/>
        <w:rPr>
          <w:rFonts w:ascii="Arial" w:cs="Arial" w:eastAsia="Arial" w:hAnsi="Arial"/>
          <w:sz w:val="22"/>
          <w:szCs w:val="22"/>
          <w:color w:val="auto"/>
        </w:rPr>
      </w:pPr>
    </w:p>
    <w:p>
      <w:pPr>
        <w:ind w:left="472" w:hanging="472"/>
        <w:spacing w:after="0"/>
        <w:tabs>
          <w:tab w:leader="none" w:pos="47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occurrence of any of the following events after the Effective Date:</w:t>
      </w:r>
    </w:p>
    <w:p>
      <w:pPr>
        <w:spacing w:after="0" w:line="260" w:lineRule="exact"/>
        <w:rPr>
          <w:rFonts w:ascii="Arial" w:cs="Arial" w:eastAsia="Arial" w:hAnsi="Arial"/>
          <w:sz w:val="22"/>
          <w:szCs w:val="22"/>
          <w:color w:val="auto"/>
        </w:rPr>
      </w:pPr>
    </w:p>
    <w:p>
      <w:pPr>
        <w:ind w:left="-8" w:right="120" w:firstLine="656"/>
        <w:spacing w:after="0" w:line="273" w:lineRule="auto"/>
        <w:tabs>
          <w:tab w:leader="none" w:pos="10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acquisition (other than by an Excluded Person), directly or indirectly, in one or more transactions, by any person or by any group of persons, within the meaning of Section 13(d) or 14(d) of the Exchange Act, of beneficial ownership (within the meaning of Rule 13d-3 of the Exchange Act) of more than fifty percent (50%) of either the outstanding shares of common stock or the combined voting power of the Company’s outstanding voting securities entitled to vote generally, whether or not the acquisition was previously approved by the existing directors, other than an acquisition that complies with clause (x) of paragraph (ii);</w:t>
      </w: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8" w:right="20" w:firstLine="656"/>
        <w:spacing w:after="0" w:line="326" w:lineRule="auto"/>
        <w:tabs>
          <w:tab w:leader="none" w:pos="11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of the Company or the sale or other disposition of all or substantially all of the Company’s assets unless, (x) immediately following such event, all or substantially all of the stockholders of the Company immediately prior to such event own, directly or indirectly, more than fifty percent (50%) of the then outstanding voting securities of the resulting company (including without limitation, a corporation which as a result of such event owns the Company or all or substantially all of the Company’s assets either directly or indirectly through one or more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32"/>
          </w:cols>
          <w:pgMar w:left="328" w:top="1440" w:right="339" w:bottom="1440" w:gutter="0" w:footer="0" w:header="0"/>
        </w:sectPr>
      </w:pPr>
    </w:p>
    <w:bookmarkStart w:id="111" w:name="page112"/>
    <w:bookmarkEnd w:id="111"/>
    <w:p>
      <w:pPr>
        <w:spacing w:after="0" w:line="200" w:lineRule="exact"/>
        <w:rPr>
          <w:sz w:val="20"/>
          <w:szCs w:val="20"/>
          <w:color w:val="auto"/>
        </w:rPr>
      </w:pPr>
    </w:p>
    <w:p>
      <w:pPr>
        <w:spacing w:after="0" w:line="220" w:lineRule="exact"/>
        <w:rPr>
          <w:sz w:val="20"/>
          <w:szCs w:val="20"/>
          <w:color w:val="auto"/>
        </w:rPr>
      </w:pPr>
    </w:p>
    <w:p>
      <w:pPr>
        <w:ind w:left="1200" w:hanging="544"/>
        <w:spacing w:after="0"/>
        <w:tabs>
          <w:tab w:leader="none" w:pos="1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complete liquidation or dissolution of the Company;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right="40" w:firstLine="656"/>
        <w:spacing w:after="0" w:line="289" w:lineRule="auto"/>
        <w:tabs>
          <w:tab w:leader="none" w:pos="11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change in the composition of a majority of the directors on the Company’s Board within twelve (12) months if not approved by a majority of the pre-existing directors.</w:t>
      </w:r>
    </w:p>
    <w:p>
      <w:pPr>
        <w:spacing w:after="0" w:line="1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99"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420" w:hanging="412"/>
        <w:spacing w:after="0"/>
        <w:tabs>
          <w:tab w:leader="none" w:pos="42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The Compensation Committee of the Board.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420" w:hanging="412"/>
        <w:spacing w:after="0"/>
        <w:tabs>
          <w:tab w:leader="none" w:pos="42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Molina Healthcare, Inc., a Delaware corporation, and any successor thereto.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480" w:hanging="472"/>
        <w:spacing w:after="0"/>
        <w:tabs>
          <w:tab w:leader="none" w:pos="4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The Date of Termination shall mean: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right="100" w:firstLine="656"/>
        <w:spacing w:after="0" w:line="279" w:lineRule="auto"/>
        <w:tabs>
          <w:tab w:leader="none" w:pos="1068" w:val="left"/>
        </w:tabs>
        <w:numPr>
          <w:ilvl w:val="1"/>
          <w:numId w:val="52"/>
        </w:numPr>
        <w:rPr>
          <w:rFonts w:ascii="Arial" w:cs="Arial" w:eastAsia="Arial" w:hAnsi="Arial"/>
          <w:sz w:val="22"/>
          <w:szCs w:val="22"/>
          <w:color w:val="auto"/>
        </w:rPr>
      </w:pPr>
      <w:r>
        <w:rPr>
          <w:rFonts w:ascii="Arial" w:cs="Arial" w:eastAsia="Arial" w:hAnsi="Arial"/>
          <w:sz w:val="22"/>
          <w:szCs w:val="22"/>
          <w:color w:val="auto"/>
        </w:rPr>
        <w:t>except in the case of the Participant’s termination of employment by reason of death or Disability, the date of receipt of the Notice of Termination by the Company or the Participant, as the case may be, or such later date specified in the Notice of Termination, as the case may be;</w:t>
      </w: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1140" w:hanging="484"/>
        <w:spacing w:after="0"/>
        <w:tabs>
          <w:tab w:leader="none" w:pos="11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the Participant’s employment is terminated by reason of death, the date of death; or</w:t>
      </w:r>
    </w:p>
    <w:p>
      <w:pPr>
        <w:spacing w:after="0" w:line="238" w:lineRule="exact"/>
        <w:rPr>
          <w:rFonts w:ascii="Arial" w:cs="Arial" w:eastAsia="Arial" w:hAnsi="Arial"/>
          <w:sz w:val="22"/>
          <w:szCs w:val="22"/>
          <w:color w:val="auto"/>
        </w:rPr>
      </w:pPr>
    </w:p>
    <w:p>
      <w:pPr>
        <w:ind w:right="300" w:firstLine="656"/>
        <w:spacing w:after="0" w:line="224" w:lineRule="auto"/>
        <w:tabs>
          <w:tab w:leader="none" w:pos="1242"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the Participant’s employment is terminated by reason of Disability, the thirtieth (30</w:t>
      </w:r>
      <w:r>
        <w:rPr>
          <w:rFonts w:ascii="Arial" w:cs="Arial" w:eastAsia="Arial" w:hAnsi="Arial"/>
          <w:sz w:val="28"/>
          <w:szCs w:val="28"/>
          <w:color w:val="auto"/>
          <w:vertAlign w:val="superscript"/>
        </w:rPr>
        <w:t>th</w:t>
      </w:r>
      <w:r>
        <w:rPr>
          <w:rFonts w:ascii="Arial" w:cs="Arial" w:eastAsia="Arial" w:hAnsi="Arial"/>
          <w:sz w:val="22"/>
          <w:szCs w:val="22"/>
          <w:color w:val="auto"/>
        </w:rPr>
        <w:t>) day after receipt of such Notice of Termination by the Participant.</w:t>
      </w:r>
    </w:p>
    <w:p>
      <w:pPr>
        <w:spacing w:after="0" w:line="227"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Notwithstanding the foregoing, in no event shall the Date of Termination occur until the Participant experiences a “separation from service” within the meaning of Section 409A, and the date on which such separation from service takes place shall be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 w:lineRule="exact"/>
        <w:rPr>
          <w:sz w:val="20"/>
          <w:szCs w:val="20"/>
          <w:color w:val="auto"/>
        </w:rPr>
      </w:pPr>
    </w:p>
    <w:p>
      <w:pPr>
        <w:ind w:left="-8" w:right="520" w:firstLine="8"/>
        <w:spacing w:after="0" w:line="289" w:lineRule="auto"/>
        <w:tabs>
          <w:tab w:leader="none" w:pos="46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A condition such that the Participant by reason of physical or mental disability becomes entitled to benefits under the Company’s long-term disability plan.</w:t>
      </w:r>
    </w:p>
    <w:p>
      <w:pPr>
        <w:spacing w:after="0" w:line="200" w:lineRule="exact"/>
        <w:rPr>
          <w:rFonts w:ascii="Arial" w:cs="Arial" w:eastAsia="Arial" w:hAnsi="Arial"/>
          <w:sz w:val="22"/>
          <w:szCs w:val="22"/>
          <w:color w:val="auto"/>
        </w:rPr>
      </w:pPr>
    </w:p>
    <w:p>
      <w:pPr>
        <w:spacing w:after="0" w:line="365" w:lineRule="exact"/>
        <w:rPr>
          <w:rFonts w:ascii="Arial" w:cs="Arial" w:eastAsia="Arial" w:hAnsi="Arial"/>
          <w:sz w:val="22"/>
          <w:szCs w:val="22"/>
          <w:color w:val="auto"/>
        </w:rPr>
      </w:pPr>
    </w:p>
    <w:p>
      <w:pPr>
        <w:ind w:left="532" w:hanging="532"/>
        <w:spacing w:after="0"/>
        <w:tabs>
          <w:tab w:leader="none" w:pos="53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shall be as defined in the introductory section hereof.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jc w:val="both"/>
        <w:ind w:left="-8" w:firstLine="8"/>
        <w:spacing w:after="0" w:line="279" w:lineRule="auto"/>
        <w:tabs>
          <w:tab w:leader="none" w:pos="4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Employee</w:t>
      </w:r>
      <w:r>
        <w:rPr>
          <w:rFonts w:ascii="Arial" w:cs="Arial" w:eastAsia="Arial" w:hAnsi="Arial"/>
          <w:sz w:val="22"/>
          <w:szCs w:val="22"/>
          <w:color w:val="auto"/>
        </w:rPr>
        <w:t>. Any full-time, regular employee of the Company or any of its Subsidiaries whose employment is not the subject of a collective bargaining agreement, including any such employees who may be on a leave of absence approved by the Company or any of its Subsidiaries, respectively.</w:t>
      </w:r>
    </w:p>
    <w:p>
      <w:pPr>
        <w:spacing w:after="0" w:line="200" w:lineRule="exact"/>
        <w:rPr>
          <w:rFonts w:ascii="Arial" w:cs="Arial" w:eastAsia="Arial" w:hAnsi="Arial"/>
          <w:sz w:val="22"/>
          <w:szCs w:val="22"/>
          <w:color w:val="auto"/>
        </w:rPr>
      </w:pPr>
    </w:p>
    <w:p>
      <w:pPr>
        <w:spacing w:after="0" w:line="375" w:lineRule="exact"/>
        <w:rPr>
          <w:rFonts w:ascii="Arial" w:cs="Arial" w:eastAsia="Arial" w:hAnsi="Arial"/>
          <w:sz w:val="22"/>
          <w:szCs w:val="22"/>
          <w:color w:val="auto"/>
        </w:rPr>
      </w:pPr>
    </w:p>
    <w:p>
      <w:pPr>
        <w:ind w:left="472" w:hanging="472"/>
        <w:spacing w:after="0"/>
        <w:tabs>
          <w:tab w:leader="none" w:pos="47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472" w:hanging="472"/>
        <w:spacing w:after="0"/>
        <w:tabs>
          <w:tab w:leader="none" w:pos="47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472" w:hanging="472"/>
        <w:spacing w:after="0"/>
        <w:tabs>
          <w:tab w:leader="none" w:pos="47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Excluded Person</w:t>
      </w:r>
      <w:r>
        <w:rPr>
          <w:rFonts w:ascii="Arial" w:cs="Arial" w:eastAsia="Arial" w:hAnsi="Arial"/>
          <w:sz w:val="22"/>
          <w:szCs w:val="22"/>
          <w:color w:val="auto"/>
        </w:rPr>
        <w:t>. “</w:t>
      </w:r>
      <w:r>
        <w:rPr>
          <w:rFonts w:ascii="Arial" w:cs="Arial" w:eastAsia="Arial" w:hAnsi="Arial"/>
          <w:sz w:val="22"/>
          <w:szCs w:val="22"/>
          <w:u w:val="single" w:color="auto"/>
          <w:color w:val="auto"/>
        </w:rPr>
        <w:t>Excluded Person</w:t>
      </w:r>
      <w:r>
        <w:rPr>
          <w:rFonts w:ascii="Arial" w:cs="Arial" w:eastAsia="Arial" w:hAnsi="Arial"/>
          <w:sz w:val="22"/>
          <w:szCs w:val="22"/>
          <w:color w:val="auto"/>
        </w:rPr>
        <w:t>” means: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1072" w:hanging="424"/>
        <w:spacing w:after="0"/>
        <w:tabs>
          <w:tab w:leader="none" w:pos="10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person described in and satisfying the conditions of Rule 13d-1(b)(1) under the Exchange Act;</w:t>
      </w:r>
    </w:p>
    <w:p>
      <w:pPr>
        <w:spacing w:after="0" w:line="246" w:lineRule="exact"/>
        <w:rPr>
          <w:rFonts w:ascii="Arial" w:cs="Arial" w:eastAsia="Arial" w:hAnsi="Arial"/>
          <w:sz w:val="22"/>
          <w:szCs w:val="22"/>
          <w:color w:val="auto"/>
        </w:rPr>
      </w:pPr>
    </w:p>
    <w:p>
      <w:pPr>
        <w:ind w:left="1132" w:hanging="484"/>
        <w:spacing w:after="0"/>
        <w:tabs>
          <w:tab w:leader="none" w:pos="1132"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Company;</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1192" w:hanging="544"/>
        <w:spacing w:after="0"/>
        <w:tabs>
          <w:tab w:leader="none" w:pos="1192" w:val="left"/>
        </w:tabs>
        <w:numPr>
          <w:ilvl w:val="1"/>
          <w:numId w:val="53"/>
        </w:numPr>
        <w:rPr>
          <w:rFonts w:ascii="Arial" w:cs="Arial" w:eastAsia="Arial" w:hAnsi="Arial"/>
          <w:sz w:val="21"/>
          <w:szCs w:val="21"/>
          <w:color w:val="auto"/>
        </w:rPr>
      </w:pPr>
      <w:r>
        <w:rPr>
          <w:rFonts w:ascii="Arial" w:cs="Arial" w:eastAsia="Arial" w:hAnsi="Arial"/>
          <w:sz w:val="21"/>
          <w:szCs w:val="21"/>
          <w:color w:val="auto"/>
        </w:rPr>
        <w:t>an employee benefit plan (or related trust) sponsored or maintained by the Company or its successor; or</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8" w:right="20" w:firstLine="656"/>
        <w:spacing w:after="0" w:line="253" w:lineRule="auto"/>
        <w:tabs>
          <w:tab w:leader="none" w:pos="1168"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person who is the beneficial owner (as defined in Rule 13d-3 under the Exchange Act) of more than fifteen percent (15%) of the common stock of the Company on the Effective Date (or any affiliate, successor, heir, descendant, or related party of or to such person).</w:t>
      </w:r>
    </w:p>
    <w:p>
      <w:pPr>
        <w:spacing w:after="0" w:line="225" w:lineRule="exact"/>
        <w:rPr>
          <w:rFonts w:ascii="Arial" w:cs="Arial" w:eastAsia="Arial" w:hAnsi="Arial"/>
          <w:sz w:val="22"/>
          <w:szCs w:val="22"/>
          <w:color w:val="auto"/>
        </w:rPr>
      </w:pPr>
    </w:p>
    <w:p>
      <w:pPr>
        <w:ind w:left="-8" w:right="1000" w:firstLine="8"/>
        <w:spacing w:after="0" w:line="289" w:lineRule="auto"/>
        <w:tabs>
          <w:tab w:leader="none" w:pos="42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occurrence of any one (1) or more of the following, without the express written consent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12"/>
          </w:cols>
          <w:pgMar w:left="328" w:top="1440" w:right="359" w:bottom="1440" w:gutter="0" w:footer="0" w:header="0"/>
        </w:sectPr>
      </w:pPr>
    </w:p>
    <w:bookmarkStart w:id="113" w:name="page114"/>
    <w:bookmarkEnd w:id="113"/>
    <w:p>
      <w:pPr>
        <w:ind w:right="120" w:firstLine="656"/>
        <w:spacing w:after="0" w:line="253" w:lineRule="auto"/>
        <w:tabs>
          <w:tab w:leader="none" w:pos="106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Participant’s position, authority, duties or responsibilities are materially diminished from those in effect during the ninety (90)-day period immediately preceding a Change in Control (whether or not occurring solely as a result of the Company ceasing to be a publicly traded entity);</w:t>
      </w:r>
    </w:p>
    <w:p>
      <w:pPr>
        <w:spacing w:after="0" w:line="387" w:lineRule="exact"/>
        <w:rPr>
          <w:rFonts w:ascii="Arial" w:cs="Arial" w:eastAsia="Arial" w:hAnsi="Arial"/>
          <w:sz w:val="22"/>
          <w:szCs w:val="22"/>
          <w:color w:val="auto"/>
        </w:rPr>
      </w:pPr>
    </w:p>
    <w:p>
      <w:pPr>
        <w:ind w:right="20" w:firstLine="656"/>
        <w:spacing w:after="0" w:line="253" w:lineRule="auto"/>
        <w:tabs>
          <w:tab w:leader="none" w:pos="1128"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material reduction in the Participant’s (x) Annual Base Salary or (y) total annual compensation opportunity, from such total annual compensation opportunity as in effect during the ninety (90)-day period immediately prior to the Change in Control, or as the same may be increased from time to time;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200" w:hanging="544"/>
        <w:spacing w:after="0"/>
        <w:tabs>
          <w:tab w:leader="none" w:pos="12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Company requires the Participant regularly to perform such Participant’s duties of employment beyond a fifty</w:t>
      </w:r>
    </w:p>
    <w:p>
      <w:pPr>
        <w:spacing w:after="0" w:line="55" w:lineRule="exact"/>
        <w:rPr>
          <w:rFonts w:ascii="Arial" w:cs="Arial" w:eastAsia="Arial" w:hAnsi="Arial"/>
          <w:sz w:val="19"/>
          <w:szCs w:val="19"/>
          <w:color w:val="auto"/>
        </w:rPr>
      </w:pPr>
    </w:p>
    <w:p>
      <w:pPr>
        <w:ind w:left="420" w:hanging="412"/>
        <w:spacing w:after="0"/>
        <w:tabs>
          <w:tab w:leader="none" w:pos="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mile radius from the location of the Participant’s employment immediately prior to the Change in Control; or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180" w:hanging="524"/>
        <w:spacing w:after="0"/>
        <w:tabs>
          <w:tab w:leader="none" w:pos="11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 material breach by the Company of the terms of a Participant’s written employment agreement.</w:t>
      </w:r>
    </w:p>
    <w:p>
      <w:pPr>
        <w:spacing w:after="0" w:line="260" w:lineRule="exact"/>
        <w:rPr>
          <w:sz w:val="20"/>
          <w:szCs w:val="20"/>
          <w:color w:val="auto"/>
        </w:rPr>
      </w:pPr>
    </w:p>
    <w:p>
      <w:pPr>
        <w:ind w:right="20" w:firstLine="648"/>
        <w:spacing w:after="0" w:line="311" w:lineRule="auto"/>
        <w:rPr>
          <w:sz w:val="20"/>
          <w:szCs w:val="20"/>
          <w:color w:val="auto"/>
        </w:rPr>
      </w:pPr>
      <w:r>
        <w:rPr>
          <w:rFonts w:ascii="Arial" w:cs="Arial" w:eastAsia="Arial" w:hAnsi="Arial"/>
          <w:sz w:val="19"/>
          <w:szCs w:val="19"/>
          <w:color w:val="auto"/>
        </w:rPr>
        <w:t>In order to invoke a termination of employment for Good Reason, the Participant shall provide a Notice of Termination pursuant to Section 7.4 to the Company’s Chief Legal Officer of the existence of one or more of the conditions described in clauses (i) through (iv) within ninety (90) days following the initial existence of such condition or conditions, specifying in reasonable detail the conditions constituting Good Reason (hereinafter, “</w:t>
      </w:r>
      <w:r>
        <w:rPr>
          <w:rFonts w:ascii="Arial" w:cs="Arial" w:eastAsia="Arial" w:hAnsi="Arial"/>
          <w:sz w:val="19"/>
          <w:szCs w:val="19"/>
          <w:u w:val="single" w:color="auto"/>
          <w:color w:val="auto"/>
        </w:rPr>
        <w:t>Notice of Good Reason</w:t>
      </w:r>
      <w:r>
        <w:rPr>
          <w:rFonts w:ascii="Arial" w:cs="Arial" w:eastAsia="Arial" w:hAnsi="Arial"/>
          <w:sz w:val="19"/>
          <w:szCs w:val="19"/>
          <w:color w:val="auto"/>
        </w:rPr>
        <w:t>”), and the Company shall have thirty (30) days following receipt of such written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applicable Cure Period, the effective date of the Participant’s Termination of Employment shall be as specified in such notice, but in no event later than thirty (30) days thereafter. The Participant’s mental or physical incapacity following the occurrence of an event described above in clauses</w:t>
      </w:r>
    </w:p>
    <w:p>
      <w:pPr>
        <w:spacing w:after="0" w:line="3" w:lineRule="exact"/>
        <w:rPr>
          <w:sz w:val="20"/>
          <w:szCs w:val="20"/>
          <w:color w:val="auto"/>
        </w:rPr>
      </w:pPr>
    </w:p>
    <w:p>
      <w:pPr>
        <w:ind w:right="280" w:firstLine="8"/>
        <w:spacing w:after="0" w:line="279" w:lineRule="auto"/>
        <w:tabs>
          <w:tab w:leader="none" w:pos="258"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through (iv) shall not affect the Participant’s ability to terminate employment for Good Reason and the Participant’s death following delivery of a Notice of Good Reason shall not affect the Participant’s estate’s entitlement to Separation Benefits provided hereunder.</w:t>
      </w:r>
    </w:p>
    <w:p>
      <w:pPr>
        <w:spacing w:after="0" w:line="144"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firstLine="656"/>
        <w:spacing w:after="0" w:line="302" w:lineRule="auto"/>
        <w:tabs>
          <w:tab w:leader="none" w:pos="1068" w:val="left"/>
        </w:tabs>
        <w:numPr>
          <w:ilvl w:val="1"/>
          <w:numId w:val="57"/>
        </w:numPr>
        <w:rPr>
          <w:rFonts w:ascii="Arial" w:cs="Arial" w:eastAsia="Arial" w:hAnsi="Arial"/>
          <w:sz w:val="19"/>
          <w:szCs w:val="19"/>
          <w:color w:val="auto"/>
        </w:rPr>
      </w:pPr>
      <w:r>
        <w:rPr>
          <w:rFonts w:ascii="Arial" w:cs="Arial" w:eastAsia="Arial" w:hAnsi="Arial"/>
          <w:sz w:val="19"/>
          <w:szCs w:val="19"/>
          <w:color w:val="auto"/>
        </w:rPr>
        <w:t>In the case of the Company, a written notice that (x) indicates the basis under the Plan for termination and (y) to the extent applicable, sets forth in reasonable detail the facts and circumstances claimed to provide a basis for termination of the Participant’s employment under the Plan, as indicated. The failure by the Company to set forth in the Notice of Termination any fact or circumstance that contributes to a showing of Good Reason or Cause shall not waive 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60"/>
          </w:cols>
          <w:pgMar w:left="320" w:top="1428" w:right="51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right of the Company hereunder or preclude the Company, respectively, from asserting such fact or circumstance in enforcing the Company’s respective rights hereunder.</w:t>
      </w:r>
    </w:p>
    <w:p>
      <w:pPr>
        <w:spacing w:after="0" w:line="202" w:lineRule="exact"/>
        <w:rPr>
          <w:sz w:val="20"/>
          <w:szCs w:val="20"/>
          <w:color w:val="auto"/>
        </w:rPr>
      </w:pPr>
    </w:p>
    <w:p>
      <w:pPr>
        <w:ind w:right="80" w:firstLine="656"/>
        <w:spacing w:after="0" w:line="294" w:lineRule="auto"/>
        <w:tabs>
          <w:tab w:leader="none" w:pos="1128"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the case of a Participant, a notice from a Participant to the Company that shall indicate the specific termination provision or provisions of the Plan relied upon and shall set forth in reasonable detail the facts and in the case of a Notice of Termination for Good Reason, the circumstances claimed to provide a basis for termination for Good Reason. Such Notice of Termination for Good Reason must be given no later than ninety (90) days from the initial existence of the condition and shall provide for a date of termination not less than thirty (30) nor more than sixty (60) days after the date such Notice of Termination for Good Reason is delivered to and acknowledged by the General Counsel of the Company.</w:t>
      </w:r>
    </w:p>
    <w:p>
      <w:pPr>
        <w:spacing w:after="0" w:line="365" w:lineRule="exact"/>
        <w:rPr>
          <w:rFonts w:ascii="Arial" w:cs="Arial" w:eastAsia="Arial" w:hAnsi="Arial"/>
          <w:sz w:val="19"/>
          <w:szCs w:val="19"/>
          <w:color w:val="auto"/>
        </w:rPr>
      </w:pPr>
    </w:p>
    <w:p>
      <w:pPr>
        <w:ind w:left="420" w:hanging="412"/>
        <w:spacing w:after="0"/>
        <w:tabs>
          <w:tab w:leader="none" w:pos="42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An individual who qualifies to participate in this Plan pursuant to Section 3.1.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right="40" w:firstLine="8"/>
        <w:spacing w:after="0" w:line="280" w:lineRule="auto"/>
        <w:tabs>
          <w:tab w:leader="none" w:pos="46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Qualifying Termination</w:t>
      </w:r>
      <w:r>
        <w:rPr>
          <w:rFonts w:ascii="Arial" w:cs="Arial" w:eastAsia="Arial" w:hAnsi="Arial"/>
          <w:sz w:val="20"/>
          <w:szCs w:val="20"/>
          <w:color w:val="auto"/>
        </w:rPr>
        <w:t>. At any time following a Change in Control and prior to the second (2</w:t>
      </w:r>
      <w:r>
        <w:rPr>
          <w:rFonts w:ascii="Arial" w:cs="Arial" w:eastAsia="Arial" w:hAnsi="Arial"/>
          <w:sz w:val="26"/>
          <w:szCs w:val="26"/>
          <w:color w:val="auto"/>
          <w:vertAlign w:val="superscript"/>
        </w:rPr>
        <w:t>nd</w:t>
      </w:r>
      <w:r>
        <w:rPr>
          <w:rFonts w:ascii="Arial" w:cs="Arial" w:eastAsia="Arial" w:hAnsi="Arial"/>
          <w:sz w:val="20"/>
          <w:szCs w:val="20"/>
          <w:color w:val="auto"/>
        </w:rPr>
        <w:t>) anniversary of the Change in Control, the Participant’s employment with the Company or any of its Subsidiaries is terminated (i) involuntarily by the Company for any reason other than Cause, death, or Disability; or (ii) by the Participant for Good Reason.</w:t>
      </w: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480" w:hanging="472"/>
        <w:spacing w:after="0"/>
        <w:tabs>
          <w:tab w:leader="none" w:pos="4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Section 409A of the Code, and the rules and regulations issued thereunder.</w:t>
      </w:r>
    </w:p>
    <w:p>
      <w:pPr>
        <w:spacing w:after="0" w:line="206" w:lineRule="exact"/>
        <w:rPr>
          <w:rFonts w:ascii="Arial" w:cs="Arial" w:eastAsia="Arial" w:hAnsi="Arial"/>
          <w:sz w:val="22"/>
          <w:szCs w:val="22"/>
          <w:color w:val="auto"/>
        </w:rPr>
      </w:pPr>
    </w:p>
    <w:p>
      <w:pPr>
        <w:ind w:right="560" w:firstLine="8"/>
        <w:spacing w:after="0" w:line="289" w:lineRule="auto"/>
        <w:tabs>
          <w:tab w:leader="none" w:pos="51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The benefits described in Sections 4.2(a)(iii), (iv) and (v) and Sections 4.2(b) and 4.2(c) that are provided to qualifying Participants under the Plan.</w:t>
      </w:r>
    </w:p>
    <w:p>
      <w:pPr>
        <w:spacing w:after="0" w:line="200" w:lineRule="exact"/>
        <w:rPr>
          <w:rFonts w:ascii="Arial" w:cs="Arial" w:eastAsia="Arial" w:hAnsi="Arial"/>
          <w:sz w:val="22"/>
          <w:szCs w:val="22"/>
          <w:color w:val="auto"/>
        </w:rPr>
      </w:pPr>
    </w:p>
    <w:p>
      <w:pPr>
        <w:spacing w:after="0" w:line="365" w:lineRule="exact"/>
        <w:rPr>
          <w:rFonts w:ascii="Arial" w:cs="Arial" w:eastAsia="Arial" w:hAnsi="Arial"/>
          <w:sz w:val="22"/>
          <w:szCs w:val="22"/>
          <w:color w:val="auto"/>
        </w:rPr>
      </w:pPr>
    </w:p>
    <w:p>
      <w:pPr>
        <w:ind w:right="120" w:firstLine="8"/>
        <w:spacing w:after="0" w:line="279" w:lineRule="auto"/>
        <w:tabs>
          <w:tab w:leader="none" w:pos="468"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Subsidiary</w:t>
      </w:r>
      <w:r>
        <w:rPr>
          <w:rFonts w:ascii="Arial" w:cs="Arial" w:eastAsia="Arial" w:hAnsi="Arial"/>
          <w:sz w:val="22"/>
          <w:szCs w:val="22"/>
          <w:color w:val="auto"/>
        </w:rPr>
        <w:t>. Any corporation, limited liability company, or any other entity in which the Company, directly or indirectly, holds a majority of the voting power of such corporation’s, limited liability company’s, or such other entity’s outstanding equity interests.</w:t>
      </w:r>
    </w:p>
    <w:p>
      <w:pPr>
        <w:spacing w:after="0" w:line="200" w:lineRule="exact"/>
        <w:rPr>
          <w:sz w:val="20"/>
          <w:szCs w:val="20"/>
          <w:color w:val="auto"/>
        </w:rPr>
      </w:pPr>
    </w:p>
    <w:p>
      <w:pPr>
        <w:spacing w:after="0" w:line="356"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6" w:lineRule="exact"/>
        <w:rPr>
          <w:sz w:val="20"/>
          <w:szCs w:val="20"/>
          <w:color w:val="auto"/>
        </w:rPr>
      </w:pPr>
    </w:p>
    <w:p>
      <w:pPr>
        <w:ind w:right="60"/>
        <w:spacing w:after="0" w:line="29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Participation</w:t>
      </w:r>
      <w:r>
        <w:rPr>
          <w:rFonts w:ascii="Arial" w:cs="Arial" w:eastAsia="Arial" w:hAnsi="Arial"/>
          <w:sz w:val="21"/>
          <w:szCs w:val="21"/>
          <w:color w:val="auto"/>
        </w:rPr>
        <w:t>. Each Employee (a) who has a position of Associate Vice President or above, or (b) who has a position lower than Associate Vice President, but has been designated in writing as a Participant by the Committee or the Board, shall be a Participant in this Plan. Notwithstanding the foregoing, if a Participant who is eligible to participate in this Plan has entered into an agreement with the Company that provides for benefits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80"/>
          </w:cols>
          <w:pgMar w:left="320" w:top="1428" w:right="399" w:bottom="1440" w:gutter="0" w:footer="0" w:header="0"/>
        </w:sectPr>
      </w:pPr>
    </w:p>
    <w:bookmarkStart w:id="115" w:name="page116"/>
    <w:bookmarkEnd w:id="115"/>
    <w:p>
      <w:pPr>
        <w:spacing w:after="0" w:line="2" w:lineRule="exact"/>
        <w:rPr>
          <w:sz w:val="20"/>
          <w:szCs w:val="20"/>
          <w:color w:val="auto"/>
        </w:rPr>
      </w:pPr>
    </w:p>
    <w:p>
      <w:pPr>
        <w:jc w:val="both"/>
        <w:ind w:right="280"/>
        <w:spacing w:after="0" w:line="279" w:lineRule="auto"/>
        <w:rPr>
          <w:sz w:val="20"/>
          <w:szCs w:val="20"/>
          <w:color w:val="auto"/>
        </w:rPr>
      </w:pPr>
      <w:r>
        <w:rPr>
          <w:rFonts w:ascii="Arial" w:cs="Arial" w:eastAsia="Arial" w:hAnsi="Arial"/>
          <w:sz w:val="22"/>
          <w:szCs w:val="22"/>
          <w:color w:val="auto"/>
        </w:rPr>
        <w:t>termination of employment following a Change in Control, such Participant shall be entitled to receive Separation Benefits (or any other benefits under the Plan) only to the extent that such Separation Benefits are in addition to or in excess of the benefits provided under such Participant’s agreement with the Company.</w:t>
      </w:r>
    </w:p>
    <w:p>
      <w:pPr>
        <w:spacing w:after="0" w:line="144" w:lineRule="exact"/>
        <w:rPr>
          <w:sz w:val="20"/>
          <w:szCs w:val="20"/>
          <w:color w:val="auto"/>
        </w:rPr>
      </w:pPr>
    </w:p>
    <w:p>
      <w:pPr>
        <w:ind w:right="100"/>
        <w:spacing w:after="0" w:line="31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Duration of Participation</w:t>
      </w:r>
      <w:r>
        <w:rPr>
          <w:rFonts w:ascii="Arial" w:cs="Arial" w:eastAsia="Arial" w:hAnsi="Arial"/>
          <w:sz w:val="19"/>
          <w:szCs w:val="19"/>
          <w:color w:val="auto"/>
        </w:rPr>
        <w:t>. The Committee may remove an Employee as a Participant by providing written notice of removal to such Employee; provided that no such removal shall be effective (a) during the two (2) year period following a Change in Control, (b) if effectuated prior to a Change in Control, but after a letter of intent with respect to such Change in Control has been entered into between the Company and a third party or (c) at such time as the Participant is entitled to payment of a Separation Benefit or any other amounts payable under the Plan. In addition, a Participant shall cease to be a Participant in the Plan as a result of an amendment or termination of the Plan complying with Article VI of the Plan, or when the Participant ceases to be an Employee or no longer qualifies as a Participant under Section 3.1, unless, at the time the Participant ceases to be an Employee or no longer qualifies as a Participant under Section 3.1, such Participant is entitled to payment of a Separation Benefit or any other amounts payable under the Plan or there has been an event or occurrence constituting Good Reason that would enable the Participant to terminate employment and receive a Separation Benefit. A Participant entitled to payment of a Separation Benefit or any other amounts payable under the Plan shall remain a Participant in the Plan until the full amount of the Separation Benefit and any other amounts payable under the Plan have been paid to the Participant.</w:t>
      </w:r>
    </w:p>
    <w:p>
      <w:pPr>
        <w:spacing w:after="0" w:line="1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1"/>
          <w:szCs w:val="21"/>
          <w:b w:val="1"/>
          <w:bCs w:val="1"/>
          <w:color w:val="auto"/>
        </w:rPr>
        <w:t>SEPARATION BENEFITS</w:t>
      </w:r>
    </w:p>
    <w:p>
      <w:pPr>
        <w:spacing w:after="0" w:line="212" w:lineRule="exact"/>
        <w:rPr>
          <w:sz w:val="20"/>
          <w:szCs w:val="20"/>
          <w:color w:val="auto"/>
        </w:rPr>
      </w:pPr>
    </w:p>
    <w:p>
      <w:pPr>
        <w:ind w:right="60"/>
        <w:spacing w:after="0" w:line="32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Terminations of Employment which Give Rise to Separation Benefits under this Plan</w:t>
      </w:r>
      <w:r>
        <w:rPr>
          <w:rFonts w:ascii="Arial" w:cs="Arial" w:eastAsia="Arial" w:hAnsi="Arial"/>
          <w:sz w:val="19"/>
          <w:szCs w:val="19"/>
          <w:color w:val="auto"/>
        </w:rPr>
        <w:t>. Provided that a Participant is in compliance with the terms of this Plan and satisfies all conditions herein, such Participant shall be entitled to Separation Benefits as set forth in Section 4.2 below if the Participant experiences a Qualifying Termination. For purposes of this Plan, any purported termination by the Company or by the Participant shall be communicated by written Notice of Termination to the other in accordance with Section 7.4 hereof and, to the extent applicable, Section 2(s) hereof.</w:t>
      </w:r>
    </w:p>
    <w:p>
      <w:pPr>
        <w:spacing w:after="0" w:line="10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Separation Benefits</w:t>
      </w:r>
      <w:r>
        <w:rPr>
          <w:rFonts w:ascii="Arial" w:cs="Arial" w:eastAsia="Arial" w:hAnsi="Arial"/>
          <w:sz w:val="19"/>
          <w:szCs w:val="19"/>
          <w:color w:val="auto"/>
        </w:rPr>
        <w:t>.</w:t>
      </w:r>
    </w:p>
    <w:p>
      <w:pPr>
        <w:spacing w:after="0" w:line="220" w:lineRule="exact"/>
        <w:rPr>
          <w:sz w:val="20"/>
          <w:szCs w:val="20"/>
          <w:color w:val="auto"/>
        </w:rPr>
      </w:pPr>
    </w:p>
    <w:p>
      <w:pPr>
        <w:ind w:firstLine="8"/>
        <w:spacing w:after="0" w:line="256" w:lineRule="auto"/>
        <w:tabs>
          <w:tab w:leader="none" w:pos="4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a Participant experiences a Qualifying Termination, then the Company shall pay to the Participant, in a lump sum in cash on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after the Date of Termination (or on such earlier date as may be required by applicable law), subject to the Participant’s compliance with Section 4.2(e) below, the aggregate of the following amounts which benefits, except as provided in Section 7.3 below, shall be in addition to any other benefits to which the Participant is entitled other than by reason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16" w:name="page117"/>
    <w:bookmarkEnd w:id="116"/>
    <w:p>
      <w:pPr>
        <w:ind w:left="1072" w:hanging="424"/>
        <w:spacing w:after="0"/>
        <w:tabs>
          <w:tab w:leader="none" w:pos="1072" w:val="left"/>
        </w:tabs>
        <w:numPr>
          <w:ilvl w:val="1"/>
          <w:numId w:val="62"/>
        </w:numPr>
        <w:rPr>
          <w:rFonts w:ascii="Arial" w:cs="Arial" w:eastAsia="Arial" w:hAnsi="Arial"/>
          <w:sz w:val="22"/>
          <w:szCs w:val="22"/>
          <w:color w:val="auto"/>
        </w:rPr>
      </w:pPr>
      <w:r>
        <w:rPr>
          <w:rFonts w:ascii="Arial" w:cs="Arial" w:eastAsia="Arial" w:hAnsi="Arial"/>
          <w:sz w:val="22"/>
          <w:szCs w:val="22"/>
          <w:color w:val="auto"/>
        </w:rPr>
        <w:t>unpaid salary with respect to any paid time off accrued but not taken as of the Date of Termination;</w:t>
      </w:r>
    </w:p>
    <w:p>
      <w:pPr>
        <w:spacing w:after="0" w:line="246" w:lineRule="exact"/>
        <w:rPr>
          <w:rFonts w:ascii="Arial" w:cs="Arial" w:eastAsia="Arial" w:hAnsi="Arial"/>
          <w:sz w:val="22"/>
          <w:szCs w:val="22"/>
          <w:color w:val="auto"/>
        </w:rPr>
      </w:pPr>
    </w:p>
    <w:p>
      <w:pPr>
        <w:ind w:left="1132" w:hanging="484"/>
        <w:spacing w:after="0"/>
        <w:tabs>
          <w:tab w:leader="none" w:pos="113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accrued but unpaid salary through the Date of Termination;</w:t>
      </w:r>
    </w:p>
    <w:p>
      <w:pPr>
        <w:spacing w:after="0" w:line="260" w:lineRule="exact"/>
        <w:rPr>
          <w:rFonts w:ascii="Arial" w:cs="Arial" w:eastAsia="Arial" w:hAnsi="Arial"/>
          <w:sz w:val="22"/>
          <w:szCs w:val="22"/>
          <w:color w:val="auto"/>
        </w:rPr>
      </w:pPr>
    </w:p>
    <w:p>
      <w:pPr>
        <w:ind w:left="-8" w:right="80" w:firstLine="656"/>
        <w:spacing w:after="0" w:line="323" w:lineRule="auto"/>
        <w:tabs>
          <w:tab w:leader="none" w:pos="11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earned but unpaid annual incentive bonuses from the fiscal year immediately preceding the year in which the Date of Termination occurs (unless (x) such annual incentive bonus is “nonqualified deferred compensation” within the meaning of Section 409A, in which case such bonus shall be paid at the time that bonuses with respect to such fiscal year are or otherwise would be paid in accordance with the terms of the applicable plan or (y) the Participant has made an irrevocable election under any deferred compensation arrangement subject to Section 409A to defer any portion of such annual incentive bonuses, in which case any such deferred bonuses shall be paid in accordance with such election);</w:t>
      </w:r>
    </w:p>
    <w:p>
      <w:pPr>
        <w:spacing w:after="0" w:line="200" w:lineRule="exact"/>
        <w:rPr>
          <w:rFonts w:ascii="Arial" w:cs="Arial" w:eastAsia="Arial" w:hAnsi="Arial"/>
          <w:sz w:val="19"/>
          <w:szCs w:val="19"/>
          <w:color w:val="auto"/>
        </w:rPr>
      </w:pPr>
    </w:p>
    <w:p>
      <w:pPr>
        <w:spacing w:after="0" w:line="344" w:lineRule="exact"/>
        <w:rPr>
          <w:rFonts w:ascii="Arial" w:cs="Arial" w:eastAsia="Arial" w:hAnsi="Arial"/>
          <w:sz w:val="19"/>
          <w:szCs w:val="19"/>
          <w:color w:val="auto"/>
        </w:rPr>
      </w:pPr>
    </w:p>
    <w:p>
      <w:pPr>
        <w:ind w:left="1172" w:hanging="524"/>
        <w:spacing w:after="0"/>
        <w:tabs>
          <w:tab w:leader="none" w:pos="117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 amount equal to the Applicable Multiple times the Participant’s Annual Base Salary;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left="-8" w:right="80" w:firstLine="656"/>
        <w:spacing w:after="0" w:line="312" w:lineRule="auto"/>
        <w:tabs>
          <w:tab w:leader="none" w:pos="1108"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 amount equal to the Participant’s Annual Bonus for the year in which the Participant’s employment is terminated based on the assumption that target performance had been achieved, and based on the number of entire months of such year that have elapsed through the date of the Participant’s termination of employment as a fraction of twelve (12).</w:t>
      </w:r>
    </w:p>
    <w:p>
      <w:pPr>
        <w:spacing w:after="0" w:line="173" w:lineRule="exact"/>
        <w:rPr>
          <w:rFonts w:ascii="Arial" w:cs="Arial" w:eastAsia="Arial" w:hAnsi="Arial"/>
          <w:sz w:val="19"/>
          <w:szCs w:val="19"/>
          <w:color w:val="auto"/>
        </w:rPr>
      </w:pPr>
    </w:p>
    <w:p>
      <w:pPr>
        <w:ind w:left="-8" w:firstLine="8"/>
        <w:spacing w:after="0" w:line="317" w:lineRule="auto"/>
        <w:tabs>
          <w:tab w:leader="none" w:pos="4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the Participant’s employment is terminated under circumstances which entitle the Participant to Separation Benefits under this Section 4.2 and the Participant and the Participant’s eligible dependents are eligible for extended continued health care, dental and/or vision coverage under the Company’s benefit plans (“</w:t>
      </w:r>
      <w:r>
        <w:rPr>
          <w:rFonts w:ascii="Arial" w:cs="Arial" w:eastAsia="Arial" w:hAnsi="Arial"/>
          <w:sz w:val="19"/>
          <w:szCs w:val="19"/>
          <w:u w:val="single" w:color="auto"/>
          <w:color w:val="auto"/>
        </w:rPr>
        <w:t>COBRA Coverage</w:t>
      </w:r>
      <w:r>
        <w:rPr>
          <w:rFonts w:ascii="Arial" w:cs="Arial" w:eastAsia="Arial" w:hAnsi="Arial"/>
          <w:sz w:val="19"/>
          <w:szCs w:val="19"/>
          <w:color w:val="auto"/>
        </w:rPr>
        <w:t>”) as required by Code Section 4980B, then, if the Participant complies with all terms and conditions of the applicable plans, timely and properly elects COBRA Coverage and timely pays the applicable COBRA contributions for the elected COBRA Coverage, except as provided below, for a period of eighteen (18) months following the Date of Termination (the “</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the Company shall pay directly to the applicable plans or, to the extent paid by the Participant, reimburse Participant, an amount equal to the difference between the full cost for such COBRA Coverage and the amount the Participant would be required to pay for such coverage as an active employee. Such payment shall be paid (or reimbursed) and reported as taxable compensation to the Participant and shall be subject to applicable tax withholding. Notwithstanding the above, if the Participant becomes employed by another employer and becomes eligible for health care, dental and/or vision coverage under another employer-provided plan before the end of the Benefit Continuation Period, the Company will cease the premium reimbursements and/or payments described above for the corresponding COBRA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12"/>
          </w:cols>
          <w:pgMar w:left="328" w:top="1428" w:right="359" w:bottom="1440" w:gutter="0" w:footer="0" w:header="0"/>
        </w:sectPr>
      </w:pPr>
    </w:p>
    <w:bookmarkStart w:id="117" w:name="page118"/>
    <w:bookmarkEnd w:id="117"/>
    <w:p>
      <w:pPr>
        <w:spacing w:after="0" w:line="200" w:lineRule="exact"/>
        <w:rPr>
          <w:sz w:val="20"/>
          <w:szCs w:val="20"/>
          <w:color w:val="auto"/>
        </w:rPr>
      </w:pPr>
    </w:p>
    <w:p>
      <w:pPr>
        <w:spacing w:after="0" w:line="220" w:lineRule="exact"/>
        <w:rPr>
          <w:sz w:val="20"/>
          <w:szCs w:val="20"/>
          <w:color w:val="auto"/>
        </w:rPr>
      </w:pPr>
    </w:p>
    <w:p>
      <w:pPr>
        <w:ind w:left="-8" w:right="500" w:firstLine="8"/>
        <w:spacing w:after="0" w:line="279" w:lineRule="auto"/>
        <w:tabs>
          <w:tab w:leader="none" w:pos="44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Participant is entitled to Separation Benefits under this Plan and notwithstanding anything to the contrary in any equity incentive, stock option, stock appreciation right (SAR), performance units, phantom stock awards, or deferred compensation plan or retirement plan or agreements, then: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392" w:right="320" w:hanging="3"/>
        <w:spacing w:after="0" w:line="289" w:lineRule="auto"/>
        <w:tabs>
          <w:tab w:leader="none" w:pos="65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outstanding time-vesting Company equity or equity-based awards held by the Participant shall immediately vest in full;</w:t>
      </w:r>
    </w:p>
    <w:p>
      <w:pPr>
        <w:spacing w:after="0" w:line="200" w:lineRule="exact"/>
        <w:rPr>
          <w:rFonts w:ascii="Arial" w:cs="Arial" w:eastAsia="Arial" w:hAnsi="Arial"/>
          <w:sz w:val="22"/>
          <w:szCs w:val="22"/>
          <w:color w:val="auto"/>
        </w:rPr>
      </w:pPr>
    </w:p>
    <w:p>
      <w:pPr>
        <w:ind w:left="392" w:right="640" w:hanging="3"/>
        <w:spacing w:after="0" w:line="287" w:lineRule="auto"/>
        <w:tabs>
          <w:tab w:leader="none" w:pos="710" w:val="left"/>
        </w:tabs>
        <w:numPr>
          <w:ilvl w:val="1"/>
          <w:numId w:val="64"/>
        </w:numPr>
        <w:rPr>
          <w:rFonts w:ascii="Arial" w:cs="Arial" w:eastAsia="Arial" w:hAnsi="Arial"/>
          <w:sz w:val="21"/>
          <w:szCs w:val="21"/>
          <w:color w:val="auto"/>
        </w:rPr>
      </w:pPr>
      <w:r>
        <w:rPr>
          <w:rFonts w:ascii="Arial" w:cs="Arial" w:eastAsia="Arial" w:hAnsi="Arial"/>
          <w:sz w:val="21"/>
          <w:szCs w:val="21"/>
          <w:color w:val="auto"/>
        </w:rPr>
        <w:t>all outstanding performance-vesting Company equity or equity-based awards held by the Participant shall immediately vest based upon the greater of: (1) target performance, based on the assumption that such target performance had been achieved, or (2) the projected final achievement of the performance metric through the measurement period, provided that where applicable, such projected final achievement shall be based on straight-line extrapolation of actual achievement (as of the Date of Termination) through the end of the respective performance metric period; except to the extent vesting is determined by reference to any completed fiscal year, then actual performance for such completed fiscal year shall be used; and</w:t>
      </w:r>
    </w:p>
    <w:p>
      <w:pPr>
        <w:spacing w:after="0" w:line="206" w:lineRule="exact"/>
        <w:rPr>
          <w:rFonts w:ascii="Arial" w:cs="Arial" w:eastAsia="Arial" w:hAnsi="Arial"/>
          <w:sz w:val="21"/>
          <w:szCs w:val="21"/>
          <w:color w:val="auto"/>
        </w:rPr>
      </w:pPr>
    </w:p>
    <w:p>
      <w:pPr>
        <w:ind w:left="392" w:right="340" w:hanging="3"/>
        <w:spacing w:after="0" w:line="279" w:lineRule="auto"/>
        <w:tabs>
          <w:tab w:leader="none" w:pos="77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Participant (or his personal representative if applicable) shall be permitted to exercise any of the Participant’s vested stock options/SARs until the earlier of: (1) one (1) year after the Participant’s termination of employment, and (2) the term of such unexercised stock options, warrants, or SARs.</w:t>
      </w:r>
    </w:p>
    <w:p>
      <w:pPr>
        <w:spacing w:after="0" w:line="386" w:lineRule="exact"/>
        <w:rPr>
          <w:rFonts w:ascii="Arial" w:cs="Arial" w:eastAsia="Arial" w:hAnsi="Arial"/>
          <w:sz w:val="22"/>
          <w:szCs w:val="22"/>
          <w:color w:val="auto"/>
        </w:rPr>
      </w:pPr>
    </w:p>
    <w:p>
      <w:pPr>
        <w:ind w:left="-8" w:firstLine="8"/>
        <w:spacing w:after="0" w:line="326" w:lineRule="auto"/>
        <w:tabs>
          <w:tab w:leader="none" w:pos="4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Except as provided in Section 4.2(b) and Section 7.3, the Participant shall not be required to mitigate the amount of any payment provided for in this Section 4.2 by seeking other employment or otherwise, nor shall the amount of any payment or benefit provided for in this Section 4.2 be reduced by any compensation earned by the Participant as the result of employment by another employer or by retirement benefits paid by the Company after the Date of Termination, or otherwise, or by any set-off, counterclaim, recoupment, or other claim, right or action the Company may have against the Participant or others.</w:t>
      </w:r>
    </w:p>
    <w:p>
      <w:pPr>
        <w:spacing w:after="0" w:line="200" w:lineRule="exact"/>
        <w:rPr>
          <w:rFonts w:ascii="Arial" w:cs="Arial" w:eastAsia="Arial" w:hAnsi="Arial"/>
          <w:sz w:val="19"/>
          <w:szCs w:val="19"/>
          <w:color w:val="auto"/>
        </w:rPr>
      </w:pPr>
    </w:p>
    <w:p>
      <w:pPr>
        <w:spacing w:after="0" w:line="341" w:lineRule="exact"/>
        <w:rPr>
          <w:rFonts w:ascii="Arial" w:cs="Arial" w:eastAsia="Arial" w:hAnsi="Arial"/>
          <w:sz w:val="19"/>
          <w:szCs w:val="19"/>
          <w:color w:val="auto"/>
        </w:rPr>
      </w:pPr>
    </w:p>
    <w:p>
      <w:pPr>
        <w:ind w:left="-8" w:right="40" w:firstLine="8"/>
        <w:spacing w:after="0" w:line="331" w:lineRule="auto"/>
        <w:tabs>
          <w:tab w:leader="none" w:pos="43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All Severance Benefits are conditioned on the Participant’s continuing compliance with this Plan and the Company’s policies. All Severance Benefits are also conditioned on, and in consideration for, the following actions being completed no later than sixty (60) days following the Participant’s termination of employment: the Participant’s execution (and effectiveness) of a release of claims and covenant not to sue substantially in the form provided in </w:t>
      </w:r>
      <w:r>
        <w:rPr>
          <w:rFonts w:ascii="Arial" w:cs="Arial" w:eastAsia="Arial" w:hAnsi="Arial"/>
          <w:sz w:val="19"/>
          <w:szCs w:val="19"/>
          <w:u w:val="single" w:color="auto"/>
          <w:color w:val="auto"/>
        </w:rPr>
        <w:t>Exhibit A</w:t>
      </w:r>
      <w:r>
        <w:rPr>
          <w:rFonts w:ascii="Arial" w:cs="Arial" w:eastAsia="Arial" w:hAnsi="Arial"/>
          <w:sz w:val="19"/>
          <w:szCs w:val="19"/>
          <w:color w:val="auto"/>
        </w:rPr>
        <w: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52"/>
          </w:cols>
          <w:pgMar w:left="328" w:top="1440" w:right="419" w:bottom="1440" w:gutter="0" w:footer="0" w:header="0"/>
        </w:sectPr>
      </w:pPr>
    </w:p>
    <w:bookmarkStart w:id="118" w:name="page119"/>
    <w:bookmarkEnd w:id="118"/>
    <w:p>
      <w:pPr>
        <w:spacing w:after="0" w:line="2" w:lineRule="exact"/>
        <w:rPr>
          <w:sz w:val="20"/>
          <w:szCs w:val="20"/>
          <w:color w:val="auto"/>
        </w:rPr>
      </w:pPr>
    </w:p>
    <w:p>
      <w:pPr>
        <w:ind w:right="160"/>
        <w:spacing w:after="0" w:line="331" w:lineRule="auto"/>
        <w:rPr>
          <w:sz w:val="20"/>
          <w:szCs w:val="20"/>
          <w:color w:val="auto"/>
        </w:rPr>
      </w:pPr>
      <w:r>
        <w:rPr>
          <w:rFonts w:ascii="Arial" w:cs="Arial" w:eastAsia="Arial" w:hAnsi="Arial"/>
          <w:sz w:val="19"/>
          <w:szCs w:val="19"/>
          <w:color w:val="auto"/>
        </w:rPr>
        <w:t>revocation period required by law has run, and the Participant has not revoked the release of claims and covenant not to sue. In the event a Participant fails to return such release within such time period, or revokes the release, the Participant shall forfeit his Severance Benefits hereunder. In the event that the period for consideration or revocation overlaps two (2) tax years, any payment of Severance Benefits under Section 4.2(a) due hereunder shall not commence until the later tax year.</w:t>
      </w:r>
    </w:p>
    <w:p>
      <w:pPr>
        <w:spacing w:after="0" w:line="1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Limitation on Payments</w:t>
      </w:r>
      <w:r>
        <w:rPr>
          <w:rFonts w:ascii="Arial" w:cs="Arial" w:eastAsia="Arial" w:hAnsi="Arial"/>
          <w:sz w:val="19"/>
          <w:szCs w:val="19"/>
          <w:color w:val="auto"/>
        </w:rPr>
        <w:t>.</w:t>
      </w:r>
    </w:p>
    <w:p>
      <w:pPr>
        <w:spacing w:after="0" w:line="220" w:lineRule="exact"/>
        <w:rPr>
          <w:sz w:val="20"/>
          <w:szCs w:val="20"/>
          <w:color w:val="auto"/>
        </w:rPr>
      </w:pPr>
    </w:p>
    <w:p>
      <w:pPr>
        <w:ind w:firstLine="8"/>
        <w:spacing w:after="0" w:line="285" w:lineRule="auto"/>
        <w:tabs>
          <w:tab w:leader="none" w:pos="510"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Anything in this Plan to the contrary notwithstanding, in the event it shall be determined that any payment or distribution made, or benefit provided, by the Company to or for the benefit of the Participant under this Plan or any other agreement between the Company and the Participant or plan of the Company would constitute a “parachute payment” as defined in Section 280G of the Code, then the benefits payable pursuant to this Plan shall be reduced so that the aggregate present value of all payments in the nature of compensation to (or for the benefit of) the Participant which are contingent on a change of control (as defined in Section 280G(b)(2)(A) of the Code) is One Dollar ($1.00) less than the amount which the Participant could receive without being considered to have received any parachute payment (the amount of this reduction in the benefits payable is referred to herein as the “</w:t>
      </w:r>
      <w:r>
        <w:rPr>
          <w:rFonts w:ascii="Arial" w:cs="Arial" w:eastAsia="Arial" w:hAnsi="Arial"/>
          <w:sz w:val="21"/>
          <w:szCs w:val="21"/>
          <w:u w:val="single" w:color="auto"/>
          <w:color w:val="auto"/>
        </w:rPr>
        <w:t>Excess Amount</w:t>
      </w:r>
      <w:r>
        <w:rPr>
          <w:rFonts w:ascii="Arial" w:cs="Arial" w:eastAsia="Arial" w:hAnsi="Arial"/>
          <w:sz w:val="21"/>
          <w:szCs w:val="21"/>
          <w:color w:val="auto"/>
        </w:rPr>
        <w:t>”). The determination of the amount of any reduction required by this Section 4.3(a) shall be made by a nationally recognized tax counsel selected by the Company, and such determination shall be conclusive and binding on the parties hereto.</w:t>
      </w:r>
    </w:p>
    <w:p>
      <w:pPr>
        <w:spacing w:after="0" w:line="200" w:lineRule="exact"/>
        <w:rPr>
          <w:rFonts w:ascii="Arial" w:cs="Arial" w:eastAsia="Arial" w:hAnsi="Arial"/>
          <w:sz w:val="21"/>
          <w:szCs w:val="21"/>
          <w:color w:val="auto"/>
        </w:rPr>
      </w:pPr>
    </w:p>
    <w:p>
      <w:pPr>
        <w:spacing w:after="0" w:line="361" w:lineRule="exact"/>
        <w:rPr>
          <w:rFonts w:ascii="Arial" w:cs="Arial" w:eastAsia="Arial" w:hAnsi="Arial"/>
          <w:sz w:val="21"/>
          <w:szCs w:val="21"/>
          <w:color w:val="auto"/>
        </w:rPr>
      </w:pPr>
    </w:p>
    <w:p>
      <w:pPr>
        <w:ind w:right="160" w:firstLine="8"/>
        <w:spacing w:after="0" w:line="292" w:lineRule="auto"/>
        <w:tabs>
          <w:tab w:leader="none" w:pos="468"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Notwithstanding the provisions of Section 4.3(a), if it is established, pursuant to a final determination of a court or an Internal Revenue Service proceeding which has been finally and conclusively resolved, that an Excess Amount was received by the Participant from the Company, then the Participant shall be obligated to repay such Excess Amount to the Company on demand (but no less than ten (10) days after written demand is received by the Participant).</w:t>
      </w:r>
    </w:p>
    <w:p>
      <w:pPr>
        <w:spacing w:after="0" w:line="200" w:lineRule="exact"/>
        <w:rPr>
          <w:sz w:val="20"/>
          <w:szCs w:val="20"/>
          <w:color w:val="auto"/>
        </w:rPr>
      </w:pPr>
    </w:p>
    <w:p>
      <w:pPr>
        <w:spacing w:after="0" w:line="360"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SUCCESSOR TO COMPANY</w:t>
      </w:r>
    </w:p>
    <w:p>
      <w:pPr>
        <w:spacing w:after="0" w:line="212" w:lineRule="exact"/>
        <w:rPr>
          <w:sz w:val="20"/>
          <w:szCs w:val="20"/>
          <w:color w:val="auto"/>
        </w:rPr>
      </w:pPr>
    </w:p>
    <w:p>
      <w:pPr>
        <w:ind w:right="80"/>
        <w:spacing w:after="0" w:line="323" w:lineRule="auto"/>
        <w:rPr>
          <w:sz w:val="20"/>
          <w:szCs w:val="20"/>
          <w:color w:val="auto"/>
        </w:rPr>
      </w:pPr>
      <w:r>
        <w:rPr>
          <w:rFonts w:ascii="Arial" w:cs="Arial" w:eastAsia="Arial" w:hAnsi="Arial"/>
          <w:sz w:val="19"/>
          <w:szCs w:val="19"/>
          <w:color w:val="auto"/>
        </w:rPr>
        <w:t>This Plan shall inure to the benefit of and be binding upon the Company and its successors and assigns. The Company shall require any corporation, entity, individual, or other person who is the successor (whether direct or indirect by purchase, merger, consolidation, reorganization or otherwise) to all or substantially all the business and/or assets of the Company to expressly assume and agree to perform, by a written agreement in form and in substance satisfactory to the Company, all of the obligations of the Company under this Plan. It is a condition of this Plan, and all rights of each person eligible to receive benefits under this Plan shall be subject hereto, that no right or interest of any such person in this Plan shall be assignable or transferable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 w:lineRule="exact"/>
        <w:rPr>
          <w:sz w:val="20"/>
          <w:szCs w:val="20"/>
          <w:color w:val="auto"/>
        </w:rPr>
      </w:pPr>
    </w:p>
    <w:p>
      <w:pPr>
        <w:ind w:right="740"/>
        <w:spacing w:after="0" w:line="289" w:lineRule="auto"/>
        <w:rPr>
          <w:sz w:val="20"/>
          <w:szCs w:val="20"/>
          <w:color w:val="auto"/>
        </w:rPr>
      </w:pPr>
      <w:r>
        <w:rPr>
          <w:rFonts w:ascii="Arial" w:cs="Arial" w:eastAsia="Arial" w:hAnsi="Arial"/>
          <w:sz w:val="22"/>
          <w:szCs w:val="22"/>
          <w:color w:val="auto"/>
        </w:rPr>
        <w:t>whole or in part, except by operation of law, including, but not by way of limitation, lawful execution, levy, garnishment, attachment, pledge, bankruptcy, alimony, child support or qualified domestic relations order.</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tab/>
        <w:t>DURATION, AMENDMENT AND TERMINATION</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Duration</w:t>
      </w:r>
      <w:r>
        <w:rPr>
          <w:rFonts w:ascii="Arial" w:cs="Arial" w:eastAsia="Arial" w:hAnsi="Arial"/>
          <w:sz w:val="21"/>
          <w:szCs w:val="21"/>
          <w:color w:val="auto"/>
        </w:rPr>
        <w:t>. Unless earlier terminated pursuant to Section 6.2, if a Change in Control has not occurred, this Plan shall expire three (3) years from the Effective Date; provided, that upon each annual anniversary of the Effective Date (each such annual anniversary a “</w:t>
      </w:r>
      <w:r>
        <w:rPr>
          <w:rFonts w:ascii="Arial" w:cs="Arial" w:eastAsia="Arial" w:hAnsi="Arial"/>
          <w:sz w:val="21"/>
          <w:szCs w:val="21"/>
          <w:u w:val="single" w:color="auto"/>
          <w:color w:val="auto"/>
        </w:rPr>
        <w:t>Renewal Date</w:t>
      </w:r>
      <w:r>
        <w:rPr>
          <w:rFonts w:ascii="Arial" w:cs="Arial" w:eastAsia="Arial" w:hAnsi="Arial"/>
          <w:sz w:val="21"/>
          <w:szCs w:val="21"/>
          <w:color w:val="auto"/>
        </w:rPr>
        <w:t>”), the Plan shall be extended for an additional year, unless pursuant to a resolution adopted by the Board prior to the Renewal Date the Company determines not to so extend the Plan. If a Change in Control occurs while this Plan is in effect, this Plan shall continue in full force and effect for at least two (2) years following such Change in Control, and shall not terminate or expire until after all Participants who become entitled to any payments or benefits hereunder shall have received such payments and benefits in full.</w:t>
      </w:r>
    </w:p>
    <w:p>
      <w:pPr>
        <w:spacing w:after="0" w:line="139" w:lineRule="exact"/>
        <w:rPr>
          <w:sz w:val="20"/>
          <w:szCs w:val="20"/>
          <w:color w:val="auto"/>
        </w:rPr>
      </w:pPr>
    </w:p>
    <w:p>
      <w:pPr>
        <w:ind w:right="40"/>
        <w:spacing w:after="0" w:line="287"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Amendment or Termination</w:t>
      </w:r>
      <w:r>
        <w:rPr>
          <w:rFonts w:ascii="Arial" w:cs="Arial" w:eastAsia="Arial" w:hAnsi="Arial"/>
          <w:sz w:val="21"/>
          <w:szCs w:val="21"/>
          <w:color w:val="auto"/>
        </w:rPr>
        <w:t>. The Company reserves the right to amend, modify, suspend or terminate the Plan at any time by action of a majority of the Board; provided that no such amendment, modification, suspension or termination that has the effect of reducing or diminishing the right of any Participant shall be effective without the written consent of such Participant for a period of two (2) years following the Change in Control if adopted after a Change in Control or in anticipation of a Change in Control. Any amendment, modification, suspension or termination of this Plan adopted after a Change in Control or in anticipation of a Change in Control shall not affect the right of any Participant to payments or benefits to be paid or provided as a result of events that occur prior to the second anniversary of the Change in Control.</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Procedure for Extension, Amendment or Termination</w:t>
      </w:r>
      <w:r>
        <w:rPr>
          <w:rFonts w:ascii="Arial" w:cs="Arial" w:eastAsia="Arial" w:hAnsi="Arial"/>
          <w:sz w:val="22"/>
          <w:szCs w:val="22"/>
          <w:color w:val="auto"/>
        </w:rPr>
        <w:t>. Any extension, amendment or termination of this Plan by the Board in accordance with this Article VI shall be made by action of the Board in accordance with the Company’s charter documents and applicable law.</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1"/>
          <w:szCs w:val="21"/>
          <w:b w:val="1"/>
          <w:bCs w:val="1"/>
          <w:color w:val="auto"/>
        </w:rPr>
        <w:t>MISCELLANEOUS</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Default in Payment</w:t>
      </w:r>
      <w:r>
        <w:rPr>
          <w:rFonts w:ascii="Arial" w:cs="Arial" w:eastAsia="Arial" w:hAnsi="Arial"/>
          <w:sz w:val="22"/>
          <w:szCs w:val="22"/>
          <w:color w:val="auto"/>
        </w:rPr>
        <w:t>. Any payment not made within ten (10) days after it is due in accordance with this Plan shall thereafter bear interest, compounded annually, at the U.S. prime rate from time to time then in effect.</w:t>
      </w:r>
    </w:p>
    <w:p>
      <w:pPr>
        <w:spacing w:after="0" w:line="133" w:lineRule="exact"/>
        <w:rPr>
          <w:sz w:val="20"/>
          <w:szCs w:val="20"/>
          <w:color w:val="auto"/>
        </w:rPr>
      </w:pPr>
    </w:p>
    <w:p>
      <w:pPr>
        <w:ind w:right="40"/>
        <w:spacing w:after="0" w:line="29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No Assignment</w:t>
      </w:r>
      <w:r>
        <w:rPr>
          <w:rFonts w:ascii="Arial" w:cs="Arial" w:eastAsia="Arial" w:hAnsi="Arial"/>
          <w:sz w:val="21"/>
          <w:szCs w:val="21"/>
          <w:color w:val="auto"/>
        </w:rPr>
        <w:t>. No interest of any Participant or spouse of any Participant or any other beneficiary under this Plan, or any right to receive payment hereunder, shall be subject in any manner to sale, transfer, assignment, pledge, attachment, garnishment, or other alienation or encumbrance of any kind, nor may such interest or right to receive a payment or distribution be taken, voluntarily or involuntarily, for the satisfaction of the obligations or debts of,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claims against, a Participant or spouse of a Participant or other beneficiary, including for alimony.</w:t>
      </w:r>
    </w:p>
    <w:p>
      <w:pPr>
        <w:spacing w:after="0" w:line="206" w:lineRule="exact"/>
        <w:rPr>
          <w:sz w:val="20"/>
          <w:szCs w:val="20"/>
          <w:color w:val="auto"/>
        </w:rPr>
      </w:pPr>
    </w:p>
    <w:p>
      <w:pPr>
        <w:ind w:right="180"/>
        <w:spacing w:after="0" w:line="320"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Effect on Other Plans, Agreements and Benefits</w:t>
      </w:r>
      <w:r>
        <w:rPr>
          <w:rFonts w:ascii="Arial" w:cs="Arial" w:eastAsia="Arial" w:hAnsi="Arial"/>
          <w:sz w:val="19"/>
          <w:szCs w:val="19"/>
          <w:color w:val="auto"/>
        </w:rPr>
        <w:t>. Except to the extent expressly set forth herein, any benefit or compensation to which a Participant is entitled under any agreement between the Participant and the Company or any of its Subsidiaries or under any plan maintained by the Company or any of its Subsidiaries in which the Participant participates or participated shall not be modified or lessened in any way, but shall be payable according to the terms of the applicable plan or agreement. Notwithstanding the foregoing, any benefits received by a Participant pursuant to this Plan shall be in lieu of any severance benefits to which the Participant would otherwise be entitled under any general severance policy or other severance plan maintained by the Company and, upon consummation of a Change in Control, Participants in this Plan shall in no event be entitled to participate in any such severance policy or other severance plan maintained by the Company.</w:t>
      </w:r>
    </w:p>
    <w:p>
      <w:pPr>
        <w:spacing w:after="0" w:line="126" w:lineRule="exact"/>
        <w:rPr>
          <w:sz w:val="20"/>
          <w:szCs w:val="20"/>
          <w:color w:val="auto"/>
        </w:rPr>
      </w:pPr>
    </w:p>
    <w:p>
      <w:pPr>
        <w:ind w:right="100"/>
        <w:spacing w:after="0" w:line="33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Notice</w:t>
      </w:r>
      <w:r>
        <w:rPr>
          <w:rFonts w:ascii="Arial" w:cs="Arial" w:eastAsia="Arial" w:hAnsi="Arial"/>
          <w:sz w:val="19"/>
          <w:szCs w:val="19"/>
          <w:color w:val="auto"/>
        </w:rPr>
        <w:t>. For the purpose of this Plan, notices and all other communications provided for in this Plan shall be in writing and shall be deemed to have been duly given when actually delivered or mailed by United States registered mail, return receipt requested, postage prepaid, addressed to the Company’s Chief Legal Officer at the Company’s corporate headquarters address, and to the Participant (at the last address of the Participant on the Company’s books and records).</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Employment Status</w:t>
      </w:r>
      <w:r>
        <w:rPr>
          <w:rFonts w:ascii="Arial" w:cs="Arial" w:eastAsia="Arial" w:hAnsi="Arial"/>
          <w:sz w:val="22"/>
          <w:szCs w:val="22"/>
          <w:color w:val="auto"/>
        </w:rPr>
        <w:t>. This Plan does not constitute a contract of employment or impose on the Participant or the Company any obligation for the Participant to remain an Employee or change the status of the Participant’s employment or the policies of the Company and its Affiliates regarding termination of employment, nor does it alter or exterminate the agreement that employment is at-will.</w:t>
      </w:r>
    </w:p>
    <w:p>
      <w:pPr>
        <w:spacing w:after="0" w:line="150" w:lineRule="exact"/>
        <w:rPr>
          <w:sz w:val="20"/>
          <w:szCs w:val="20"/>
          <w:color w:val="auto"/>
        </w:rPr>
      </w:pPr>
    </w:p>
    <w:p>
      <w:pPr>
        <w:spacing w:after="0" w:line="31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Nondisparagement; Confidentiality</w:t>
      </w:r>
      <w:r>
        <w:rPr>
          <w:rFonts w:ascii="Arial" w:cs="Arial" w:eastAsia="Arial" w:hAnsi="Arial"/>
          <w:sz w:val="19"/>
          <w:szCs w:val="19"/>
          <w:color w:val="auto"/>
        </w:rPr>
        <w:t>. On the Effective Date and thereafter, the Participant agrees that the Participant will not disparage the Company or its directors, officers, employees, affiliates, subsidiaries, predecessors, successors or assigns in any written or oral communications to any third party. The Participant further agrees that he/she will not direct anyone to make any disparaging oral or written remarks to any third parties. During the Participant’s employment and following the Participant’s termination of employment for any reason, the Participant agrees to not use or disclose the confidential information or trade secrets of the Company. Notwithstanding the foregoing, nothing herein or in the release of claims described in Section 4.2(e) above is intended to or shall prevent any Participant from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2" w:lineRule="exact"/>
        <w:rPr>
          <w:sz w:val="20"/>
          <w:szCs w:val="20"/>
          <w:color w:val="auto"/>
        </w:rPr>
      </w:pPr>
    </w:p>
    <w:p>
      <w:pPr>
        <w:ind w:right="100"/>
        <w:spacing w:after="0" w:line="311"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Participant’s employment with Company and for twelve (12) months after the Participant’s termination of employment and payment of the Severance Benefits hereunder, the Participant shall not, directly or indirectly, either as an individual or as an employee, agent, consultant, advisor, independent contractor, general partner, officer, director, stockholder, investor, lender, or in any other capacity whatsoever, of any person, firm, corporation, or partnership, (i) induce or attempt to induce any person who at the time of such inducement or hire is an employee of the Company (or who was, within six</w:t>
      </w:r>
    </w:p>
    <w:p>
      <w:pPr>
        <w:spacing w:after="0" w:line="2" w:lineRule="exact"/>
        <w:rPr>
          <w:sz w:val="20"/>
          <w:szCs w:val="20"/>
          <w:color w:val="auto"/>
        </w:rPr>
      </w:pPr>
    </w:p>
    <w:p>
      <w:pPr>
        <w:ind w:right="300" w:firstLine="8"/>
        <w:spacing w:after="0" w:line="342" w:lineRule="auto"/>
        <w:tabs>
          <w:tab w:leader="none" w:pos="306" w:val="left"/>
        </w:tabs>
        <w:numPr>
          <w:ilvl w:val="0"/>
          <w:numId w:val="67"/>
        </w:numPr>
        <w:rPr>
          <w:rFonts w:ascii="Arial" w:cs="Arial" w:eastAsia="Arial" w:hAnsi="Arial"/>
          <w:sz w:val="19"/>
          <w:szCs w:val="19"/>
          <w:color w:val="auto"/>
        </w:rPr>
      </w:pPr>
      <w:r>
        <w:rPr>
          <w:rFonts w:ascii="Arial" w:cs="Arial" w:eastAsia="Arial" w:hAnsi="Arial"/>
          <w:sz w:val="19"/>
          <w:szCs w:val="19"/>
          <w:color w:val="auto"/>
        </w:rPr>
        <w:t>months prior to such inducement or hire, an employee) to perform work or service for any other person or entity other than the Company, or (ii) through the use of confidential information or trade secrets, solicit customers, suppliers, or clients of the Company to reduce or discontinue their business with the Company or to engage in business with any competing entity.</w:t>
      </w:r>
    </w:p>
    <w:p>
      <w:pPr>
        <w:spacing w:after="0" w:line="92"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Clawback</w:t>
      </w:r>
      <w:r>
        <w:rPr>
          <w:rFonts w:ascii="Arial" w:cs="Arial" w:eastAsia="Arial" w:hAnsi="Arial"/>
          <w:sz w:val="19"/>
          <w:szCs w:val="19"/>
          <w:color w:val="auto"/>
        </w:rPr>
        <w:t>. Compensation and benefits payable under Sections 4.2(a)(iv), 4.2(a)(v), 4.2(b) and 4.2(c) are subject to a right of recoupment by the Company in the event of a violation of the provisions of Sections 7.6 and 7.7, as provided in this Section 7.8. The Company may seek recovery of any and all compensation and benefits paid under Sections 4.2(a)(iv), 4.2(a)(v), 4.2(b) and</w:t>
      </w:r>
    </w:p>
    <w:p>
      <w:pPr>
        <w:spacing w:after="0" w:line="1" w:lineRule="exact"/>
        <w:rPr>
          <w:sz w:val="20"/>
          <w:szCs w:val="20"/>
          <w:color w:val="auto"/>
        </w:rPr>
      </w:pPr>
    </w:p>
    <w:p>
      <w:pPr>
        <w:jc w:val="both"/>
        <w:ind w:right="200"/>
        <w:spacing w:after="0" w:line="279" w:lineRule="auto"/>
        <w:rPr>
          <w:sz w:val="20"/>
          <w:szCs w:val="20"/>
          <w:color w:val="auto"/>
        </w:rPr>
      </w:pPr>
      <w:r>
        <w:rPr>
          <w:rFonts w:ascii="Arial" w:cs="Arial" w:eastAsia="Arial" w:hAnsi="Arial"/>
          <w:sz w:val="22"/>
          <w:szCs w:val="22"/>
          <w:color w:val="auto"/>
        </w:rPr>
        <w:t>4.2(c) from a Participant during the period commencing twelve (12) months immediately prior to such violation. The Company shall have the right to sue for repayment, and enforce the repayment through the reduction or cancellation of outstanding equity awards.</w:t>
      </w:r>
    </w:p>
    <w:p>
      <w:pPr>
        <w:spacing w:after="0" w:line="157" w:lineRule="exact"/>
        <w:rPr>
          <w:sz w:val="20"/>
          <w:szCs w:val="20"/>
          <w:color w:val="auto"/>
        </w:rPr>
      </w:pPr>
    </w:p>
    <w:p>
      <w:pPr>
        <w:ind w:right="60"/>
        <w:spacing w:after="0" w:line="321"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Plan Administration</w:t>
      </w:r>
      <w:r>
        <w:rPr>
          <w:rFonts w:ascii="Arial" w:cs="Arial" w:eastAsia="Arial" w:hAnsi="Arial"/>
          <w:sz w:val="19"/>
          <w:szCs w:val="19"/>
          <w:color w:val="auto"/>
        </w:rPr>
        <w:t>. This Plan shall be administered by the Committee; provided that in the event of an impending Change in Control, the Committee may appoint a person (or persons) independent of the third-party effectuating the Change in Control to be the Committee effective upon the occurrence of a Change in Control and such Committee shall not be removed or modified following a Change in Control, other than at its own initiative (the “</w:t>
      </w:r>
      <w:r>
        <w:rPr>
          <w:rFonts w:ascii="Arial" w:cs="Arial" w:eastAsia="Arial" w:hAnsi="Arial"/>
          <w:sz w:val="19"/>
          <w:szCs w:val="19"/>
          <w:u w:val="single" w:color="auto"/>
          <w:color w:val="auto"/>
        </w:rPr>
        <w:t>Independent Committee</w:t>
      </w:r>
      <w:r>
        <w:rPr>
          <w:rFonts w:ascii="Arial" w:cs="Arial" w:eastAsia="Arial" w:hAnsi="Arial"/>
          <w:sz w:val="19"/>
          <w:szCs w:val="19"/>
          <w:color w:val="auto"/>
        </w:rPr>
        <w:t>”). Except as otherwise provided in this Plan, the decision of the Committee (including the Independent Committee) upon all matters within the scope of its authority shall be conclusive and binding on all parties, provided that in the event that no Independent Committee is appointed, any determination by the Committee of whether “Cause” or “Good Reason” exists shall be subject to de novo review.</w:t>
      </w:r>
    </w:p>
    <w:p>
      <w:pPr>
        <w:spacing w:after="0" w:line="114" w:lineRule="exact"/>
        <w:rPr>
          <w:sz w:val="20"/>
          <w:szCs w:val="20"/>
          <w:color w:val="auto"/>
        </w:rPr>
      </w:pPr>
    </w:p>
    <w:p>
      <w:pPr>
        <w:ind w:right="180"/>
        <w:spacing w:after="0" w:line="271"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Unfunded Plan Status</w:t>
      </w:r>
      <w:r>
        <w:rPr>
          <w:rFonts w:ascii="Arial" w:cs="Arial" w:eastAsia="Arial" w:hAnsi="Arial"/>
          <w:sz w:val="22"/>
          <w:szCs w:val="22"/>
          <w:color w:val="auto"/>
        </w:rPr>
        <w:t>. This Plan is intended to be an unfunded plan maintained primarily for the purpose of providing deferred compensation for a select group of management or highly compensated employees, within the meaning of Section 401 of ERISA.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Notwithstanding the foregoing, the Company may (but shall not be obligated to) create one (1) or more grantor trusts, the assets of which are subject to the claims of the Company’s creditors, to assist it in accumulating funds to pay its obligations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 w:lineRule="exact"/>
        <w:rPr>
          <w:sz w:val="20"/>
          <w:szCs w:val="20"/>
          <w:color w:val="auto"/>
        </w:rPr>
      </w:pPr>
    </w:p>
    <w:p>
      <w:pPr>
        <w:ind w:right="760"/>
        <w:spacing w:after="0" w:line="289"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Withholding Taxes</w:t>
      </w:r>
      <w:r>
        <w:rPr>
          <w:rFonts w:ascii="Arial" w:cs="Arial" w:eastAsia="Arial" w:hAnsi="Arial"/>
          <w:sz w:val="22"/>
          <w:szCs w:val="22"/>
          <w:color w:val="auto"/>
        </w:rPr>
        <w:t>. All payments made under this Plan shall be subject to reduction to reflect taxes required to be withheld by law.</w:t>
      </w:r>
    </w:p>
    <w:p>
      <w:pPr>
        <w:spacing w:after="0" w:line="133" w:lineRule="exact"/>
        <w:rPr>
          <w:sz w:val="20"/>
          <w:szCs w:val="20"/>
          <w:color w:val="auto"/>
        </w:rPr>
      </w:pPr>
    </w:p>
    <w:p>
      <w:pPr>
        <w:ind w:right="360"/>
        <w:spacing w:after="0" w:line="342"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Validity and Severability</w:t>
      </w:r>
      <w:r>
        <w:rPr>
          <w:rFonts w:ascii="Arial" w:cs="Arial" w:eastAsia="Arial" w:hAnsi="Arial"/>
          <w:sz w:val="19"/>
          <w:szCs w:val="19"/>
          <w:color w:val="auto"/>
        </w:rPr>
        <w:t>. 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06" w:lineRule="exact"/>
        <w:rPr>
          <w:sz w:val="20"/>
          <w:szCs w:val="20"/>
          <w:color w:val="auto"/>
        </w:rPr>
      </w:pPr>
    </w:p>
    <w:p>
      <w:pPr>
        <w:ind w:firstLine="8"/>
        <w:spacing w:after="0" w:line="298" w:lineRule="auto"/>
        <w:tabs>
          <w:tab w:leader="none" w:pos="51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This Plan is intended to be exempt from the requirements of Section 409A and shall in all respects be administered in accordance with the “short-term deferral” exception in the regulations promulgated under Section 409A. In no event may the Participant, directly or indirectly, designate the calendar year of any payment under this Plan.</w:t>
      </w:r>
    </w:p>
    <w:p>
      <w:pPr>
        <w:spacing w:after="0" w:line="200" w:lineRule="exact"/>
        <w:rPr>
          <w:rFonts w:ascii="Arial" w:cs="Arial" w:eastAsia="Arial" w:hAnsi="Arial"/>
          <w:sz w:val="21"/>
          <w:szCs w:val="21"/>
          <w:color w:val="auto"/>
        </w:rPr>
      </w:pPr>
    </w:p>
    <w:p>
      <w:pPr>
        <w:spacing w:after="0" w:line="358" w:lineRule="exact"/>
        <w:rPr>
          <w:rFonts w:ascii="Arial" w:cs="Arial" w:eastAsia="Arial" w:hAnsi="Arial"/>
          <w:sz w:val="21"/>
          <w:szCs w:val="21"/>
          <w:color w:val="auto"/>
        </w:rPr>
      </w:pPr>
    </w:p>
    <w:p>
      <w:pPr>
        <w:ind w:right="20" w:firstLine="8"/>
        <w:spacing w:after="0" w:line="316" w:lineRule="auto"/>
        <w:tabs>
          <w:tab w:leader="none" w:pos="46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In-Kind Benefits and Reimbursements</w:t>
      </w:r>
      <w:r>
        <w:rPr>
          <w:rFonts w:ascii="Arial" w:cs="Arial" w:eastAsia="Arial" w:hAnsi="Arial"/>
          <w:sz w:val="19"/>
          <w:szCs w:val="19"/>
          <w:color w:val="auto"/>
        </w:rPr>
        <w:t>. Notwithstanding anything to the contrary in this Plan, all reimbursements and in-kind benefits provided under this Plan shall be made or provided in accordance with the requirements of the regulations promulgated under Section 409A, including, where applicable, the requirement that (i) any reimbursement is for expenses incurred during the Participant’s lifetime (or during a shorter period of time specified in this Plan); (ii) the amount of expenses eligible for reimbursement, or in-kind benefits provided, during a calendar year may not affect the expenses eligible for reimbursement, or in-kind benefits to be provided, in any other calendar year, except, if such benefits consist of the reimbursement of expenses referred to in Section 105(b) of the Code, a maximum, if provided under the terms of the plan providing such medical benefit, may be imposed on the amount of such reimbursements over some or all of the period in which such benefit is to be provided to the Participant as described in Treasury Regulation Section 1.409A-3(i)(1)(iv)(B); (iii) the reimbursement of an eligible expense will be made no later than the last day of the calendar year following the year in which the expense is incurred, provided that the Participant shall have submitted an invoice for such fees and expenses at least ten (10) days before the end of the calendar year next following the calendar year in which such fees and expenses were incurred; and (iv) the right to reimbursement or in-kind benefits is not subject to liquidation or exchange for another benefit.</w:t>
      </w:r>
    </w:p>
    <w:p>
      <w:pPr>
        <w:spacing w:after="0" w:line="200" w:lineRule="exact"/>
        <w:rPr>
          <w:rFonts w:ascii="Arial" w:cs="Arial" w:eastAsia="Arial" w:hAnsi="Arial"/>
          <w:sz w:val="19"/>
          <w:szCs w:val="19"/>
          <w:color w:val="auto"/>
        </w:rPr>
      </w:pPr>
    </w:p>
    <w:p>
      <w:pPr>
        <w:spacing w:after="0" w:line="339" w:lineRule="exact"/>
        <w:rPr>
          <w:rFonts w:ascii="Arial" w:cs="Arial" w:eastAsia="Arial" w:hAnsi="Arial"/>
          <w:sz w:val="19"/>
          <w:szCs w:val="19"/>
          <w:color w:val="auto"/>
        </w:rPr>
      </w:pPr>
    </w:p>
    <w:p>
      <w:pPr>
        <w:ind w:right="400" w:firstLine="8"/>
        <w:spacing w:after="0" w:line="289" w:lineRule="auto"/>
        <w:tabs>
          <w:tab w:leader="none" w:pos="456"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Delay of Payments</w:t>
      </w:r>
      <w:r>
        <w:rPr>
          <w:rFonts w:ascii="Arial" w:cs="Arial" w:eastAsia="Arial" w:hAnsi="Arial"/>
          <w:sz w:val="21"/>
          <w:szCs w:val="21"/>
          <w:color w:val="auto"/>
        </w:rPr>
        <w:t>. Notwithstanding any other provision of this Plan to the contrary, if the Participant is considered a “specified employee” for purposes of Section 409A (as determined by the Company in accordance with Section 409A), any payment that constitutes nonqualified deferred compensation within the meaning of Section 409A that is otherwise due to the Participant under this Plan during the six-month period following the Participant’s separation from service (as determined in accordance with Section 409A) on account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06" w:lineRule="auto"/>
        <w:rPr>
          <w:sz w:val="20"/>
          <w:szCs w:val="20"/>
          <w:color w:val="auto"/>
        </w:rPr>
      </w:pPr>
      <w:r>
        <w:rPr>
          <w:rFonts w:ascii="Arial" w:cs="Arial" w:eastAsia="Arial" w:hAnsi="Arial"/>
          <w:sz w:val="19"/>
          <w:szCs w:val="19"/>
          <w:color w:val="auto"/>
        </w:rPr>
        <w:t>separation from service shall be accumulated and paid to the Participant on the first (1</w:t>
      </w:r>
      <w:r>
        <w:rPr>
          <w:rFonts w:ascii="Arial" w:cs="Arial" w:eastAsia="Arial" w:hAnsi="Arial"/>
          <w:sz w:val="25"/>
          <w:szCs w:val="25"/>
          <w:color w:val="auto"/>
          <w:vertAlign w:val="superscript"/>
        </w:rPr>
        <w:t>st</w:t>
      </w:r>
      <w:r>
        <w:rPr>
          <w:rFonts w:ascii="Arial" w:cs="Arial" w:eastAsia="Arial" w:hAnsi="Arial"/>
          <w:sz w:val="19"/>
          <w:szCs w:val="19"/>
          <w:color w:val="auto"/>
        </w:rPr>
        <w:t>) business day after the date that is six (6) months following the Participant’s separation from service (the “</w:t>
      </w:r>
      <w:r>
        <w:rPr>
          <w:rFonts w:ascii="Arial" w:cs="Arial" w:eastAsia="Arial" w:hAnsi="Arial"/>
          <w:sz w:val="19"/>
          <w:szCs w:val="19"/>
          <w:u w:val="single" w:color="auto"/>
          <w:color w:val="auto"/>
        </w:rPr>
        <w:t>Delayed Payment Date</w:t>
      </w:r>
      <w:r>
        <w:rPr>
          <w:rFonts w:ascii="Arial" w:cs="Arial" w:eastAsia="Arial" w:hAnsi="Arial"/>
          <w:sz w:val="19"/>
          <w:szCs w:val="19"/>
          <w:color w:val="auto"/>
        </w:rPr>
        <w:t>”). The Participant shall be entitled to interest (at the applicable rate in effect for the month in which the separation from service occurs) on any cash payments so delayed from the scheduled date of payment to the Delayed Payment Date. If the Participant dies during the postponement period, the amounts and entitlements delayed on account of Section 409A shall be paid to the personal representative of the Participant’s estate on the first to occur of the Delayed Payment Date or thirty (30) days after the date of the Participant’s death.</w:t>
      </w:r>
    </w:p>
    <w:p>
      <w:pPr>
        <w:spacing w:after="0" w:line="125" w:lineRule="exact"/>
        <w:rPr>
          <w:sz w:val="20"/>
          <w:szCs w:val="20"/>
          <w:color w:val="auto"/>
        </w:rPr>
      </w:pPr>
    </w:p>
    <w:p>
      <w:pPr>
        <w:ind w:right="160"/>
        <w:spacing w:after="0" w:line="372"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and performance of this Plan shall in all respects be governed by the laws of Delaware, without reference to principles of conflict of law, except to the extent pre-empted by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140"/>
          </w:cols>
          <w:pgMar w:left="320" w:top="1433" w:right="4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of Claims and Covenant Not To Sue</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In consideration of the payments and other benefits that Molina Healthcare,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is providing to _____________ (“</w:t>
      </w:r>
      <w:r>
        <w:rPr>
          <w:rFonts w:ascii="Arial" w:cs="Arial" w:eastAsia="Arial" w:hAnsi="Arial"/>
          <w:sz w:val="19"/>
          <w:szCs w:val="19"/>
          <w:u w:val="single" w:color="auto"/>
          <w:color w:val="auto"/>
        </w:rPr>
        <w:t>Employee</w:t>
      </w:r>
      <w:r>
        <w:rPr>
          <w:rFonts w:ascii="Arial" w:cs="Arial" w:eastAsia="Arial" w:hAnsi="Arial"/>
          <w:sz w:val="19"/>
          <w:szCs w:val="19"/>
          <w:color w:val="auto"/>
        </w:rPr>
        <w:t>”) under the Company’s Second Amended and Restated Change in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Control Severance Plan, the Employee, on his/her own behalf and on behalf of Employee’s representatives, agents, heirs and assigns, waives, releases, discharges and promises never to assert any and all claims, demands, actions, costs, rights, liabilities, damages or obligations of every kind and nature, whether known or unknown, suspected or unsuspected that Employee ever had, now have or might have as of the date of Employee’s termination of employment with the Company against the Company or its predecessors, parent, affiliates, subsidiaries, stockholders, owners, directors, officers, employees, agents, attorneys, insurers, successors, or assigns (including all such persons or entities that have a current and/or former relationship with the Company) for any claims arising from or related to Employee’s employment with the Company, its parent or any of its affiliates and subsidiaries and the termination of that employment.</w:t>
      </w:r>
    </w:p>
    <w:p>
      <w:pPr>
        <w:spacing w:after="0" w:line="1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These released claims also specifically include, but are not limited to, any claims arising under any federal, state and local statutory or common law, such as (as amended and as applicable) Title VII of the Civil Rights Act, the Age Discrimination in Employment Act, the Americans With Disabilities Act, the Employee Retirement Income Security Act, the Family Medical Leave Act, the Equal Pay Act, the Fair Labor Standards Act, the Industrial Welfare Commission’s Orders, the California Fair Employment and Housing Act, the California Constitution, the California Government Code, the California Labor Code and any other federal, state or local constitution, law, regulation or ordinance governing the terms and conditions of employment or the termination of employment, and the law of contract and tort and any claim for attorneys’ fees.</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Furthermore, the Employee acknowledges that this waiver and release is knowing and voluntary and that the consideration given for this waiver and release is in addition to anything of value to which Employee was already entitled. Employee acknowledges that there may exist facts or claims in addition to or different from those which are now known or believed by Employee to exist. Nonetheless, this Agreement extends to all claims of every nature and kind whatsoever, whether known or unknown, suspected or unsuspected, past or present. Employee also expressly waives the provisions of California Civil Code section 1542, which provides: “A general release does not extend to claims which the creditor does not know or suspect to exist in his/her favor at the time of executing the release, which if known by him/her must have materially affected his/her settlement with the debtor.” With respect to the claims released in the preceding sentences, the Employee will not initiate or maintain any legal action or proceeding of any kind against the Company or its predecessors, parent, affiliates, subsidiaries, stockholders, owners, directors, officers, employees, agents, successors, or assigns (including all such persons or entities that have a current or former relationship with the Company), for the purpose of obtaining any personal relief, nor assist or participate in any such proceedings,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2" w:right="339" w:bottom="1440" w:gutter="0" w:footer="0" w:header="0"/>
        </w:sectPr>
      </w:pPr>
    </w:p>
    <w:bookmarkStart w:id="125" w:name="page126"/>
    <w:bookmarkEnd w:id="125"/>
    <w:p>
      <w:pPr>
        <w:spacing w:after="0" w:line="263" w:lineRule="auto"/>
        <w:rPr>
          <w:sz w:val="20"/>
          <w:szCs w:val="20"/>
          <w:color w:val="auto"/>
        </w:rPr>
      </w:pPr>
      <w:r>
        <w:rPr>
          <w:rFonts w:ascii="Arial" w:cs="Arial" w:eastAsia="Arial" w:hAnsi="Arial"/>
          <w:sz w:val="22"/>
          <w:szCs w:val="22"/>
          <w:color w:val="auto"/>
        </w:rPr>
        <w:t>proceedings brought by any third parties (except as otherwise required or permitted by law). The Employee further acknowledges that he/she has been advised by this writing that:</w:t>
      </w:r>
    </w:p>
    <w:p>
      <w:pPr>
        <w:spacing w:after="0" w:line="17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he/she should consult with an attorney prior to executing this release;</w:t>
      </w:r>
    </w:p>
    <w:p>
      <w:pPr>
        <w:spacing w:after="0" w:line="219" w:lineRule="exact"/>
        <w:rPr>
          <w:rFonts w:ascii="Arial" w:cs="Arial" w:eastAsia="Arial" w:hAnsi="Arial"/>
          <w:sz w:val="22"/>
          <w:szCs w:val="22"/>
          <w:color w:val="auto"/>
        </w:rPr>
      </w:pPr>
    </w:p>
    <w:p>
      <w:pPr>
        <w:ind w:left="980" w:right="20" w:hanging="324"/>
        <w:spacing w:after="0" w:line="263" w:lineRule="auto"/>
        <w:tabs>
          <w:tab w:leader="none" w:pos="975" w:val="left"/>
        </w:tabs>
        <w:numPr>
          <w:ilvl w:val="0"/>
          <w:numId w:val="69"/>
        </w:numPr>
        <w:rPr>
          <w:rFonts w:ascii="Arial" w:cs="Arial" w:eastAsia="Arial" w:hAnsi="Arial"/>
          <w:sz w:val="22"/>
          <w:szCs w:val="22"/>
          <w:color w:val="auto"/>
        </w:rPr>
      </w:pPr>
      <w:r>
        <w:rPr>
          <w:rFonts w:ascii="Arial" w:cs="Arial" w:eastAsia="Arial" w:hAnsi="Arial"/>
          <w:sz w:val="22"/>
          <w:szCs w:val="22"/>
          <w:color w:val="auto"/>
        </w:rPr>
        <w:t>he/she has at least [twenty-one (21) or forty-five (45) days, as required under applicable law] within which to consider this release;</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he/she has up to seven (7) days following the execution of this release by the parties to revoke the release; and</w:t>
      </w:r>
    </w:p>
    <w:p>
      <w:pPr>
        <w:spacing w:after="0" w:line="254" w:lineRule="exact"/>
        <w:rPr>
          <w:rFonts w:ascii="Arial" w:cs="Arial" w:eastAsia="Arial" w:hAnsi="Arial"/>
          <w:sz w:val="19"/>
          <w:szCs w:val="19"/>
          <w:color w:val="auto"/>
        </w:rPr>
      </w:pPr>
    </w:p>
    <w:p>
      <w:pPr>
        <w:ind w:left="980" w:hanging="324"/>
        <w:spacing w:after="0"/>
        <w:tabs>
          <w:tab w:leader="none" w:pos="9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this release shall not be effective until such seven (7) day revocation period has expired.</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Employee agrees that the release set forth above shall be and remain in effect in all respects as a complete general release as to the matters released.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28" w:right="3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20"/>
          <w:szCs w:val="20"/>
          <w:color w:val="auto"/>
        </w:rPr>
        <w:t>AMENDMENT NO. TWO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TO THE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MOLINA HEALTHCARE, INC.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AMENDED AND RESTATED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DEFERRED COMPENSATION PLAN (2018)</w:t>
      </w:r>
    </w:p>
    <w:p>
      <w:pPr>
        <w:spacing w:after="0" w:line="148"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Section 7 of the Molina Healthcare, Inc. Amended and Restated Deferred Compensation Plan (2018) effective for amounts earned and deferred on or after January 1, 2018 (the “Plan”) allows Molina Healthcare, Inc. (the “Company”) to amend the terms of the Plan, at any time by resolution of the Plan Committee. Accordingly, the Plan Committee amends the Plan as follows, effective January 1, 2021.</w:t>
      </w:r>
    </w:p>
    <w:p>
      <w:pPr>
        <w:spacing w:after="0" w:line="31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5.3 is amended to read as follows: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If a Participant dies while still employed by the Company or a Subsidiary, the following provisions shall apply:</w:t>
      </w:r>
    </w:p>
    <w:p>
      <w:pPr>
        <w:spacing w:after="0" w:line="252" w:lineRule="exact"/>
        <w:rPr>
          <w:rFonts w:ascii="Arial" w:cs="Arial" w:eastAsia="Arial" w:hAnsi="Arial"/>
          <w:sz w:val="18"/>
          <w:szCs w:val="18"/>
          <w:color w:val="auto"/>
        </w:rPr>
      </w:pPr>
    </w:p>
    <w:p>
      <w:pPr>
        <w:ind w:left="1960" w:right="80" w:hanging="656"/>
        <w:spacing w:after="0" w:line="259" w:lineRule="auto"/>
        <w:tabs>
          <w:tab w:leader="none" w:pos="1587"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the Participant first began participating in the Plan on or before December 31, 2020, the Company will pay the Participant’s designated Beneficiary the greatest of: (x) twice the Participant’s base salary as of October 1, 2019 or, if later, the Participant’s effective date of enrollment in the Plan; (y) $500,000; or (z) the Participant’s Separation from Service Benefit, in the applicable form elected by the Participant in his Written Election; or</w:t>
      </w:r>
    </w:p>
    <w:p>
      <w:pPr>
        <w:spacing w:after="0" w:line="213" w:lineRule="exact"/>
        <w:rPr>
          <w:rFonts w:ascii="Arial" w:cs="Arial" w:eastAsia="Arial" w:hAnsi="Arial"/>
          <w:sz w:val="18"/>
          <w:szCs w:val="18"/>
          <w:color w:val="auto"/>
        </w:rPr>
      </w:pPr>
    </w:p>
    <w:p>
      <w:pPr>
        <w:ind w:left="1960" w:right="100" w:hanging="656"/>
        <w:spacing w:after="0" w:line="263" w:lineRule="auto"/>
        <w:tabs>
          <w:tab w:leader="none" w:pos="1637" w:val="left"/>
        </w:tabs>
        <w:numPr>
          <w:ilvl w:val="2"/>
          <w:numId w:val="70"/>
        </w:numPr>
        <w:rPr>
          <w:rFonts w:ascii="Arial" w:cs="Arial" w:eastAsia="Arial" w:hAnsi="Arial"/>
          <w:sz w:val="18"/>
          <w:szCs w:val="18"/>
          <w:color w:val="auto"/>
        </w:rPr>
      </w:pPr>
      <w:r>
        <w:rPr>
          <w:rFonts w:ascii="Arial" w:cs="Arial" w:eastAsia="Arial" w:hAnsi="Arial"/>
          <w:sz w:val="18"/>
          <w:szCs w:val="18"/>
          <w:color w:val="auto"/>
        </w:rPr>
        <w:t>If the Participant first began participating in the Plan on or after January 1, 2021, the Company will pay the Participant’s designated Beneficiary the Participant’s Separation from Service Benefit, in the applicable form elected by the Participant in his Written Election.</w:t>
      </w:r>
    </w:p>
    <w:p>
      <w:pPr>
        <w:spacing w:after="0" w:line="210" w:lineRule="exact"/>
        <w:rPr>
          <w:rFonts w:ascii="Arial" w:cs="Arial" w:eastAsia="Arial" w:hAnsi="Arial"/>
          <w:sz w:val="18"/>
          <w:szCs w:val="18"/>
          <w:color w:val="auto"/>
        </w:rPr>
      </w:pPr>
    </w:p>
    <w:p>
      <w:pPr>
        <w:ind w:left="1300" w:right="60" w:hanging="644"/>
        <w:spacing w:after="0" w:line="263" w:lineRule="auto"/>
        <w:tabs>
          <w:tab w:leader="none" w:pos="96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 Participant dies after a Separation from Service, the Company will commence or otherwise continue the payments of the Separation from Service Benefit otherwise due to the Participant to his designated Beneficiary, in the applicable form elected by the Participant in his Written Election.”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Except as amended hereby, the terms of the Plan shall remain in full force and effect.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MOLINA HEALTHCARE, INC.</w:t>
      </w:r>
    </w:p>
    <w:p>
      <w:pPr>
        <w:spacing w:after="0" w:line="24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804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180403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Name: Joseph M. Zubretsky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00"/>
          </w:cols>
          <w:pgMar w:left="320" w:top="1432" w:right="3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LIST OF SUBSIDIARIES</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9"/>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50"/>
        </w:trPr>
        <w:tc>
          <w:tcPr>
            <w:tcW w:w="4440" w:type="dxa"/>
            <w:vAlign w:val="bottom"/>
            <w:gridSpan w:val="2"/>
          </w:tcPr>
          <w:p>
            <w:pPr>
              <w:spacing w:after="0"/>
              <w:rPr>
                <w:sz w:val="20"/>
                <w:szCs w:val="20"/>
                <w:color w:val="auto"/>
              </w:rPr>
            </w:pPr>
            <w:r>
              <w:rPr>
                <w:rFonts w:ascii="Arial" w:cs="Arial" w:eastAsia="Arial" w:hAnsi="Arial"/>
                <w:sz w:val="18"/>
                <w:szCs w:val="18"/>
                <w:color w:val="auto"/>
              </w:rPr>
              <w:t>2028 West Broadway, LLC</w:t>
            </w:r>
          </w:p>
        </w:tc>
        <w:tc>
          <w:tcPr>
            <w:tcW w:w="3700" w:type="dxa"/>
            <w:vAlign w:val="bottom"/>
          </w:tcPr>
          <w:p>
            <w:pPr>
              <w:spacing w:after="0"/>
              <w:rPr>
                <w:sz w:val="21"/>
                <w:szCs w:val="21"/>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Data Center,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Arizona,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California</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Florida,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Georgia,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Illinois,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Kentucky,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Kentucky</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Louisiana,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Louisiana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Michigan,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Mississippi,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Nevada,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Nevada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New Mexico,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New York,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Ohio,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Oklahoma,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Oklahoma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Pennsylvania,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Puerto Rico,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Puerto Rico/Nevada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South Carolina,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Tennessee,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Texas,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Texas Insurance Company</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Utah,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Utah</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Washington,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Healthcare of Wisconsin,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Wisconsin</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Clinical Services,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Hospital Management,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Pathways,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Molina Care Connections,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Molina Youth Academy*</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Oceangate Reinsurance,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Utah</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Pathways Community Corrections,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Florida MHS,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Magellan Complete Care of Arizona,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Magellan Complete Care of Virginia,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Virginia</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SWH Holdings,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Senior Health Holdings,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Senior Health Holdings,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AlphaCare Holdings,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Senior Whole Health of New York,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Senior Whole Health,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Senior Whole Health Management Company, Inc.+++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The Management Group, LLC</w:t>
            </w:r>
          </w:p>
        </w:tc>
        <w:tc>
          <w:tcPr>
            <w:tcW w:w="37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220"/>
          </w:cols>
          <w:pgMar w:left="340" w:top="36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Non-operational entity</w:t>
      </w:r>
    </w:p>
    <w:p>
      <w:pPr>
        <w:spacing w:after="0" w:line="144" w:lineRule="exact"/>
        <w:rPr>
          <w:sz w:val="20"/>
          <w:szCs w:val="20"/>
          <w:color w:val="auto"/>
        </w:rPr>
      </w:pPr>
    </w:p>
    <w:p>
      <w:pPr>
        <w:ind w:right="6820" w:firstLine="8"/>
        <w:spacing w:after="0" w:line="406" w:lineRule="auto"/>
        <w:tabs>
          <w:tab w:leader="none" w:pos="3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Wholly owned subsidiary of Molina Pathways, LLC ++ Wholly owned subsidiary of SWH Holdings,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LLC</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Inc.</w:t>
      </w:r>
    </w:p>
    <w:p>
      <w:pPr>
        <w:spacing w:after="0" w:line="1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AlphaCare Holdings, Inc.</w:t>
      </w:r>
    </w:p>
    <w:p>
      <w:pPr>
        <w:sectPr>
          <w:pgSz w:w="11900" w:h="16838" w:orient="portrait"/>
          <w:cols w:equalWidth="0" w:num="1">
            <w:col w:w="11200"/>
          </w:cols>
          <w:pgMar w:left="360" w:top="3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660" w:right="20" w:hanging="328"/>
        <w:spacing w:after="0" w:line="371"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333-174912) pertaining to the Molina Healthcare, Inc. 2011 Equity Incentive Plan and 2011 Employee Stock Purchase Plan; and</w:t>
      </w:r>
    </w:p>
    <w:p>
      <w:pPr>
        <w:spacing w:after="0" w:line="89" w:lineRule="exact"/>
        <w:rPr>
          <w:rFonts w:ascii="Arial" w:cs="Arial" w:eastAsia="Arial" w:hAnsi="Arial"/>
          <w:sz w:val="18"/>
          <w:szCs w:val="18"/>
          <w:color w:val="auto"/>
        </w:rPr>
      </w:pPr>
    </w:p>
    <w:p>
      <w:pPr>
        <w:ind w:left="660" w:right="20" w:hanging="328"/>
        <w:spacing w:after="0" w:line="371"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Registration Statement (Form S-8 No. 333-231385) pertaining to the Molina Healthcare, Inc. 2019 Equity Incentive Plan and 2019 Employee Stock Purchase Plan,</w:t>
      </w:r>
    </w:p>
    <w:p>
      <w:pPr>
        <w:spacing w:after="0" w:line="8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of our reports dated February 16, 2021, with respect to the consolidated financial statements of Molina Healthcare, Inc., and the effectiveness of internal control over financial reporting of Molina Healthcare, Inc., included in this Annual Report (Form 10-K) for the year ended December 31, 2020.</w:t>
      </w:r>
    </w:p>
    <w:p>
      <w:pPr>
        <w:spacing w:after="0" w:line="23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9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04" w:lineRule="exact"/>
        <w:rPr>
          <w:sz w:val="20"/>
          <w:szCs w:val="20"/>
          <w:color w:val="auto"/>
        </w:rPr>
      </w:pPr>
    </w:p>
    <w:p>
      <w:pPr>
        <w:ind w:left="660" w:hanging="207"/>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the report on Form 10-K for the period ended December 31,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19"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80"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80"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16,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104" w:lineRule="exact"/>
        <w:rPr>
          <w:sz w:val="20"/>
          <w:szCs w:val="20"/>
          <w:color w:val="auto"/>
        </w:rPr>
      </w:pPr>
    </w:p>
    <w:p>
      <w:pPr>
        <w:ind w:left="660" w:hanging="207"/>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the report on Form 10-K for the period ended December 31,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80"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52"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16, 2021</w:t>
      </w:r>
      <w:r>
        <w:rPr>
          <w:sz w:val="20"/>
          <w:szCs w:val="20"/>
          <w:color w:val="auto"/>
        </w:rPr>
        <w:tab/>
      </w:r>
      <w:r>
        <w:rPr>
          <w:rFonts w:ascii="Arial" w:cs="Arial" w:eastAsia="Arial" w:hAnsi="Arial"/>
          <w:sz w:val="18"/>
          <w:szCs w:val="18"/>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Thomas L. Tran</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132" w:name="page133"/>
    <w:bookmarkEnd w:id="132"/>
    <w:p>
      <w:pPr>
        <w:ind w:left="10140"/>
        <w:spacing w:after="0"/>
        <w:rPr>
          <w:sz w:val="20"/>
          <w:szCs w:val="20"/>
          <w:color w:val="auto"/>
        </w:rPr>
      </w:pPr>
      <w:r>
        <w:rPr>
          <w:rFonts w:ascii="Arial" w:cs="Arial" w:eastAsia="Arial" w:hAnsi="Arial"/>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2020 (the “Report”), I, Joseph M. 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February 16,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133" w:name="page134"/>
    <w:bookmarkEnd w:id="133"/>
    <w:p>
      <w:pPr>
        <w:ind w:left="10140"/>
        <w:spacing w:after="0"/>
        <w:rPr>
          <w:sz w:val="20"/>
          <w:szCs w:val="20"/>
          <w:color w:val="auto"/>
        </w:rPr>
      </w:pPr>
      <w:r>
        <w:rPr>
          <w:rFonts w:ascii="Arial" w:cs="Arial" w:eastAsia="Arial" w:hAnsi="Arial"/>
          <w:sz w:val="17"/>
          <w:szCs w:val="17"/>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10-K for the period ended December 31, 2020 (the “Report”), I, Thomas L. Tran,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16, 2021</w:t>
      </w:r>
      <w:r>
        <w:rPr>
          <w:sz w:val="20"/>
          <w:szCs w:val="20"/>
          <w:color w:val="auto"/>
        </w:rPr>
        <w:tab/>
      </w:r>
      <w:r>
        <w:rPr>
          <w:rFonts w:ascii="Arial" w:cs="Arial" w:eastAsia="Arial" w:hAnsi="Arial"/>
          <w:sz w:val="18"/>
          <w:szCs w:val="18"/>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Thomas L. Tran</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lvl w:ilvl="1">
      <w:lvlJc w:val="left"/>
      <w:lvlText w:val="•"/>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3"/>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upperLetter"/>
      <w:start w:val="9"/>
    </w:lvl>
  </w:abstractNum>
  <w:abstractNum w:abstractNumId="46">
    <w:nsid w:val="61574095"/>
    <w:multiLevelType w:val="hybridMultilevel"/>
    <w:lvl w:ilvl="0">
      <w:lvlJc w:val="left"/>
      <w:lvlText w:val="%1."/>
      <w:numFmt w:val="upperLetter"/>
      <w:start w:val="35"/>
    </w:lvl>
  </w:abstractNum>
  <w:abstractNum w:abstractNumId="47">
    <w:nsid w:val="7E0C57B1"/>
    <w:multiLevelType w:val="hybridMultilevel"/>
    <w:lvl w:ilvl="0">
      <w:lvlJc w:val="left"/>
      <w:lvlText w:val="(%1)"/>
      <w:numFmt w:val="lowerLetter"/>
      <w:start w:val="1"/>
    </w:lvl>
    <w:lvl w:ilvl="1">
      <w:lvlJc w:val="left"/>
      <w:lvlText w:val="(%2)"/>
      <w:numFmt w:val="lowerRoman"/>
      <w:start w:val="1"/>
    </w:lvl>
  </w:abstractNum>
  <w:abstractNum w:abstractNumId="48">
    <w:nsid w:val="77AE35EB"/>
    <w:multiLevelType w:val="hybridMultilevel"/>
    <w:lvl w:ilvl="0">
      <w:lvlJc w:val="left"/>
      <w:lvlText w:val="%1"/>
      <w:numFmt w:val="lowerLetter"/>
      <w:start w:val="1"/>
    </w:lvl>
    <w:lvl w:ilvl="1">
      <w:lvlJc w:val="left"/>
      <w:lvlText w:val="(%2)"/>
      <w:numFmt w:val="lowerRoman"/>
      <w:start w:val="2"/>
    </w:lvl>
  </w:abstractNum>
  <w:abstractNum w:abstractNumId="49">
    <w:nsid w:val="579BE4F1"/>
    <w:multiLevelType w:val="hybridMultilevel"/>
    <w:lvl w:ilvl="0">
      <w:lvlJc w:val="left"/>
      <w:lvlText w:val="(%1)"/>
      <w:numFmt w:val="lowerLetter"/>
      <w:start w:val="7"/>
    </w:lvl>
    <w:lvl w:ilvl="1">
      <w:lvlJc w:val="left"/>
      <w:lvlText w:val="(%2)"/>
      <w:numFmt w:val="lowerRoman"/>
      <w:start w:val="1"/>
    </w:lvl>
  </w:abstractNum>
  <w:abstractNum w:abstractNumId="50">
    <w:nsid w:val="310C50B3"/>
    <w:multiLevelType w:val="hybridMultilevel"/>
    <w:lvl w:ilvl="0">
      <w:lvlJc w:val="left"/>
      <w:lvlText w:val="(%1)"/>
      <w:numFmt w:val="lowerRoman"/>
      <w:start w:val="3"/>
    </w:lvl>
  </w:abstractNum>
  <w:abstractNum w:abstractNumId="51">
    <w:nsid w:val="5FF87E05"/>
    <w:multiLevelType w:val="hybridMultilevel"/>
    <w:lvl w:ilvl="0">
      <w:lvlJc w:val="left"/>
      <w:lvlText w:val="(%1)"/>
      <w:numFmt w:val="lowerLetter"/>
      <w:start w:val="8"/>
    </w:lvl>
    <w:lvl w:ilvl="1">
      <w:lvlJc w:val="left"/>
      <w:lvlText w:val="(%2)"/>
      <w:numFmt w:val="lowerRoman"/>
      <w:start w:val="1"/>
    </w:lvl>
  </w:abstractNum>
  <w:abstractNum w:abstractNumId="52">
    <w:nsid w:val="2F305DEF"/>
    <w:multiLevelType w:val="hybridMultilevel"/>
    <w:lvl w:ilvl="0">
      <w:lvlJc w:val="left"/>
      <w:lvlText w:val="(%1)"/>
      <w:numFmt w:val="lowerLetter"/>
      <w:start w:val="12"/>
    </w:lvl>
    <w:lvl w:ilvl="1">
      <w:lvlJc w:val="left"/>
      <w:lvlText w:val="(%2)"/>
      <w:numFmt w:val="lowerRoman"/>
      <w:start w:val="1"/>
    </w:lvl>
  </w:abstractNum>
  <w:abstractNum w:abstractNumId="53">
    <w:nsid w:val="25A70BF7"/>
    <w:multiLevelType w:val="hybridMultilevel"/>
    <w:lvl w:ilvl="0">
      <w:lvlJc w:val="left"/>
      <w:lvlText w:val="%1"/>
      <w:numFmt w:val="decimal"/>
      <w:start w:val="1"/>
    </w:lvl>
    <w:lvl w:ilvl="1">
      <w:lvlJc w:val="left"/>
      <w:lvlText w:val="(%2)"/>
      <w:numFmt w:val="lowerRoman"/>
      <w:start w:val="1"/>
    </w:lvl>
  </w:abstractNum>
  <w:abstractNum w:abstractNumId="54">
    <w:nsid w:val="1DBABF00"/>
    <w:multiLevelType w:val="hybridMultilevel"/>
    <w:lvl w:ilvl="0">
      <w:lvlJc w:val="left"/>
      <w:lvlText w:val="(%1)"/>
      <w:numFmt w:val="decimal"/>
      <w:start w:val="50"/>
    </w:lvl>
    <w:lvl w:ilvl="1">
      <w:lvlJc w:val="left"/>
      <w:lvlText w:val="(%2)"/>
      <w:numFmt w:val="lowerRoman"/>
      <w:start w:val="4"/>
    </w:lvl>
  </w:abstractNum>
  <w:abstractNum w:abstractNumId="55">
    <w:nsid w:val="4AD084E9"/>
    <w:multiLevelType w:val="hybridMultilevel"/>
    <w:lvl w:ilvl="0">
      <w:lvlJc w:val="left"/>
      <w:lvlText w:val="(%1)"/>
      <w:numFmt w:val="lowerRoman"/>
      <w:start w:val="1"/>
    </w:lvl>
  </w:abstractNum>
  <w:abstractNum w:abstractNumId="56">
    <w:nsid w:val="1F48EAA1"/>
    <w:multiLevelType w:val="hybridMultilevel"/>
    <w:lvl w:ilvl="0">
      <w:lvlJc w:val="left"/>
      <w:lvlText w:val="(%1)"/>
      <w:numFmt w:val="lowerLetter"/>
      <w:start w:val="19"/>
    </w:lvl>
    <w:lvl w:ilvl="1">
      <w:lvlJc w:val="left"/>
      <w:lvlText w:val="(%2)"/>
      <w:numFmt w:val="lowerLetter"/>
      <w:start w:val="9"/>
    </w:lvl>
  </w:abstractNum>
  <w:abstractNum w:abstractNumId="57">
    <w:nsid w:val="1381823A"/>
    <w:multiLevelType w:val="hybridMultilevel"/>
    <w:lvl w:ilvl="0">
      <w:lvlJc w:val="left"/>
      <w:lvlText w:val="%1"/>
      <w:numFmt w:val="lowerLetter"/>
      <w:start w:val="1"/>
    </w:lvl>
    <w:lvl w:ilvl="1">
      <w:lvlJc w:val="left"/>
      <w:lvlText w:val="(%2)"/>
      <w:numFmt w:val="lowerLetter"/>
      <w:start w:val="35"/>
    </w:lvl>
  </w:abstractNum>
  <w:abstractNum w:abstractNumId="58">
    <w:nsid w:val="5DB70AE5"/>
    <w:multiLevelType w:val="hybridMultilevel"/>
    <w:lvl w:ilvl="0">
      <w:lvlJc w:val="left"/>
      <w:lvlText w:val="(%1)"/>
      <w:numFmt w:val="lowerLetter"/>
      <w:start w:val="20"/>
    </w:lvl>
    <w:lvl w:ilvl="1">
      <w:lvlJc w:val="left"/>
      <w:lvlText w:val="%2"/>
      <w:numFmt w:val="lowerLetter"/>
      <w:start w:val="1"/>
    </w:lvl>
  </w:abstractNum>
  <w:abstractNum w:abstractNumId="59">
    <w:nsid w:val="100F8FCA"/>
    <w:multiLevelType w:val="hybridMultilevel"/>
    <w:lvl w:ilvl="0">
      <w:lvlJc w:val="left"/>
      <w:lvlText w:val="%1."/>
      <w:numFmt w:val="upperLetter"/>
      <w:start w:val="6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lvl w:ilvl="1">
      <w:lvlJc w:val="left"/>
      <w:lvlText w:val="(%2)"/>
      <w:numFmt w:val="lowerRoman"/>
      <w:start w:val="1"/>
    </w:lvl>
  </w:abstractNum>
  <w:abstractNum w:abstractNumId="62">
    <w:nsid w:val="5F5E7FD0"/>
    <w:multiLevelType w:val="hybridMultilevel"/>
    <w:lvl w:ilvl="0">
      <w:lvlJc w:val="left"/>
      <w:lvlText w:val="(%1)"/>
      <w:numFmt w:val="lowerLetter"/>
      <w:start w:val="2"/>
    </w:lvl>
    <w:lvl w:ilvl="1">
      <w:lvlJc w:val="left"/>
      <w:lvlText w:val="%2"/>
      <w:numFmt w:val="lowerRoman"/>
      <w:start w:val="1"/>
    </w:lvl>
  </w:abstractNum>
  <w:abstractNum w:abstractNumId="63">
    <w:nsid w:val="98A3148"/>
    <w:multiLevelType w:val="hybridMultilevel"/>
    <w:lvl w:ilvl="0">
      <w:lvlJc w:val="left"/>
      <w:lvlText w:val="(%1)"/>
      <w:numFmt w:val="lowerLetter"/>
      <w:start w:val="3"/>
    </w:lvl>
    <w:lvl w:ilvl="1">
      <w:lvlJc w:val="left"/>
      <w:lvlText w:val="(%2)"/>
      <w:numFmt w:val="lowerRoman"/>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upperLetter"/>
      <w:start w:val="22"/>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30" Type="http://schemas.openxmlformats.org/officeDocument/2006/relationships/hyperlink" Target="http://www.sec.gov/Archives/edgar/data/1179929/000115752320000679/a52215020ex2_1.htm" TargetMode="External"/><Relationship Id="rId131" Type="http://schemas.openxmlformats.org/officeDocument/2006/relationships/hyperlink" Target="http://www.sec.gov/Archives/edgar/data/1179929/000117992920000139/exhibit21affinity-apa.htm" TargetMode="External"/><Relationship Id="rId132" Type="http://schemas.openxmlformats.org/officeDocument/2006/relationships/hyperlink" Target="http://www.sec.gov/Archives/edgar/data/1179929/000089843002004683/dex32.txt" TargetMode="External"/><Relationship Id="rId133" Type="http://schemas.openxmlformats.org/officeDocument/2006/relationships/hyperlink" Target="http://www.sec.gov/Archives/edgar/data/1179929/000119312513124378/d494218ddef14a.htm" TargetMode="External"/><Relationship Id="rId134" Type="http://schemas.openxmlformats.org/officeDocument/2006/relationships/hyperlink" Target="http://www.sec.gov/Archives/edgar/data/1179929/000117992919000060/a2019definitiveproxy.htm" TargetMode="External"/><Relationship Id="rId135" Type="http://schemas.openxmlformats.org/officeDocument/2006/relationships/hyperlink" Target="http://www.sec.gov/Archives/edgar/data/1179929/000117992919000032/moh-12312018xex33.htm" TargetMode="External"/><Relationship Id="rId136" Type="http://schemas.openxmlformats.org/officeDocument/2006/relationships/hyperlink" Target="http://www.sec.gov/Archives/edgar/data/1179929/000119312515373583/d72756dex41.htm" TargetMode="External"/><Relationship Id="rId137" Type="http://schemas.openxmlformats.org/officeDocument/2006/relationships/hyperlink" Target="http://www.sec.gov/Archives/edgar/data/1179929/000119312516468372/d138921dex41.htm" TargetMode="External"/><Relationship Id="rId138" Type="http://schemas.openxmlformats.org/officeDocument/2006/relationships/hyperlink" Target="http://www.sec.gov/Archives/edgar/data/1179929/000115752320000848/a52229102ex4_1.htm" TargetMode="External"/><Relationship Id="rId139" Type="http://schemas.openxmlformats.org/officeDocument/2006/relationships/hyperlink" Target="http://www.sec.gov/Archives/edgar/data/1179929/000115752320001511/a52328971ex4_1.htm" TargetMode="External"/><Relationship Id="rId140" Type="http://schemas.openxmlformats.org/officeDocument/2006/relationships/hyperlink" Target="http://www.sec.gov/Archives/edgar/data/1179929/000115752320000874/a52231626ex10_1.htm" TargetMode="External"/><Relationship Id="rId143" Type="http://schemas.openxmlformats.org/officeDocument/2006/relationships/hyperlink" Target="http://www.sec.gov/Archives/edgar/data/1179929/000117992915000007/moh-12312014x10kex106.htm" TargetMode="External"/><Relationship Id="rId144" Type="http://schemas.openxmlformats.org/officeDocument/2006/relationships/hyperlink" Target="http://www.sec.gov/Archives/edgar/data/1179929/000117992914000004/moh-12312013x10kex108.htm" TargetMode="External"/><Relationship Id="rId145" Type="http://schemas.openxmlformats.org/officeDocument/2006/relationships/hyperlink" Target="http://www.sec.gov/Archives/edgar/data/1179929/000117992917000099/exhibit102-2011equityincen.htm" TargetMode="External"/><Relationship Id="rId146" Type="http://schemas.openxmlformats.org/officeDocument/2006/relationships/hyperlink" Target="http://www.sec.gov/Archives/edgar/data/1179929/000117992917000099/exhibit103-2011equityincen.htm" TargetMode="External"/><Relationship Id="rId147" Type="http://schemas.openxmlformats.org/officeDocument/2006/relationships/hyperlink" Target="http://www.sec.gov/Archives/edgar/data/1179929/000117992917000099/exhibit104-2011equityincen.htm" TargetMode="External"/><Relationship Id="rId148" Type="http://schemas.openxmlformats.org/officeDocument/2006/relationships/hyperlink" Target="http://www.sec.gov/Archives/edgar/data/1179929/000117992917000099/exhibit105-2011equityincen.htm" TargetMode="External"/><Relationship Id="rId149" Type="http://schemas.openxmlformats.org/officeDocument/2006/relationships/hyperlink" Target="http://www.sec.gov/Archives/edgar/data/1179929/000117992919000134/ex101_2019-rsa.htm" TargetMode="External"/><Relationship Id="rId150" Type="http://schemas.openxmlformats.org/officeDocument/2006/relationships/hyperlink" Target="http://www.sec.gov/Archives/edgar/data/1179929/000117992919000134/a2019equityincentiveplan.htm" TargetMode="External"/><Relationship Id="rId151" Type="http://schemas.openxmlformats.org/officeDocument/2006/relationships/hyperlink" Target="http://www.sec.gov/Archives/edgar/data/1179929/000117992919000134/ex103_2019eip-rsa.htm" TargetMode="External"/><Relationship Id="rId152" Type="http://schemas.openxmlformats.org/officeDocument/2006/relationships/hyperlink" Target="http://www.sec.gov/Archives/edgar/data/1179929/000117992919000134/ex104_2019eip-psu.htm" TargetMode="External"/><Relationship Id="rId153" Type="http://schemas.openxmlformats.org/officeDocument/2006/relationships/hyperlink" Target="http://www.sec.gov/Archives/edgar/data/1179929/000119312507054663/dex1014.htm" TargetMode="External"/><Relationship Id="rId154" Type="http://schemas.openxmlformats.org/officeDocument/2006/relationships/hyperlink" Target="http://www.sec.gov/Archives/edgar/data/1179929/000117992918000145/moh-06302018xex102.htm" TargetMode="External"/><Relationship Id="rId155" Type="http://schemas.openxmlformats.org/officeDocument/2006/relationships/hyperlink" Target="http://www.sec.gov/Archives/edgar/data/1179929/000117992920000026/moh-12312019xex1025.htm" TargetMode="External"/><Relationship Id="rId156" Type="http://schemas.openxmlformats.org/officeDocument/2006/relationships/hyperlink" Target="http://www.sec.gov/Archives/edgar/data/1179929/000119312513259609/d554295dex103.htm" TargetMode="External"/><Relationship Id="rId157" Type="http://schemas.openxmlformats.org/officeDocument/2006/relationships/hyperlink" Target="http://www.sec.gov/Archives/edgar/data/1179929/000144530513000387/moh-12312012x10kex1016.htm" TargetMode="External"/><Relationship Id="rId158" Type="http://schemas.openxmlformats.org/officeDocument/2006/relationships/hyperlink" Target="http://www.sec.gov/Archives/edgar/data/1179929/000117992917000206/exhibit101_zubretskyemploy.htm" TargetMode="External"/><Relationship Id="rId159" Type="http://schemas.openxmlformats.org/officeDocument/2006/relationships/hyperlink" Target="http://www.sec.gov/Archives/edgar/data/1179929/000115752318001189/a51811417ex10_1.htm" TargetMode="External"/><Relationship Id="rId160" Type="http://schemas.openxmlformats.org/officeDocument/2006/relationships/hyperlink" Target="http://www.sec.gov/Archives/edgar/data/1179929/000117992919000032/moh-12312018xex1036.htm" TargetMode="External"/><Relationship Id="rId161" Type="http://schemas.openxmlformats.org/officeDocument/2006/relationships/hyperlink" Target="http://www.sec.gov/Archives/edgar/data/1179929/000117992919000160/moh-093020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2021-02-16T08:09:51Z</dcterms:created>
  <dcterms:modified xsi:type="dcterms:W3CDTF">2021-02-16T08:09:51Z</dcterms:modified>
</cp:coreProperties>
</file>