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April 14, 2020 (April 14, 2020)</w:t>
      </w:r>
    </w:p>
    <w:p>
      <w:pPr>
        <w:spacing w:after="0" w:line="264"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MOLINA HEALTHCARE,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215" w:right="3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001-31719</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13-4204626</w:t>
      </w:r>
    </w:p>
    <w:p>
      <w:pPr>
        <w:spacing w:after="0" w:line="50" w:lineRule="exact"/>
        <w:rPr>
          <w:sz w:val="24"/>
          <w:szCs w:val="24"/>
          <w:color w:val="auto"/>
        </w:rPr>
      </w:pPr>
    </w:p>
    <w:p>
      <w:pPr>
        <w:sectPr>
          <w:pgSz w:w="11900" w:h="16838" w:orient="portrait"/>
          <w:cols w:equalWidth="0" w:num="3">
            <w:col w:w="4500" w:space="720"/>
            <w:col w:w="3020" w:space="720"/>
            <w:col w:w="2280"/>
          </w:cols>
          <w:pgMar w:left="320" w:top="215" w:right="339" w:bottom="1440" w:gutter="0" w:footer="0" w:header="0"/>
          <w:type w:val="continuous"/>
        </w:sectPr>
      </w:pPr>
    </w:p>
    <w:p>
      <w:pPr>
        <w:ind w:left="720"/>
        <w:spacing w:after="0"/>
        <w:rPr>
          <w:sz w:val="20"/>
          <w:szCs w:val="20"/>
          <w:color w:val="auto"/>
        </w:rPr>
      </w:pPr>
      <w:r>
        <w:rPr>
          <w:rFonts w:ascii="Arial" w:cs="Arial" w:eastAsia="Arial" w:hAnsi="Arial"/>
          <w:sz w:val="16"/>
          <w:szCs w:val="16"/>
          <w:b w:val="1"/>
          <w:bCs w:val="1"/>
          <w:color w:val="auto"/>
        </w:rPr>
        <w:t>(State or other jurisdiction of</w:t>
      </w:r>
    </w:p>
    <w:p>
      <w:pPr>
        <w:sectPr>
          <w:pgSz w:w="11900" w:h="16838" w:orient="portrait"/>
          <w:cols w:equalWidth="0" w:num="1">
            <w:col w:w="11240"/>
          </w:cols>
          <w:pgMar w:left="320" w:top="215" w:right="339" w:bottom="1440" w:gutter="0" w:footer="0" w:header="0"/>
          <w:type w:val="continuous"/>
        </w:sectPr>
      </w:pPr>
    </w:p>
    <w:p>
      <w:pPr>
        <w:spacing w:after="0" w:line="32"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80" w:space="720"/>
            <w:col w:w="3160"/>
          </w:cols>
          <w:pgMar w:left="320" w:top="215" w:right="339" w:bottom="1440" w:gutter="0" w:footer="0" w:header="0"/>
          <w:type w:val="continuous"/>
        </w:sectPr>
      </w:pPr>
    </w:p>
    <w:p>
      <w:pPr>
        <w:spacing w:after="0" w:line="5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______________</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200 Oceangate, Suite 100, Long Beach, California 90802</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ectPr>
          <w:pgSz w:w="11900" w:h="16838" w:orient="portrait"/>
          <w:cols w:equalWidth="0" w:num="1">
            <w:col w:w="11240"/>
          </w:cols>
          <w:pgMar w:left="320" w:top="215"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(562) 435-3666</w:t>
      </w:r>
    </w:p>
    <w:p>
      <w:pPr>
        <w:spacing w:after="0" w:line="249" w:lineRule="exact"/>
        <w:rPr>
          <w:sz w:val="24"/>
          <w:szCs w:val="24"/>
          <w:color w:val="auto"/>
        </w:rPr>
      </w:pPr>
    </w:p>
    <w:p>
      <w:pPr>
        <w:ind w:right="860" w:firstLine="54"/>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40" w:firstLine="8"/>
        <w:spacing w:after="0" w:line="540"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2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Trading Symbol(s)</w:t>
            </w:r>
          </w:p>
        </w:tc>
        <w:tc>
          <w:tcPr>
            <w:tcW w:w="4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c>
          <w:tcPr>
            <w:tcW w:w="22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$0.001 Par Value</w:t>
            </w:r>
          </w:p>
        </w:tc>
        <w:tc>
          <w:tcPr>
            <w:tcW w:w="2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MOH</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New York Stock Exchange</w:t>
            </w:r>
          </w:p>
        </w:tc>
        <w:tc>
          <w:tcPr>
            <w:tcW w:w="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11020" w:type="dxa"/>
            <w:vAlign w:val="bottom"/>
            <w:gridSpan w:val="3"/>
          </w:tcPr>
          <w:p>
            <w:pPr>
              <w:spacing w:after="0"/>
              <w:rPr>
                <w:sz w:val="20"/>
                <w:szCs w:val="20"/>
                <w:color w:val="auto"/>
              </w:rPr>
            </w:pPr>
            <w:r>
              <w:rPr>
                <w:rFonts w:ascii="Arial" w:cs="Arial" w:eastAsia="Arial" w:hAnsi="Arial"/>
                <w:sz w:val="18"/>
                <w:szCs w:val="18"/>
                <w:color w:val="auto"/>
                <w:w w:val="93"/>
              </w:rPr>
              <w:t>Indicate by check mark whether the registrant is an emerging growth company as defined in Rule 405 of the Securities Act of 1933 (§230.405 of this</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20" w:type="dxa"/>
            <w:vAlign w:val="bottom"/>
            <w:gridSpan w:val="3"/>
          </w:tcPr>
          <w:p>
            <w:pPr>
              <w:spacing w:after="0"/>
              <w:rPr>
                <w:sz w:val="20"/>
                <w:szCs w:val="20"/>
                <w:color w:val="auto"/>
              </w:rPr>
            </w:pPr>
            <w:r>
              <w:rPr>
                <w:rFonts w:ascii="Arial" w:cs="Arial" w:eastAsia="Arial" w:hAnsi="Arial"/>
                <w:sz w:val="18"/>
                <w:szCs w:val="18"/>
                <w:color w:val="auto"/>
              </w:rPr>
              <w:t>chapter) or Rule 12b-2 of the Securities Exchange Act of 1934 (§240.12b-2 of this chapter).</w:t>
            </w:r>
          </w:p>
        </w:tc>
        <w:tc>
          <w:tcPr>
            <w:tcW w:w="22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480" w:type="dxa"/>
            <w:vAlign w:val="bottom"/>
          </w:tcPr>
          <w:p>
            <w:pPr>
              <w:ind w:left="2460"/>
              <w:spacing w:after="0"/>
              <w:rPr>
                <w:sz w:val="20"/>
                <w:szCs w:val="20"/>
                <w:color w:val="auto"/>
              </w:rPr>
            </w:pPr>
            <w:r>
              <w:rPr>
                <w:rFonts w:ascii="Arial" w:cs="Arial" w:eastAsia="Arial" w:hAnsi="Arial"/>
                <w:sz w:val="18"/>
                <w:szCs w:val="18"/>
                <w:color w:val="auto"/>
                <w:w w:val="93"/>
              </w:rPr>
              <w:t>Emerging growth company</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98"/>
        </w:trPr>
        <w:tc>
          <w:tcPr>
            <w:tcW w:w="11020" w:type="dxa"/>
            <w:vAlign w:val="bottom"/>
            <w:gridSpan w:val="3"/>
          </w:tcPr>
          <w:p>
            <w:pPr>
              <w:spacing w:after="0"/>
              <w:rPr>
                <w:sz w:val="20"/>
                <w:szCs w:val="20"/>
                <w:color w:val="auto"/>
              </w:rPr>
            </w:pPr>
            <w:r>
              <w:rPr>
                <w:rFonts w:ascii="Arial" w:cs="Arial" w:eastAsia="Arial" w:hAnsi="Arial"/>
                <w:sz w:val="18"/>
                <w:szCs w:val="18"/>
                <w:color w:val="auto"/>
                <w:w w:val="93"/>
              </w:rPr>
              <w:t>If an emerging growth company, indicate by check mark if the registrant has elected not to use the extended transition period for complying with any</w:t>
            </w:r>
          </w:p>
        </w:tc>
        <w:tc>
          <w:tcPr>
            <w:tcW w:w="220" w:type="dxa"/>
            <w:vAlign w:val="bottom"/>
            <w:vMerge w:val="restart"/>
          </w:tcPr>
          <w:p>
            <w:pPr>
              <w:ind w:left="6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50"/>
        </w:trPr>
        <w:tc>
          <w:tcPr>
            <w:tcW w:w="11020" w:type="dxa"/>
            <w:vAlign w:val="bottom"/>
            <w:gridSpan w:val="3"/>
          </w:tcPr>
          <w:p>
            <w:pPr>
              <w:spacing w:after="0"/>
              <w:rPr>
                <w:sz w:val="20"/>
                <w:szCs w:val="20"/>
                <w:color w:val="auto"/>
              </w:rPr>
            </w:pPr>
            <w:r>
              <w:rPr>
                <w:rFonts w:ascii="Arial" w:cs="Arial" w:eastAsia="Arial" w:hAnsi="Arial"/>
                <w:sz w:val="18"/>
                <w:szCs w:val="18"/>
                <w:color w:val="auto"/>
              </w:rPr>
              <w:t>new or revised financial accounting standards provided pursuant to Section13(a) of the Exchange Act.</w:t>
            </w: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Molina Healthcare, Inc. has terminated its agreement to acquire all of the capital stock of NextLevel Health Partners, Inc. due to the seller’s stated unwillingness to close pursuant to the terms of the acquisition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Note: The information furnished herewith pursuant to Item 7.01 of this current report on Form 8-K shall not be deemed to be “filed” for the purpose of Section 18 of the Securities Exchange Act of 1934, as amended (the “Exchange Act”), or otherwise subject to the liabilities of that section, and shall not be incorporated by reference into any registration statement or other document filed by the Company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MOLINA HEALTHCARE, INC.</w:t>
      </w:r>
    </w:p>
    <w:p>
      <w:pPr>
        <w:spacing w:after="0" w:line="225" w:lineRule="exact"/>
        <w:rPr>
          <w:sz w:val="20"/>
          <w:szCs w:val="20"/>
          <w:color w:val="auto"/>
        </w:rPr>
      </w:pPr>
    </w:p>
    <w:p>
      <w:pPr>
        <w:spacing w:after="0"/>
        <w:tabs>
          <w:tab w:leader="none" w:pos="5620" w:val="left"/>
          <w:tab w:leader="none" w:pos="8180" w:val="left"/>
        </w:tabs>
        <w:rPr>
          <w:sz w:val="20"/>
          <w:szCs w:val="20"/>
          <w:color w:val="auto"/>
        </w:rPr>
      </w:pPr>
      <w:r>
        <w:rPr>
          <w:rFonts w:ascii="Arial" w:cs="Arial" w:eastAsia="Arial" w:hAnsi="Arial"/>
          <w:sz w:val="18"/>
          <w:szCs w:val="18"/>
          <w:color w:val="auto"/>
        </w:rPr>
        <w:t>Date: April 14,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D. Barlow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14605</wp:posOffset>
            </wp:positionV>
            <wp:extent cx="30600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60065" cy="17145"/>
                    </a:xfrm>
                    <a:prstGeom prst="rect">
                      <a:avLst/>
                    </a:prstGeom>
                    <a:noFill/>
                  </pic:spPr>
                </pic:pic>
              </a:graphicData>
            </a:graphic>
          </wp:anchor>
        </w:drawing>
      </w:r>
    </w:p>
    <w:p>
      <w:pPr>
        <w:spacing w:after="0" w:line="30"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Jeff D. Barlow,</w:t>
      </w:r>
    </w:p>
    <w:p>
      <w:pPr>
        <w:spacing w:after="0" w:line="9"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2020-04-14T05:38:23Z</dcterms:created>
  <dcterms:modified xsi:type="dcterms:W3CDTF">2020-04-14T05:38:23Z</dcterms:modified>
</cp:coreProperties>
</file>