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1384935</wp:posOffset>
            </wp:positionH>
            <wp:positionV relativeFrom="paragraph">
              <wp:posOffset>53340</wp:posOffset>
            </wp:positionV>
            <wp:extent cx="43719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371975" cy="8890"/>
                    </a:xfrm>
                    <a:prstGeom prst="rect">
                      <a:avLst/>
                    </a:prstGeom>
                    <a:noFill/>
                  </pic:spPr>
                </pic:pic>
              </a:graphicData>
            </a:graphic>
          </wp:anchor>
        </w:drawing>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1393825</wp:posOffset>
            </wp:positionH>
            <wp:positionV relativeFrom="paragraph">
              <wp:posOffset>76835</wp:posOffset>
            </wp:positionV>
            <wp:extent cx="43548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354830" cy="8255"/>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ind w:left="660" w:hanging="634"/>
        <w:spacing w:after="0" w:line="183" w:lineRule="auto"/>
        <w:tabs>
          <w:tab w:leader="none" w:pos="660" w:val="left"/>
        </w:tabs>
        <w:numPr>
          <w:ilvl w:val="0"/>
          <w:numId w:val="1"/>
        </w:numPr>
        <w:rPr>
          <w:rFonts w:ascii="MS PGothic" w:cs="MS PGothic" w:eastAsia="MS PGothic" w:hAnsi="MS PGothic"/>
          <w:sz w:val="42"/>
          <w:szCs w:val="42"/>
          <w:color w:val="auto"/>
          <w:vertAlign w:val="subscript"/>
        </w:rPr>
      </w:pPr>
      <w:r>
        <w:rPr>
          <w:rFonts w:ascii="Arial" w:cs="Arial" w:eastAsia="Arial" w:hAnsi="Arial"/>
          <w:sz w:val="19"/>
          <w:szCs w:val="19"/>
          <w:b w:val="1"/>
          <w:bCs w:val="1"/>
          <w:color w:val="auto"/>
        </w:rPr>
        <w:t>QUARTERLY REPORT PURSUANT TO SECTION 13 OR 15(d) OF THE SECURITIES EXCHANGE ACT OF 1934</w:t>
      </w:r>
    </w:p>
    <w:p>
      <w:pPr>
        <w:spacing w:after="0" w:line="130"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 the quarterly period ended September 30, 2023</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3" w:lineRule="exact"/>
        <w:rPr>
          <w:sz w:val="24"/>
          <w:szCs w:val="24"/>
          <w:color w:val="auto"/>
        </w:rPr>
      </w:pPr>
    </w:p>
    <w:p>
      <w:pPr>
        <w:ind w:left="660" w:hanging="634"/>
        <w:spacing w:after="0"/>
        <w:tabs>
          <w:tab w:leader="none" w:pos="66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24"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For the transition period from ________ to ________</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001-31719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1359535</wp:posOffset>
            </wp:positionH>
            <wp:positionV relativeFrom="paragraph">
              <wp:posOffset>57785</wp:posOffset>
            </wp:positionV>
            <wp:extent cx="4423410" cy="720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423410" cy="7200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MOLINA HEALTHCARE, INC.</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1359535</wp:posOffset>
            </wp:positionH>
            <wp:positionV relativeFrom="paragraph">
              <wp:posOffset>53340</wp:posOffset>
            </wp:positionV>
            <wp:extent cx="44234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423410" cy="8890"/>
                    </a:xfrm>
                    <a:prstGeom prst="rect">
                      <a:avLst/>
                    </a:prstGeom>
                    <a:noFill/>
                  </pic:spPr>
                </pic:pic>
              </a:graphicData>
            </a:graphic>
          </wp:anchor>
        </w:drawing>
      </w:r>
    </w:p>
    <w:p>
      <w:pPr>
        <w:spacing w:after="0" w:line="195" w:lineRule="exact"/>
        <w:rPr>
          <w:sz w:val="24"/>
          <w:szCs w:val="24"/>
          <w:color w:val="auto"/>
        </w:rPr>
      </w:pPr>
    </w:p>
    <w:tbl>
      <w:tblPr>
        <w:tblLayout w:type="fixed"/>
        <w:tblInd w:w="1900" w:type="dxa"/>
        <w:tblCellMar>
          <w:top w:w="0" w:type="dxa"/>
          <w:left w:w="0" w:type="dxa"/>
          <w:bottom w:w="0" w:type="dxa"/>
          <w:right w:w="0" w:type="dxa"/>
        </w:tblCellMar>
      </w:tblPr>
      <w:tr>
        <w:trPr>
          <w:trHeight w:val="227"/>
        </w:trPr>
        <w:tc>
          <w:tcPr>
            <w:tcW w:w="4100" w:type="dxa"/>
            <w:vAlign w:val="bottom"/>
          </w:tcPr>
          <w:p>
            <w:pPr>
              <w:jc w:val="center"/>
              <w:ind w:right="1344"/>
              <w:spacing w:after="0"/>
              <w:rPr>
                <w:sz w:val="20"/>
                <w:szCs w:val="20"/>
                <w:color w:val="auto"/>
              </w:rPr>
            </w:pPr>
            <w:r>
              <w:rPr>
                <w:rFonts w:ascii="Arial" w:cs="Arial" w:eastAsia="Arial" w:hAnsi="Arial"/>
                <w:sz w:val="16"/>
                <w:szCs w:val="16"/>
                <w:b w:val="1"/>
                <w:bCs w:val="1"/>
                <w:color w:val="auto"/>
              </w:rPr>
              <w:t>Delaware</w:t>
            </w:r>
          </w:p>
        </w:tc>
        <w:tc>
          <w:tcPr>
            <w:tcW w:w="2640" w:type="dxa"/>
            <w:vAlign w:val="bottom"/>
          </w:tcPr>
          <w:p>
            <w:pPr>
              <w:jc w:val="right"/>
              <w:ind w:right="104"/>
              <w:spacing w:after="0"/>
              <w:rPr>
                <w:sz w:val="20"/>
                <w:szCs w:val="20"/>
                <w:color w:val="auto"/>
              </w:rPr>
            </w:pPr>
            <w:r>
              <w:rPr>
                <w:rFonts w:ascii="Arial" w:cs="Arial" w:eastAsia="Arial" w:hAnsi="Arial"/>
                <w:sz w:val="16"/>
                <w:szCs w:val="16"/>
                <w:b w:val="1"/>
                <w:bCs w:val="1"/>
                <w:color w:val="auto"/>
              </w:rPr>
              <w:t>13-4204626</w:t>
            </w:r>
          </w:p>
        </w:tc>
      </w:tr>
      <w:tr>
        <w:trPr>
          <w:trHeight w:val="169"/>
        </w:trPr>
        <w:tc>
          <w:tcPr>
            <w:tcW w:w="4100" w:type="dxa"/>
            <w:vAlign w:val="bottom"/>
          </w:tcPr>
          <w:p>
            <w:pPr>
              <w:jc w:val="center"/>
              <w:ind w:right="1344"/>
              <w:spacing w:after="0"/>
              <w:rPr>
                <w:sz w:val="20"/>
                <w:szCs w:val="20"/>
                <w:color w:val="auto"/>
              </w:rPr>
            </w:pPr>
            <w:r>
              <w:rPr>
                <w:rFonts w:ascii="Arial" w:cs="Arial" w:eastAsia="Arial" w:hAnsi="Arial"/>
                <w:sz w:val="14"/>
                <w:szCs w:val="14"/>
                <w:b w:val="1"/>
                <w:bCs w:val="1"/>
                <w:color w:val="auto"/>
              </w:rPr>
              <w:t>(State or other jurisdiction of</w:t>
            </w:r>
          </w:p>
        </w:tc>
        <w:tc>
          <w:tcPr>
            <w:tcW w:w="2640" w:type="dxa"/>
            <w:vAlign w:val="bottom"/>
          </w:tcPr>
          <w:p>
            <w:pPr>
              <w:jc w:val="center"/>
              <w:ind w:left="1344"/>
              <w:spacing w:after="0"/>
              <w:rPr>
                <w:sz w:val="20"/>
                <w:szCs w:val="20"/>
                <w:color w:val="auto"/>
              </w:rPr>
            </w:pPr>
            <w:r>
              <w:rPr>
                <w:rFonts w:ascii="Arial" w:cs="Arial" w:eastAsia="Arial" w:hAnsi="Arial"/>
                <w:sz w:val="14"/>
                <w:szCs w:val="14"/>
                <w:b w:val="1"/>
                <w:bCs w:val="1"/>
                <w:color w:val="auto"/>
              </w:rPr>
              <w:t>(I.R.S. Employer</w:t>
            </w:r>
          </w:p>
        </w:tc>
      </w:tr>
      <w:tr>
        <w:trPr>
          <w:trHeight w:val="200"/>
        </w:trPr>
        <w:tc>
          <w:tcPr>
            <w:tcW w:w="4100" w:type="dxa"/>
            <w:vAlign w:val="bottom"/>
          </w:tcPr>
          <w:p>
            <w:pPr>
              <w:jc w:val="center"/>
              <w:ind w:right="1344"/>
              <w:spacing w:after="0"/>
              <w:rPr>
                <w:sz w:val="20"/>
                <w:szCs w:val="20"/>
                <w:color w:val="auto"/>
              </w:rPr>
            </w:pPr>
            <w:r>
              <w:rPr>
                <w:rFonts w:ascii="Arial" w:cs="Arial" w:eastAsia="Arial" w:hAnsi="Arial"/>
                <w:sz w:val="14"/>
                <w:szCs w:val="14"/>
                <w:b w:val="1"/>
                <w:bCs w:val="1"/>
                <w:color w:val="auto"/>
              </w:rPr>
              <w:t>incorporation or organization)</w:t>
            </w:r>
          </w:p>
        </w:tc>
        <w:tc>
          <w:tcPr>
            <w:tcW w:w="2640" w:type="dxa"/>
            <w:vAlign w:val="bottom"/>
          </w:tcPr>
          <w:p>
            <w:pPr>
              <w:jc w:val="center"/>
              <w:ind w:left="1344"/>
              <w:spacing w:after="0"/>
              <w:rPr>
                <w:sz w:val="20"/>
                <w:szCs w:val="20"/>
                <w:color w:val="auto"/>
              </w:rPr>
            </w:pPr>
            <w:r>
              <w:rPr>
                <w:rFonts w:ascii="Arial" w:cs="Arial" w:eastAsia="Arial" w:hAnsi="Arial"/>
                <w:sz w:val="14"/>
                <w:szCs w:val="14"/>
                <w:b w:val="1"/>
                <w:bCs w:val="1"/>
                <w:color w:val="auto"/>
              </w:rPr>
              <w:t>Identification No.)</w:t>
            </w:r>
          </w:p>
        </w:tc>
      </w:tr>
      <w:tr>
        <w:trPr>
          <w:trHeight w:val="254"/>
        </w:trPr>
        <w:tc>
          <w:tcPr>
            <w:tcW w:w="4100" w:type="dxa"/>
            <w:vAlign w:val="bottom"/>
          </w:tcPr>
          <w:p>
            <w:pPr>
              <w:jc w:val="center"/>
              <w:ind w:right="1344"/>
              <w:spacing w:after="0"/>
              <w:rPr>
                <w:sz w:val="20"/>
                <w:szCs w:val="20"/>
                <w:color w:val="auto"/>
              </w:rPr>
            </w:pPr>
            <w:r>
              <w:rPr>
                <w:rFonts w:ascii="Arial" w:cs="Arial" w:eastAsia="Arial" w:hAnsi="Arial"/>
                <w:sz w:val="16"/>
                <w:szCs w:val="16"/>
                <w:b w:val="1"/>
                <w:bCs w:val="1"/>
                <w:color w:val="auto"/>
              </w:rPr>
              <w:t>200 Oceangate, Suite 100</w:t>
            </w:r>
          </w:p>
        </w:tc>
        <w:tc>
          <w:tcPr>
            <w:tcW w:w="2640" w:type="dxa"/>
            <w:vAlign w:val="bottom"/>
          </w:tcPr>
          <w:p>
            <w:pPr>
              <w:spacing w:after="0"/>
              <w:rPr>
                <w:sz w:val="22"/>
                <w:szCs w:val="22"/>
                <w:color w:val="auto"/>
              </w:rPr>
            </w:pPr>
          </w:p>
        </w:tc>
      </w:tr>
      <w:tr>
        <w:trPr>
          <w:trHeight w:val="221"/>
        </w:trPr>
        <w:tc>
          <w:tcPr>
            <w:tcW w:w="4100" w:type="dxa"/>
            <w:vAlign w:val="bottom"/>
          </w:tcPr>
          <w:p>
            <w:pPr>
              <w:jc w:val="center"/>
              <w:ind w:right="1364"/>
              <w:spacing w:after="0"/>
              <w:rPr>
                <w:sz w:val="20"/>
                <w:szCs w:val="20"/>
                <w:color w:val="auto"/>
              </w:rPr>
            </w:pPr>
            <w:r>
              <w:rPr>
                <w:rFonts w:ascii="Arial" w:cs="Arial" w:eastAsia="Arial" w:hAnsi="Arial"/>
                <w:sz w:val="16"/>
                <w:szCs w:val="16"/>
                <w:b w:val="1"/>
                <w:bCs w:val="1"/>
                <w:color w:val="auto"/>
                <w:w w:val="99"/>
              </w:rPr>
              <w:t>Long Beach, California</w:t>
            </w:r>
          </w:p>
        </w:tc>
        <w:tc>
          <w:tcPr>
            <w:tcW w:w="2640" w:type="dxa"/>
            <w:vAlign w:val="bottom"/>
          </w:tcPr>
          <w:p>
            <w:pPr>
              <w:jc w:val="right"/>
              <w:ind w:right="304"/>
              <w:spacing w:after="0"/>
              <w:rPr>
                <w:sz w:val="20"/>
                <w:szCs w:val="20"/>
                <w:color w:val="auto"/>
              </w:rPr>
            </w:pPr>
            <w:r>
              <w:rPr>
                <w:rFonts w:ascii="Arial" w:cs="Arial" w:eastAsia="Arial" w:hAnsi="Arial"/>
                <w:sz w:val="16"/>
                <w:szCs w:val="16"/>
                <w:b w:val="1"/>
                <w:bCs w:val="1"/>
                <w:color w:val="auto"/>
              </w:rPr>
              <w:t>90802</w:t>
            </w:r>
          </w:p>
        </w:tc>
      </w:tr>
      <w:tr>
        <w:trPr>
          <w:trHeight w:val="200"/>
        </w:trPr>
        <w:tc>
          <w:tcPr>
            <w:tcW w:w="4100" w:type="dxa"/>
            <w:vAlign w:val="bottom"/>
          </w:tcPr>
          <w:p>
            <w:pPr>
              <w:jc w:val="center"/>
              <w:ind w:right="1344"/>
              <w:spacing w:after="0"/>
              <w:rPr>
                <w:sz w:val="20"/>
                <w:szCs w:val="20"/>
                <w:color w:val="auto"/>
              </w:rPr>
            </w:pPr>
            <w:r>
              <w:rPr>
                <w:rFonts w:ascii="Arial" w:cs="Arial" w:eastAsia="Arial" w:hAnsi="Arial"/>
                <w:sz w:val="14"/>
                <w:szCs w:val="14"/>
                <w:b w:val="1"/>
                <w:bCs w:val="1"/>
                <w:color w:val="auto"/>
              </w:rPr>
              <w:t>(Address of principal executive offices)</w:t>
            </w:r>
          </w:p>
        </w:tc>
        <w:tc>
          <w:tcPr>
            <w:tcW w:w="2640" w:type="dxa"/>
            <w:vAlign w:val="bottom"/>
          </w:tcPr>
          <w:p>
            <w:pPr>
              <w:jc w:val="center"/>
              <w:ind w:left="1344"/>
              <w:spacing w:after="0"/>
              <w:rPr>
                <w:sz w:val="20"/>
                <w:szCs w:val="20"/>
                <w:color w:val="auto"/>
              </w:rPr>
            </w:pPr>
            <w:r>
              <w:rPr>
                <w:rFonts w:ascii="Arial" w:cs="Arial" w:eastAsia="Arial" w:hAnsi="Arial"/>
                <w:sz w:val="14"/>
                <w:szCs w:val="14"/>
                <w:b w:val="1"/>
                <w:bCs w:val="1"/>
                <w:color w:val="auto"/>
              </w:rPr>
              <w:t>(Zip Code)</w:t>
            </w:r>
          </w:p>
        </w:tc>
      </w:tr>
    </w:tbl>
    <w:p>
      <w:pPr>
        <w:spacing w:after="0" w:line="6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(562) 435-3666</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1359535</wp:posOffset>
            </wp:positionH>
            <wp:positionV relativeFrom="paragraph">
              <wp:posOffset>134620</wp:posOffset>
            </wp:positionV>
            <wp:extent cx="44234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423410" cy="8890"/>
                    </a:xfrm>
                    <a:prstGeom prst="rect">
                      <a:avLst/>
                    </a:prstGeom>
                    <a:noFill/>
                  </pic:spPr>
                </pic:pic>
              </a:graphicData>
            </a:graphic>
          </wp:anchor>
        </w:drawing>
      </w: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52" w:lineRule="exact"/>
        <w:rPr>
          <w:sz w:val="24"/>
          <w:szCs w:val="24"/>
          <w:color w:val="auto"/>
        </w:rPr>
      </w:pPr>
    </w:p>
    <w:tbl>
      <w:tblPr>
        <w:tblLayout w:type="fixed"/>
        <w:tblInd w:w="950" w:type="dxa"/>
        <w:tblCellMar>
          <w:top w:w="0" w:type="dxa"/>
          <w:left w:w="0" w:type="dxa"/>
          <w:bottom w:w="0" w:type="dxa"/>
          <w:right w:w="0" w:type="dxa"/>
        </w:tblCellMar>
      </w:tblPr>
      <w:tr>
        <w:trPr>
          <w:trHeight w:val="255"/>
        </w:trPr>
        <w:tc>
          <w:tcPr>
            <w:tcW w:w="36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3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32"/>
        </w:trPr>
        <w:tc>
          <w:tcPr>
            <w:tcW w:w="3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Common Stock, $0.001 Par Value</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MOH</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New York Stock Exchange</w:t>
            </w:r>
          </w:p>
        </w:tc>
      </w:tr>
    </w:tbl>
    <w:p>
      <w:pPr>
        <w:spacing w:after="0" w:line="152" w:lineRule="exact"/>
        <w:rPr>
          <w:sz w:val="24"/>
          <w:szCs w:val="24"/>
          <w:color w:val="auto"/>
        </w:rPr>
      </w:pPr>
    </w:p>
    <w:p>
      <w:pPr>
        <w:jc w:val="both"/>
        <w:ind w:right="440"/>
        <w:spacing w:after="0" w:line="20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93" w:lineRule="exact"/>
        <w:rPr>
          <w:sz w:val="24"/>
          <w:szCs w:val="24"/>
          <w:color w:val="auto"/>
        </w:rPr>
      </w:pPr>
    </w:p>
    <w:p>
      <w:pPr>
        <w:ind w:right="460"/>
        <w:spacing w:after="0" w:line="21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93" w:lineRule="exact"/>
        <w:rPr>
          <w:sz w:val="24"/>
          <w:szCs w:val="24"/>
          <w:color w:val="auto"/>
        </w:rPr>
      </w:pPr>
    </w:p>
    <w:p>
      <w:pPr>
        <w:spacing w:after="0" w:line="27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8" w:lineRule="exact"/>
        <w:rPr>
          <w:sz w:val="24"/>
          <w:szCs w:val="24"/>
          <w:color w:val="auto"/>
        </w:rPr>
      </w:pPr>
    </w:p>
    <w:p>
      <w:pPr>
        <w:ind w:left="180"/>
        <w:spacing w:after="0" w:line="184" w:lineRule="exact"/>
        <w:rPr>
          <w:sz w:val="20"/>
          <w:szCs w:val="20"/>
          <w:color w:val="auto"/>
        </w:rPr>
      </w:pPr>
      <w:r>
        <w:rPr>
          <w:rFonts w:ascii="Arial" w:cs="Arial" w:eastAsia="Arial" w:hAnsi="Arial"/>
          <w:sz w:val="16"/>
          <w:szCs w:val="16"/>
          <w:color w:val="auto"/>
        </w:rPr>
        <w:t>L</w:t>
      </w:r>
      <w:r>
        <w:rPr>
          <w:rFonts w:ascii="Arial" w:cs="Arial" w:eastAsia="Arial" w:hAnsi="Arial"/>
          <w:sz w:val="14"/>
          <w:szCs w:val="14"/>
          <w:color w:val="auto"/>
        </w:rPr>
        <w:t>arge Accelerated Filer</w:t>
      </w:r>
      <w:r>
        <w:rPr>
          <w:rFonts w:ascii="Arial" w:cs="Arial" w:eastAsia="Arial" w:hAnsi="Arial"/>
          <w:sz w:val="16"/>
          <w:szCs w:val="16"/>
          <w:color w:val="auto"/>
        </w:rPr>
        <w:t xml:space="preserve"> </w:t>
      </w:r>
      <w:r>
        <w:rPr>
          <w:rFonts w:ascii="MS PGothic" w:cs="MS PGothic" w:eastAsia="MS PGothic" w:hAnsi="MS PGothic"/>
          <w:sz w:val="14"/>
          <w:szCs w:val="14"/>
          <w:color w:val="auto"/>
        </w:rPr>
        <w:t>☒</w:t>
      </w:r>
      <w:r>
        <w:rPr>
          <w:rFonts w:ascii="Arial" w:cs="Arial" w:eastAsia="Arial" w:hAnsi="Arial"/>
          <w:sz w:val="16"/>
          <w:szCs w:val="16"/>
          <w:color w:val="auto"/>
        </w:rPr>
        <w:t xml:space="preserve"> </w:t>
      </w:r>
      <w:r>
        <w:rPr>
          <w:rFonts w:ascii="Arial" w:cs="Arial" w:eastAsia="Arial" w:hAnsi="Arial"/>
          <w:sz w:val="14"/>
          <w:szCs w:val="14"/>
          <w:color w:val="auto"/>
        </w:rPr>
        <w:t>Accelerated Filer</w:t>
      </w:r>
      <w:r>
        <w:rPr>
          <w:rFonts w:ascii="Arial" w:cs="Arial" w:eastAsia="Arial" w:hAnsi="Arial"/>
          <w:sz w:val="16"/>
          <w:szCs w:val="16"/>
          <w:color w:val="auto"/>
        </w:rPr>
        <w:t xml:space="preserve"> </w:t>
      </w:r>
      <w:r>
        <w:rPr>
          <w:rFonts w:ascii="MS PGothic" w:cs="MS PGothic" w:eastAsia="MS PGothic" w:hAnsi="MS PGothic"/>
          <w:sz w:val="14"/>
          <w:szCs w:val="14"/>
          <w:color w:val="auto"/>
        </w:rPr>
        <w:t>☐</w:t>
      </w:r>
      <w:r>
        <w:rPr>
          <w:rFonts w:ascii="Arial" w:cs="Arial" w:eastAsia="Arial" w:hAnsi="Arial"/>
          <w:sz w:val="16"/>
          <w:szCs w:val="16"/>
          <w:color w:val="auto"/>
        </w:rPr>
        <w:t xml:space="preserve"> </w:t>
      </w:r>
      <w:r>
        <w:rPr>
          <w:rFonts w:ascii="Arial" w:cs="Arial" w:eastAsia="Arial" w:hAnsi="Arial"/>
          <w:sz w:val="14"/>
          <w:szCs w:val="14"/>
          <w:color w:val="auto"/>
        </w:rPr>
        <w:t>Non-Accelerated Filer</w:t>
      </w:r>
      <w:r>
        <w:rPr>
          <w:rFonts w:ascii="Arial" w:cs="Arial" w:eastAsia="Arial" w:hAnsi="Arial"/>
          <w:sz w:val="16"/>
          <w:szCs w:val="16"/>
          <w:color w:val="auto"/>
        </w:rPr>
        <w:t xml:space="preserve"> </w:t>
      </w:r>
      <w:r>
        <w:rPr>
          <w:rFonts w:ascii="MS PGothic" w:cs="MS PGothic" w:eastAsia="MS PGothic" w:hAnsi="MS PGothic"/>
          <w:sz w:val="14"/>
          <w:szCs w:val="14"/>
          <w:color w:val="auto"/>
        </w:rPr>
        <w:t>☐</w:t>
      </w:r>
      <w:r>
        <w:rPr>
          <w:rFonts w:ascii="Arial" w:cs="Arial" w:eastAsia="Arial" w:hAnsi="Arial"/>
          <w:sz w:val="16"/>
          <w:szCs w:val="16"/>
          <w:color w:val="auto"/>
        </w:rPr>
        <w:t xml:space="preserve"> </w:t>
      </w:r>
      <w:r>
        <w:rPr>
          <w:rFonts w:ascii="Arial" w:cs="Arial" w:eastAsia="Arial" w:hAnsi="Arial"/>
          <w:sz w:val="14"/>
          <w:szCs w:val="14"/>
          <w:color w:val="auto"/>
        </w:rPr>
        <w:t>Smaller reporting company</w:t>
      </w:r>
      <w:r>
        <w:rPr>
          <w:rFonts w:ascii="Arial" w:cs="Arial" w:eastAsia="Arial" w:hAnsi="Arial"/>
          <w:sz w:val="16"/>
          <w:szCs w:val="16"/>
          <w:color w:val="auto"/>
        </w:rPr>
        <w:t xml:space="preserve"> </w:t>
      </w:r>
      <w:r>
        <w:rPr>
          <w:rFonts w:ascii="MS PGothic" w:cs="MS PGothic" w:eastAsia="MS PGothic" w:hAnsi="MS PGothic"/>
          <w:sz w:val="14"/>
          <w:szCs w:val="14"/>
          <w:color w:val="auto"/>
        </w:rPr>
        <w:t>☐</w:t>
      </w:r>
      <w:r>
        <w:rPr>
          <w:rFonts w:ascii="Arial" w:cs="Arial" w:eastAsia="Arial" w:hAnsi="Arial"/>
          <w:sz w:val="16"/>
          <w:szCs w:val="16"/>
          <w:color w:val="auto"/>
        </w:rPr>
        <w:t xml:space="preserve"> </w:t>
      </w:r>
      <w:r>
        <w:rPr>
          <w:rFonts w:ascii="Arial" w:cs="Arial" w:eastAsia="Arial" w:hAnsi="Arial"/>
          <w:sz w:val="14"/>
          <w:szCs w:val="14"/>
          <w:color w:val="auto"/>
        </w:rPr>
        <w:t>Emerging growth company</w:t>
      </w:r>
      <w:r>
        <w:rPr>
          <w:rFonts w:ascii="Arial" w:cs="Arial" w:eastAsia="Arial" w:hAnsi="Arial"/>
          <w:sz w:val="16"/>
          <w:szCs w:val="16"/>
          <w:color w:val="auto"/>
        </w:rPr>
        <w:t xml:space="preserve"> </w:t>
      </w:r>
      <w:r>
        <w:rPr>
          <w:rFonts w:ascii="MS PGothic" w:cs="MS PGothic" w:eastAsia="MS PGothic" w:hAnsi="MS PGothic"/>
          <w:sz w:val="14"/>
          <w:szCs w:val="14"/>
          <w:color w:val="auto"/>
        </w:rPr>
        <w:t>☐</w:t>
      </w:r>
    </w:p>
    <w:p>
      <w:pPr>
        <w:spacing w:after="0" w:line="143" w:lineRule="exact"/>
        <w:rPr>
          <w:sz w:val="24"/>
          <w:szCs w:val="24"/>
          <w:color w:val="auto"/>
        </w:rPr>
      </w:pPr>
    </w:p>
    <w:p>
      <w:pPr>
        <w:ind w:right="120"/>
        <w:spacing w:after="0" w:line="22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0"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issuer’s Common Stock, $0.001 par value, outstanding as of October 20, 2023, was approximately 58,300,000.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640080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5"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MOLINA HEALTHCARE, INC. FORM 10-Q</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FOR THE QUARTERLY PERIOD ENDED SEPTEMBER 30, 2023</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TABLE OF CONTENTS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60" w:type="dxa"/>
            <w:vAlign w:val="bottom"/>
            <w:gridSpan w:val="11"/>
          </w:tcPr>
          <w:p>
            <w:pPr>
              <w:ind w:left="20"/>
              <w:spacing w:after="0"/>
              <w:rPr>
                <w:sz w:val="20"/>
                <w:szCs w:val="20"/>
                <w:color w:val="auto"/>
              </w:rPr>
            </w:pPr>
            <w:r>
              <w:rPr>
                <w:rFonts w:ascii="Arial" w:cs="Arial" w:eastAsia="Arial" w:hAnsi="Arial"/>
                <w:sz w:val="16"/>
                <w:szCs w:val="16"/>
                <w:b w:val="1"/>
                <w:bCs w:val="1"/>
                <w:color w:val="auto"/>
              </w:rPr>
              <w:t>ITEM NUMBER</w:t>
            </w:r>
          </w:p>
        </w:tc>
        <w:tc>
          <w:tcPr>
            <w:tcW w:w="3840" w:type="dxa"/>
            <w:vAlign w:val="bottom"/>
          </w:tcPr>
          <w:p>
            <w:pPr>
              <w:spacing w:after="0"/>
              <w:rPr>
                <w:sz w:val="16"/>
                <w:szCs w:val="16"/>
                <w:color w:val="auto"/>
              </w:rPr>
            </w:pPr>
          </w:p>
        </w:tc>
        <w:tc>
          <w:tcPr>
            <w:tcW w:w="440" w:type="dxa"/>
            <w:vAlign w:val="bottom"/>
            <w:gridSpan w:val="4"/>
          </w:tcPr>
          <w:p>
            <w:pPr>
              <w:jc w:val="right"/>
              <w:ind w:right="40"/>
              <w:spacing w:after="0"/>
              <w:rPr>
                <w:sz w:val="20"/>
                <w:szCs w:val="20"/>
                <w:color w:val="auto"/>
              </w:rPr>
            </w:pPr>
            <w:r>
              <w:rPr>
                <w:rFonts w:ascii="Arial" w:cs="Arial" w:eastAsia="Arial" w:hAnsi="Arial"/>
                <w:sz w:val="16"/>
                <w:szCs w:val="16"/>
                <w:b w:val="1"/>
                <w:bCs w:val="1"/>
                <w:color w:val="0F7C7F"/>
                <w:w w:val="99"/>
              </w:rPr>
              <w:t>Page</w:t>
            </w:r>
          </w:p>
        </w:tc>
      </w:tr>
      <w:tr>
        <w:trPr>
          <w:trHeight w:val="297"/>
        </w:trPr>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8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9"/>
              </w:rPr>
              <w:t>PART I</w:t>
            </w:r>
          </w:p>
        </w:tc>
        <w:tc>
          <w:tcPr>
            <w:tcW w:w="3840" w:type="dxa"/>
            <w:vAlign w:val="bottom"/>
          </w:tcPr>
          <w:p>
            <w:pPr>
              <w:spacing w:after="0"/>
              <w:rPr>
                <w:sz w:val="24"/>
                <w:szCs w:val="24"/>
                <w:color w:val="auto"/>
              </w:rPr>
            </w:pPr>
          </w:p>
        </w:tc>
        <w:tc>
          <w:tcPr>
            <w:tcW w:w="220" w:type="dxa"/>
            <w:vAlign w:val="bottom"/>
            <w:tcBorders>
              <w:top w:val="single" w:sz="8" w:color="0F7C7F"/>
            </w:tcBorders>
          </w:tcPr>
          <w:p>
            <w:pPr>
              <w:spacing w:after="0"/>
              <w:rPr>
                <w:sz w:val="24"/>
                <w:szCs w:val="24"/>
                <w:color w:val="auto"/>
              </w:rPr>
            </w:pPr>
          </w:p>
        </w:tc>
        <w:tc>
          <w:tcPr>
            <w:tcW w:w="80" w:type="dxa"/>
            <w:vAlign w:val="bottom"/>
            <w:tcBorders>
              <w:top w:val="single" w:sz="8" w:color="0F7C7F"/>
            </w:tcBorders>
          </w:tcPr>
          <w:p>
            <w:pPr>
              <w:spacing w:after="0"/>
              <w:rPr>
                <w:sz w:val="24"/>
                <w:szCs w:val="24"/>
                <w:color w:val="auto"/>
              </w:rPr>
            </w:pPr>
          </w:p>
        </w:tc>
        <w:tc>
          <w:tcPr>
            <w:tcW w:w="100" w:type="dxa"/>
            <w:vAlign w:val="bottom"/>
            <w:tcBorders>
              <w:top w:val="single" w:sz="8" w:color="0F7C7F"/>
            </w:tcBorders>
          </w:tcPr>
          <w:p>
            <w:pPr>
              <w:spacing w:after="0"/>
              <w:rPr>
                <w:sz w:val="24"/>
                <w:szCs w:val="24"/>
                <w:color w:val="auto"/>
              </w:rPr>
            </w:pPr>
          </w:p>
        </w:tc>
        <w:tc>
          <w:tcPr>
            <w:tcW w:w="40" w:type="dxa"/>
            <w:vAlign w:val="bottom"/>
          </w:tcPr>
          <w:p>
            <w:pPr>
              <w:spacing w:after="0"/>
              <w:rPr>
                <w:sz w:val="24"/>
                <w:szCs w:val="24"/>
                <w:color w:val="auto"/>
              </w:rPr>
            </w:pPr>
          </w:p>
        </w:tc>
      </w:tr>
      <w:tr>
        <w:trPr>
          <w:trHeight w:val="223"/>
        </w:trPr>
        <w:tc>
          <w:tcPr>
            <w:tcW w:w="600" w:type="dxa"/>
            <w:vAlign w:val="bottom"/>
          </w:tcPr>
          <w:p>
            <w:pPr>
              <w:ind w:left="20"/>
              <w:spacing w:after="0"/>
              <w:rPr>
                <w:sz w:val="20"/>
                <w:szCs w:val="20"/>
                <w:color w:val="auto"/>
              </w:rPr>
            </w:pPr>
            <w:r>
              <w:rPr>
                <w:rFonts w:ascii="Arial" w:cs="Arial" w:eastAsia="Arial" w:hAnsi="Arial"/>
                <w:sz w:val="16"/>
                <w:szCs w:val="16"/>
                <w:color w:val="auto"/>
              </w:rPr>
              <w:t>1.</w:t>
            </w:r>
          </w:p>
        </w:tc>
        <w:tc>
          <w:tcPr>
            <w:tcW w:w="6360" w:type="dxa"/>
            <w:vAlign w:val="bottom"/>
            <w:gridSpan w:val="10"/>
          </w:tcPr>
          <w:p>
            <w:pPr>
              <w:spacing w:after="0"/>
              <w:rPr>
                <w:sz w:val="20"/>
                <w:szCs w:val="20"/>
                <w:color w:val="auto"/>
              </w:rPr>
            </w:pPr>
            <w:r>
              <w:rPr>
                <w:rFonts w:ascii="Arial" w:cs="Arial" w:eastAsia="Arial" w:hAnsi="Arial"/>
                <w:sz w:val="16"/>
                <w:szCs w:val="16"/>
                <w:color w:val="0F7C7F"/>
              </w:rPr>
              <w:t>Financial Statements</w:t>
            </w: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3</w:t>
            </w:r>
          </w:p>
        </w:tc>
        <w:tc>
          <w:tcPr>
            <w:tcW w:w="40" w:type="dxa"/>
            <w:vAlign w:val="bottom"/>
          </w:tcPr>
          <w:p>
            <w:pPr>
              <w:spacing w:after="0"/>
              <w:rPr>
                <w:sz w:val="19"/>
                <w:szCs w:val="19"/>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360" w:type="dxa"/>
            <w:vAlign w:val="bottom"/>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60" w:type="dxa"/>
            <w:vAlign w:val="bottom"/>
            <w:shd w:val="clear" w:color="auto" w:fill="0F7C7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ind w:left="20"/>
              <w:spacing w:after="0"/>
              <w:rPr>
                <w:sz w:val="20"/>
                <w:szCs w:val="20"/>
                <w:color w:val="auto"/>
              </w:rPr>
            </w:pPr>
            <w:r>
              <w:rPr>
                <w:rFonts w:ascii="Arial" w:cs="Arial" w:eastAsia="Arial" w:hAnsi="Arial"/>
                <w:sz w:val="16"/>
                <w:szCs w:val="16"/>
                <w:color w:val="auto"/>
              </w:rPr>
              <w:t>2.</w:t>
            </w:r>
          </w:p>
        </w:tc>
        <w:tc>
          <w:tcPr>
            <w:tcW w:w="6360" w:type="dxa"/>
            <w:vAlign w:val="bottom"/>
            <w:gridSpan w:val="10"/>
          </w:tcPr>
          <w:p>
            <w:pPr>
              <w:spacing w:after="0"/>
              <w:rPr>
                <w:sz w:val="20"/>
                <w:szCs w:val="20"/>
                <w:color w:val="auto"/>
              </w:rPr>
            </w:pPr>
            <w:r>
              <w:rPr>
                <w:rFonts w:ascii="Arial" w:cs="Arial" w:eastAsia="Arial" w:hAnsi="Arial"/>
                <w:sz w:val="16"/>
                <w:szCs w:val="16"/>
                <w:color w:val="0F7C7F"/>
              </w:rPr>
              <w:t>Management’s Discussion and Analysis of Financial Condition and Results of Operations</w:t>
            </w: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21</w:t>
            </w:r>
          </w:p>
        </w:tc>
        <w:tc>
          <w:tcPr>
            <w:tcW w:w="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360" w:type="dxa"/>
            <w:vAlign w:val="bottom"/>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440" w:type="dxa"/>
            <w:vAlign w:val="bottom"/>
            <w:gridSpan w:val="2"/>
            <w:shd w:val="clear" w:color="auto" w:fill="0F7C7F"/>
          </w:tcPr>
          <w:p>
            <w:pPr>
              <w:spacing w:after="0" w:line="20" w:lineRule="exact"/>
              <w:rPr>
                <w:sz w:val="1"/>
                <w:szCs w:val="1"/>
                <w:color w:val="auto"/>
              </w:rPr>
            </w:pPr>
          </w:p>
        </w:tc>
        <w:tc>
          <w:tcPr>
            <w:tcW w:w="246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2000" w:type="dxa"/>
            <w:vAlign w:val="bottom"/>
            <w:shd w:val="clear" w:color="auto" w:fill="0F7C7F"/>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ind w:left="20"/>
              <w:spacing w:after="0"/>
              <w:rPr>
                <w:sz w:val="20"/>
                <w:szCs w:val="20"/>
                <w:color w:val="auto"/>
              </w:rPr>
            </w:pPr>
            <w:r>
              <w:rPr>
                <w:rFonts w:ascii="Arial" w:cs="Arial" w:eastAsia="Arial" w:hAnsi="Arial"/>
                <w:sz w:val="16"/>
                <w:szCs w:val="16"/>
                <w:color w:val="auto"/>
              </w:rPr>
              <w:t>3.</w:t>
            </w:r>
          </w:p>
        </w:tc>
        <w:tc>
          <w:tcPr>
            <w:tcW w:w="4240" w:type="dxa"/>
            <w:vAlign w:val="bottom"/>
            <w:gridSpan w:val="8"/>
          </w:tcPr>
          <w:p>
            <w:pPr>
              <w:spacing w:after="0"/>
              <w:rPr>
                <w:sz w:val="20"/>
                <w:szCs w:val="20"/>
                <w:color w:val="auto"/>
              </w:rPr>
            </w:pPr>
            <w:r>
              <w:rPr>
                <w:rFonts w:ascii="Arial" w:cs="Arial" w:eastAsia="Arial" w:hAnsi="Arial"/>
                <w:sz w:val="16"/>
                <w:szCs w:val="16"/>
                <w:color w:val="0F7C7F"/>
              </w:rPr>
              <w:t>Quantitative and Qualitative Disclosures About Market Risk</w:t>
            </w:r>
          </w:p>
        </w:tc>
        <w:tc>
          <w:tcPr>
            <w:tcW w:w="2120" w:type="dxa"/>
            <w:vAlign w:val="bottom"/>
            <w:gridSpan w:val="2"/>
          </w:tcPr>
          <w:p>
            <w:pPr>
              <w:spacing w:after="0"/>
              <w:rPr>
                <w:sz w:val="21"/>
                <w:szCs w:val="21"/>
                <w:color w:val="auto"/>
              </w:rPr>
            </w:pP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35</w:t>
            </w:r>
          </w:p>
        </w:tc>
        <w:tc>
          <w:tcPr>
            <w:tcW w:w="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360" w:type="dxa"/>
            <w:vAlign w:val="bottom"/>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440" w:type="dxa"/>
            <w:vAlign w:val="bottom"/>
            <w:gridSpan w:val="2"/>
            <w:shd w:val="clear" w:color="auto" w:fill="0F7C7F"/>
          </w:tcPr>
          <w:p>
            <w:pPr>
              <w:spacing w:after="0" w:line="20" w:lineRule="exact"/>
              <w:rPr>
                <w:sz w:val="1"/>
                <w:szCs w:val="1"/>
                <w:color w:val="auto"/>
              </w:rPr>
            </w:pPr>
          </w:p>
        </w:tc>
        <w:tc>
          <w:tcPr>
            <w:tcW w:w="2460" w:type="dxa"/>
            <w:vAlign w:val="bottom"/>
            <w:shd w:val="clear" w:color="auto" w:fill="0F7C7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ind w:left="20"/>
              <w:spacing w:after="0"/>
              <w:rPr>
                <w:sz w:val="20"/>
                <w:szCs w:val="20"/>
                <w:color w:val="auto"/>
              </w:rPr>
            </w:pPr>
            <w:r>
              <w:rPr>
                <w:rFonts w:ascii="Arial" w:cs="Arial" w:eastAsia="Arial" w:hAnsi="Arial"/>
                <w:sz w:val="16"/>
                <w:szCs w:val="16"/>
                <w:color w:val="auto"/>
              </w:rPr>
              <w:t>4.</w:t>
            </w:r>
          </w:p>
        </w:tc>
        <w:tc>
          <w:tcPr>
            <w:tcW w:w="4240" w:type="dxa"/>
            <w:vAlign w:val="bottom"/>
            <w:gridSpan w:val="8"/>
          </w:tcPr>
          <w:p>
            <w:pPr>
              <w:spacing w:after="0"/>
              <w:rPr>
                <w:sz w:val="20"/>
                <w:szCs w:val="20"/>
                <w:color w:val="auto"/>
              </w:rPr>
            </w:pPr>
            <w:r>
              <w:rPr>
                <w:rFonts w:ascii="Arial" w:cs="Arial" w:eastAsia="Arial" w:hAnsi="Arial"/>
                <w:sz w:val="16"/>
                <w:szCs w:val="16"/>
                <w:color w:val="0F7C7F"/>
              </w:rPr>
              <w:t>Controls and Procedures</w:t>
            </w:r>
          </w:p>
        </w:tc>
        <w:tc>
          <w:tcPr>
            <w:tcW w:w="2120" w:type="dxa"/>
            <w:vAlign w:val="bottom"/>
            <w:gridSpan w:val="2"/>
          </w:tcPr>
          <w:p>
            <w:pPr>
              <w:spacing w:after="0"/>
              <w:rPr>
                <w:sz w:val="21"/>
                <w:szCs w:val="21"/>
                <w:color w:val="auto"/>
              </w:rPr>
            </w:pP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35</w:t>
            </w:r>
          </w:p>
        </w:tc>
        <w:tc>
          <w:tcPr>
            <w:tcW w:w="40" w:type="dxa"/>
            <w:vAlign w:val="bottom"/>
          </w:tcPr>
          <w:p>
            <w:pPr>
              <w:spacing w:after="0"/>
              <w:rPr>
                <w:sz w:val="21"/>
                <w:szCs w:val="21"/>
                <w:color w:val="auto"/>
              </w:rPr>
            </w:pPr>
          </w:p>
        </w:tc>
      </w:tr>
      <w:tr>
        <w:trPr>
          <w:trHeight w:val="297"/>
        </w:trPr>
        <w:tc>
          <w:tcPr>
            <w:tcW w:w="600" w:type="dxa"/>
            <w:vAlign w:val="bottom"/>
          </w:tcPr>
          <w:p>
            <w:pPr>
              <w:spacing w:after="0"/>
              <w:rPr>
                <w:sz w:val="24"/>
                <w:szCs w:val="24"/>
                <w:color w:val="auto"/>
              </w:rPr>
            </w:pPr>
          </w:p>
        </w:tc>
        <w:tc>
          <w:tcPr>
            <w:tcW w:w="560" w:type="dxa"/>
            <w:vAlign w:val="bottom"/>
            <w:tcBorders>
              <w:top w:val="single" w:sz="8" w:color="0F7C7F"/>
            </w:tcBorders>
          </w:tcPr>
          <w:p>
            <w:pPr>
              <w:spacing w:after="0"/>
              <w:rPr>
                <w:sz w:val="24"/>
                <w:szCs w:val="24"/>
                <w:color w:val="auto"/>
              </w:rPr>
            </w:pPr>
          </w:p>
        </w:tc>
        <w:tc>
          <w:tcPr>
            <w:tcW w:w="200" w:type="dxa"/>
            <w:vAlign w:val="bottom"/>
            <w:tcBorders>
              <w:top w:val="single" w:sz="8" w:color="0F7C7F"/>
            </w:tcBorders>
          </w:tcPr>
          <w:p>
            <w:pPr>
              <w:spacing w:after="0"/>
              <w:rPr>
                <w:sz w:val="24"/>
                <w:szCs w:val="24"/>
                <w:color w:val="auto"/>
              </w:rPr>
            </w:pPr>
          </w:p>
        </w:tc>
        <w:tc>
          <w:tcPr>
            <w:tcW w:w="140" w:type="dxa"/>
            <w:vAlign w:val="bottom"/>
            <w:tcBorders>
              <w:top w:val="single" w:sz="8" w:color="0F7C7F"/>
            </w:tcBorders>
          </w:tcPr>
          <w:p>
            <w:pPr>
              <w:spacing w:after="0"/>
              <w:rPr>
                <w:sz w:val="24"/>
                <w:szCs w:val="24"/>
                <w:color w:val="auto"/>
              </w:rPr>
            </w:pPr>
          </w:p>
        </w:tc>
        <w:tc>
          <w:tcPr>
            <w:tcW w:w="360" w:type="dxa"/>
            <w:vAlign w:val="bottom"/>
            <w:tcBorders>
              <w:top w:val="single" w:sz="8" w:color="0F7C7F"/>
            </w:tcBorders>
          </w:tcPr>
          <w:p>
            <w:pPr>
              <w:spacing w:after="0"/>
              <w:rPr>
                <w:sz w:val="24"/>
                <w:szCs w:val="24"/>
                <w:color w:val="auto"/>
              </w:rPr>
            </w:pPr>
          </w:p>
        </w:tc>
        <w:tc>
          <w:tcPr>
            <w:tcW w:w="80" w:type="dxa"/>
            <w:vAlign w:val="bottom"/>
            <w:tcBorders>
              <w:top w:val="single" w:sz="8" w:color="0F7C7F"/>
            </w:tcBorders>
          </w:tcPr>
          <w:p>
            <w:pPr>
              <w:spacing w:after="0"/>
              <w:rPr>
                <w:sz w:val="24"/>
                <w:szCs w:val="24"/>
                <w:color w:val="auto"/>
              </w:rPr>
            </w:pPr>
          </w:p>
        </w:tc>
        <w:tc>
          <w:tcPr>
            <w:tcW w:w="160" w:type="dxa"/>
            <w:vAlign w:val="bottom"/>
            <w:tcBorders>
              <w:top w:val="single" w:sz="8" w:color="0F7C7F"/>
            </w:tcBorders>
          </w:tcPr>
          <w:p>
            <w:pPr>
              <w:spacing w:after="0"/>
              <w:rPr>
                <w:sz w:val="24"/>
                <w:szCs w:val="24"/>
                <w:color w:val="auto"/>
              </w:rPr>
            </w:pPr>
          </w:p>
        </w:tc>
        <w:tc>
          <w:tcPr>
            <w:tcW w:w="280" w:type="dxa"/>
            <w:vAlign w:val="bottom"/>
            <w:tcBorders>
              <w:top w:val="single" w:sz="8" w:color="0F7C7F"/>
            </w:tcBorders>
          </w:tcPr>
          <w:p>
            <w:pPr>
              <w:spacing w:after="0"/>
              <w:rPr>
                <w:sz w:val="24"/>
                <w:szCs w:val="24"/>
                <w:color w:val="auto"/>
              </w:rPr>
            </w:pPr>
          </w:p>
        </w:tc>
        <w:tc>
          <w:tcPr>
            <w:tcW w:w="458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8"/>
              </w:rPr>
              <w:t>PART II</w:t>
            </w:r>
          </w:p>
        </w:tc>
        <w:tc>
          <w:tcPr>
            <w:tcW w:w="3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0F7C7F"/>
            </w:tcBorders>
          </w:tcPr>
          <w:p>
            <w:pPr>
              <w:spacing w:after="0"/>
              <w:rPr>
                <w:sz w:val="24"/>
                <w:szCs w:val="24"/>
                <w:color w:val="auto"/>
              </w:rPr>
            </w:pPr>
          </w:p>
        </w:tc>
        <w:tc>
          <w:tcPr>
            <w:tcW w:w="100" w:type="dxa"/>
            <w:vAlign w:val="bottom"/>
            <w:tcBorders>
              <w:top w:val="single" w:sz="8" w:color="0F7C7F"/>
            </w:tcBorders>
          </w:tcPr>
          <w:p>
            <w:pPr>
              <w:spacing w:after="0"/>
              <w:rPr>
                <w:sz w:val="24"/>
                <w:szCs w:val="24"/>
                <w:color w:val="auto"/>
              </w:rPr>
            </w:pPr>
          </w:p>
        </w:tc>
        <w:tc>
          <w:tcPr>
            <w:tcW w:w="40" w:type="dxa"/>
            <w:vAlign w:val="bottom"/>
          </w:tcPr>
          <w:p>
            <w:pPr>
              <w:spacing w:after="0"/>
              <w:rPr>
                <w:sz w:val="24"/>
                <w:szCs w:val="24"/>
                <w:color w:val="auto"/>
              </w:rPr>
            </w:pPr>
          </w:p>
        </w:tc>
      </w:tr>
      <w:tr>
        <w:trPr>
          <w:trHeight w:val="223"/>
        </w:trPr>
        <w:tc>
          <w:tcPr>
            <w:tcW w:w="600" w:type="dxa"/>
            <w:vAlign w:val="bottom"/>
          </w:tcPr>
          <w:p>
            <w:pPr>
              <w:ind w:left="20"/>
              <w:spacing w:after="0"/>
              <w:rPr>
                <w:sz w:val="20"/>
                <w:szCs w:val="20"/>
                <w:color w:val="auto"/>
              </w:rPr>
            </w:pPr>
            <w:r>
              <w:rPr>
                <w:rFonts w:ascii="Arial" w:cs="Arial" w:eastAsia="Arial" w:hAnsi="Arial"/>
                <w:sz w:val="16"/>
                <w:szCs w:val="16"/>
                <w:color w:val="auto"/>
              </w:rPr>
              <w:t>1.</w:t>
            </w:r>
          </w:p>
        </w:tc>
        <w:tc>
          <w:tcPr>
            <w:tcW w:w="1340" w:type="dxa"/>
            <w:vAlign w:val="bottom"/>
            <w:gridSpan w:val="5"/>
          </w:tcPr>
          <w:p>
            <w:pPr>
              <w:spacing w:after="0"/>
              <w:rPr>
                <w:sz w:val="20"/>
                <w:szCs w:val="20"/>
                <w:color w:val="auto"/>
              </w:rPr>
            </w:pPr>
            <w:r>
              <w:rPr>
                <w:rFonts w:ascii="Arial" w:cs="Arial" w:eastAsia="Arial" w:hAnsi="Arial"/>
                <w:sz w:val="16"/>
                <w:szCs w:val="16"/>
                <w:color w:val="0F7C7F"/>
                <w:w w:val="99"/>
              </w:rPr>
              <w:t>Legal Proceedings</w:t>
            </w:r>
          </w:p>
        </w:tc>
        <w:tc>
          <w:tcPr>
            <w:tcW w:w="5020" w:type="dxa"/>
            <w:vAlign w:val="bottom"/>
            <w:gridSpan w:val="5"/>
          </w:tcPr>
          <w:p>
            <w:pPr>
              <w:spacing w:after="0"/>
              <w:rPr>
                <w:sz w:val="19"/>
                <w:szCs w:val="19"/>
                <w:color w:val="auto"/>
              </w:rPr>
            </w:pP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35</w:t>
            </w:r>
          </w:p>
        </w:tc>
        <w:tc>
          <w:tcPr>
            <w:tcW w:w="40" w:type="dxa"/>
            <w:vAlign w:val="bottom"/>
          </w:tcPr>
          <w:p>
            <w:pPr>
              <w:spacing w:after="0"/>
              <w:rPr>
                <w:sz w:val="19"/>
                <w:szCs w:val="19"/>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360" w:type="dxa"/>
            <w:vAlign w:val="bottom"/>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ind w:left="20"/>
              <w:spacing w:after="0"/>
              <w:rPr>
                <w:sz w:val="20"/>
                <w:szCs w:val="20"/>
                <w:color w:val="auto"/>
              </w:rPr>
            </w:pPr>
            <w:r>
              <w:rPr>
                <w:rFonts w:ascii="Arial" w:cs="Arial" w:eastAsia="Arial" w:hAnsi="Arial"/>
                <w:sz w:val="16"/>
                <w:szCs w:val="16"/>
                <w:color w:val="auto"/>
              </w:rPr>
              <w:t>1A.</w:t>
            </w:r>
          </w:p>
        </w:tc>
        <w:tc>
          <w:tcPr>
            <w:tcW w:w="900" w:type="dxa"/>
            <w:vAlign w:val="bottom"/>
            <w:gridSpan w:val="3"/>
          </w:tcPr>
          <w:p>
            <w:pPr>
              <w:spacing w:after="0"/>
              <w:rPr>
                <w:sz w:val="20"/>
                <w:szCs w:val="20"/>
                <w:color w:val="auto"/>
              </w:rPr>
            </w:pPr>
            <w:r>
              <w:rPr>
                <w:rFonts w:ascii="Arial" w:cs="Arial" w:eastAsia="Arial" w:hAnsi="Arial"/>
                <w:sz w:val="16"/>
                <w:szCs w:val="16"/>
                <w:color w:val="0F7C7F"/>
                <w:w w:val="98"/>
              </w:rPr>
              <w:t>Risk Factors</w:t>
            </w:r>
          </w:p>
        </w:tc>
        <w:tc>
          <w:tcPr>
            <w:tcW w:w="440" w:type="dxa"/>
            <w:vAlign w:val="bottom"/>
            <w:gridSpan w:val="2"/>
          </w:tcPr>
          <w:p>
            <w:pPr>
              <w:spacing w:after="0"/>
              <w:rPr>
                <w:sz w:val="21"/>
                <w:szCs w:val="21"/>
                <w:color w:val="auto"/>
              </w:rPr>
            </w:pPr>
          </w:p>
        </w:tc>
        <w:tc>
          <w:tcPr>
            <w:tcW w:w="5020" w:type="dxa"/>
            <w:vAlign w:val="bottom"/>
            <w:gridSpan w:val="5"/>
          </w:tcPr>
          <w:p>
            <w:pPr>
              <w:spacing w:after="0"/>
              <w:rPr>
                <w:sz w:val="21"/>
                <w:szCs w:val="21"/>
                <w:color w:val="auto"/>
              </w:rPr>
            </w:pP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35</w:t>
            </w:r>
          </w:p>
        </w:tc>
        <w:tc>
          <w:tcPr>
            <w:tcW w:w="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ind w:left="20"/>
              <w:spacing w:after="0"/>
              <w:rPr>
                <w:sz w:val="20"/>
                <w:szCs w:val="20"/>
                <w:color w:val="auto"/>
              </w:rPr>
            </w:pPr>
            <w:r>
              <w:rPr>
                <w:rFonts w:ascii="Arial" w:cs="Arial" w:eastAsia="Arial" w:hAnsi="Arial"/>
                <w:sz w:val="16"/>
                <w:szCs w:val="16"/>
                <w:color w:val="auto"/>
              </w:rPr>
              <w:t>2.</w:t>
            </w:r>
          </w:p>
        </w:tc>
        <w:tc>
          <w:tcPr>
            <w:tcW w:w="4360" w:type="dxa"/>
            <w:vAlign w:val="bottom"/>
            <w:gridSpan w:val="9"/>
          </w:tcPr>
          <w:p>
            <w:pPr>
              <w:spacing w:after="0"/>
              <w:rPr>
                <w:sz w:val="20"/>
                <w:szCs w:val="20"/>
                <w:color w:val="auto"/>
              </w:rPr>
            </w:pPr>
            <w:r>
              <w:rPr>
                <w:rFonts w:ascii="Arial" w:cs="Arial" w:eastAsia="Arial" w:hAnsi="Arial"/>
                <w:sz w:val="16"/>
                <w:szCs w:val="16"/>
                <w:color w:val="0F7C7F"/>
              </w:rPr>
              <w:t>Unregistered Sales of Equity Securities and Use of Proceeds</w:t>
            </w:r>
          </w:p>
        </w:tc>
        <w:tc>
          <w:tcPr>
            <w:tcW w:w="2000" w:type="dxa"/>
            <w:vAlign w:val="bottom"/>
          </w:tcPr>
          <w:p>
            <w:pPr>
              <w:spacing w:after="0"/>
              <w:rPr>
                <w:sz w:val="21"/>
                <w:szCs w:val="21"/>
                <w:color w:val="auto"/>
              </w:rPr>
            </w:pP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36</w:t>
            </w:r>
          </w:p>
        </w:tc>
        <w:tc>
          <w:tcPr>
            <w:tcW w:w="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360" w:type="dxa"/>
            <w:vAlign w:val="bottom"/>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60" w:type="dxa"/>
            <w:vAlign w:val="bottom"/>
            <w:shd w:val="clear" w:color="auto" w:fill="0F7C7F"/>
          </w:tcPr>
          <w:p>
            <w:pPr>
              <w:spacing w:after="0" w:line="20" w:lineRule="exact"/>
              <w:rPr>
                <w:sz w:val="1"/>
                <w:szCs w:val="1"/>
                <w:color w:val="auto"/>
              </w:rPr>
            </w:pPr>
          </w:p>
        </w:tc>
        <w:tc>
          <w:tcPr>
            <w:tcW w:w="280" w:type="dxa"/>
            <w:vAlign w:val="bottom"/>
            <w:shd w:val="clear" w:color="auto" w:fill="0F7C7F"/>
          </w:tcPr>
          <w:p>
            <w:pPr>
              <w:spacing w:after="0" w:line="20" w:lineRule="exact"/>
              <w:rPr>
                <w:sz w:val="1"/>
                <w:szCs w:val="1"/>
                <w:color w:val="auto"/>
              </w:rPr>
            </w:pPr>
          </w:p>
        </w:tc>
        <w:tc>
          <w:tcPr>
            <w:tcW w:w="246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5"/>
        </w:trPr>
        <w:tc>
          <w:tcPr>
            <w:tcW w:w="600" w:type="dxa"/>
            <w:vAlign w:val="bottom"/>
          </w:tcPr>
          <w:p>
            <w:pPr>
              <w:ind w:left="20"/>
              <w:spacing w:after="0"/>
              <w:rPr>
                <w:sz w:val="20"/>
                <w:szCs w:val="20"/>
                <w:color w:val="auto"/>
              </w:rPr>
            </w:pPr>
            <w:r>
              <w:rPr>
                <w:rFonts w:ascii="Arial" w:cs="Arial" w:eastAsia="Arial" w:hAnsi="Arial"/>
                <w:sz w:val="16"/>
                <w:szCs w:val="16"/>
                <w:color w:val="auto"/>
              </w:rPr>
              <w:t>3.</w:t>
            </w:r>
          </w:p>
        </w:tc>
        <w:tc>
          <w:tcPr>
            <w:tcW w:w="4360" w:type="dxa"/>
            <w:vAlign w:val="bottom"/>
            <w:gridSpan w:val="9"/>
          </w:tcPr>
          <w:p>
            <w:pPr>
              <w:spacing w:after="0"/>
              <w:rPr>
                <w:sz w:val="20"/>
                <w:szCs w:val="20"/>
                <w:color w:val="auto"/>
              </w:rPr>
            </w:pPr>
            <w:r>
              <w:rPr>
                <w:rFonts w:ascii="Arial" w:cs="Arial" w:eastAsia="Arial" w:hAnsi="Arial"/>
                <w:sz w:val="16"/>
                <w:szCs w:val="16"/>
                <w:color w:val="auto"/>
              </w:rPr>
              <w:t>Defaults Upon Senior Securities</w:t>
            </w:r>
          </w:p>
        </w:tc>
        <w:tc>
          <w:tcPr>
            <w:tcW w:w="2000" w:type="dxa"/>
            <w:vAlign w:val="bottom"/>
          </w:tcPr>
          <w:p>
            <w:pPr>
              <w:spacing w:after="0"/>
              <w:rPr>
                <w:sz w:val="24"/>
                <w:szCs w:val="24"/>
                <w:color w:val="auto"/>
              </w:rPr>
            </w:pPr>
          </w:p>
        </w:tc>
        <w:tc>
          <w:tcPr>
            <w:tcW w:w="4280" w:type="dxa"/>
            <w:vAlign w:val="bottom"/>
            <w:gridSpan w:val="5"/>
          </w:tcPr>
          <w:p>
            <w:pPr>
              <w:jc w:val="right"/>
              <w:ind w:right="40"/>
              <w:spacing w:after="0"/>
              <w:rPr>
                <w:sz w:val="20"/>
                <w:szCs w:val="20"/>
                <w:color w:val="auto"/>
              </w:rPr>
            </w:pPr>
            <w:r>
              <w:rPr>
                <w:rFonts w:ascii="Arial" w:cs="Arial" w:eastAsia="Arial" w:hAnsi="Arial"/>
                <w:sz w:val="16"/>
                <w:szCs w:val="16"/>
                <w:color w:val="auto"/>
              </w:rPr>
              <w:t>Not Applicable.</w:t>
            </w:r>
          </w:p>
        </w:tc>
      </w:tr>
      <w:tr>
        <w:trPr>
          <w:trHeight w:val="270"/>
        </w:trPr>
        <w:tc>
          <w:tcPr>
            <w:tcW w:w="600" w:type="dxa"/>
            <w:vAlign w:val="bottom"/>
          </w:tcPr>
          <w:p>
            <w:pPr>
              <w:ind w:left="20"/>
              <w:spacing w:after="0"/>
              <w:rPr>
                <w:sz w:val="20"/>
                <w:szCs w:val="20"/>
                <w:color w:val="auto"/>
              </w:rPr>
            </w:pPr>
            <w:r>
              <w:rPr>
                <w:rFonts w:ascii="Arial" w:cs="Arial" w:eastAsia="Arial" w:hAnsi="Arial"/>
                <w:sz w:val="16"/>
                <w:szCs w:val="16"/>
                <w:color w:val="auto"/>
              </w:rPr>
              <w:t>4.</w:t>
            </w:r>
          </w:p>
        </w:tc>
        <w:tc>
          <w:tcPr>
            <w:tcW w:w="6360" w:type="dxa"/>
            <w:vAlign w:val="bottom"/>
            <w:gridSpan w:val="10"/>
          </w:tcPr>
          <w:p>
            <w:pPr>
              <w:spacing w:after="0"/>
              <w:rPr>
                <w:sz w:val="20"/>
                <w:szCs w:val="20"/>
                <w:color w:val="auto"/>
              </w:rPr>
            </w:pPr>
            <w:r>
              <w:rPr>
                <w:rFonts w:ascii="Arial" w:cs="Arial" w:eastAsia="Arial" w:hAnsi="Arial"/>
                <w:sz w:val="16"/>
                <w:szCs w:val="16"/>
                <w:color w:val="auto"/>
              </w:rPr>
              <w:t>Mine Safety Disclosures</w:t>
            </w:r>
          </w:p>
        </w:tc>
        <w:tc>
          <w:tcPr>
            <w:tcW w:w="4280" w:type="dxa"/>
            <w:vAlign w:val="bottom"/>
            <w:gridSpan w:val="5"/>
          </w:tcPr>
          <w:p>
            <w:pPr>
              <w:jc w:val="right"/>
              <w:ind w:right="40"/>
              <w:spacing w:after="0"/>
              <w:rPr>
                <w:sz w:val="20"/>
                <w:szCs w:val="20"/>
                <w:color w:val="auto"/>
              </w:rPr>
            </w:pPr>
            <w:r>
              <w:rPr>
                <w:rFonts w:ascii="Arial" w:cs="Arial" w:eastAsia="Arial" w:hAnsi="Arial"/>
                <w:sz w:val="16"/>
                <w:szCs w:val="16"/>
                <w:color w:val="auto"/>
              </w:rPr>
              <w:t>Not Applicable.</w:t>
            </w:r>
          </w:p>
        </w:tc>
      </w:tr>
      <w:tr>
        <w:trPr>
          <w:trHeight w:val="235"/>
        </w:trPr>
        <w:tc>
          <w:tcPr>
            <w:tcW w:w="600" w:type="dxa"/>
            <w:vAlign w:val="bottom"/>
          </w:tcPr>
          <w:p>
            <w:pPr>
              <w:ind w:left="20"/>
              <w:spacing w:after="0"/>
              <w:rPr>
                <w:sz w:val="20"/>
                <w:szCs w:val="20"/>
                <w:color w:val="auto"/>
              </w:rPr>
            </w:pPr>
            <w:r>
              <w:rPr>
                <w:rFonts w:ascii="Arial" w:cs="Arial" w:eastAsia="Arial" w:hAnsi="Arial"/>
                <w:sz w:val="16"/>
                <w:szCs w:val="16"/>
                <w:color w:val="auto"/>
              </w:rPr>
              <w:t>5.</w:t>
            </w:r>
          </w:p>
        </w:tc>
        <w:tc>
          <w:tcPr>
            <w:tcW w:w="1260" w:type="dxa"/>
            <w:vAlign w:val="bottom"/>
            <w:gridSpan w:val="4"/>
          </w:tcPr>
          <w:p>
            <w:pPr>
              <w:spacing w:after="0"/>
              <w:rPr>
                <w:sz w:val="20"/>
                <w:szCs w:val="20"/>
                <w:color w:val="auto"/>
              </w:rPr>
            </w:pPr>
            <w:r>
              <w:rPr>
                <w:rFonts w:ascii="Arial" w:cs="Arial" w:eastAsia="Arial" w:hAnsi="Arial"/>
                <w:sz w:val="16"/>
                <w:szCs w:val="16"/>
                <w:color w:val="0F7C7F"/>
                <w:w w:val="99"/>
              </w:rPr>
              <w:t>Other Information</w:t>
            </w:r>
          </w:p>
        </w:tc>
        <w:tc>
          <w:tcPr>
            <w:tcW w:w="5100" w:type="dxa"/>
            <w:vAlign w:val="bottom"/>
            <w:gridSpan w:val="6"/>
          </w:tcPr>
          <w:p>
            <w:pPr>
              <w:spacing w:after="0"/>
              <w:rPr>
                <w:sz w:val="20"/>
                <w:szCs w:val="20"/>
                <w:color w:val="auto"/>
              </w:rPr>
            </w:pP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36</w:t>
            </w:r>
          </w:p>
        </w:tc>
        <w:tc>
          <w:tcPr>
            <w:tcW w:w="40" w:type="dxa"/>
            <w:vAlign w:val="bottom"/>
          </w:tcPr>
          <w:p>
            <w:pPr>
              <w:spacing w:after="0"/>
              <w:rPr>
                <w:sz w:val="20"/>
                <w:szCs w:val="20"/>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500" w:type="dxa"/>
            <w:vAlign w:val="bottom"/>
            <w:gridSpan w:val="2"/>
            <w:shd w:val="clear" w:color="auto" w:fill="0F7C7F"/>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ind w:left="20"/>
              <w:spacing w:after="0"/>
              <w:rPr>
                <w:sz w:val="20"/>
                <w:szCs w:val="20"/>
                <w:color w:val="auto"/>
              </w:rPr>
            </w:pPr>
            <w:r>
              <w:rPr>
                <w:rFonts w:ascii="Arial" w:cs="Arial" w:eastAsia="Arial" w:hAnsi="Arial"/>
                <w:sz w:val="16"/>
                <w:szCs w:val="16"/>
                <w:color w:val="auto"/>
              </w:rPr>
              <w:t>6.</w:t>
            </w:r>
          </w:p>
        </w:tc>
        <w:tc>
          <w:tcPr>
            <w:tcW w:w="560" w:type="dxa"/>
            <w:vAlign w:val="bottom"/>
          </w:tcPr>
          <w:p>
            <w:pPr>
              <w:spacing w:after="0"/>
              <w:rPr>
                <w:sz w:val="20"/>
                <w:szCs w:val="20"/>
                <w:color w:val="auto"/>
              </w:rPr>
            </w:pPr>
            <w:r>
              <w:rPr>
                <w:rFonts w:ascii="Arial" w:cs="Arial" w:eastAsia="Arial" w:hAnsi="Arial"/>
                <w:sz w:val="16"/>
                <w:szCs w:val="16"/>
                <w:color w:val="0F7C7F"/>
                <w:w w:val="96"/>
              </w:rPr>
              <w:t>Exhibits</w:t>
            </w:r>
          </w:p>
        </w:tc>
        <w:tc>
          <w:tcPr>
            <w:tcW w:w="700" w:type="dxa"/>
            <w:vAlign w:val="bottom"/>
            <w:gridSpan w:val="3"/>
          </w:tcPr>
          <w:p>
            <w:pPr>
              <w:spacing w:after="0"/>
              <w:rPr>
                <w:sz w:val="21"/>
                <w:szCs w:val="21"/>
                <w:color w:val="auto"/>
              </w:rPr>
            </w:pPr>
          </w:p>
        </w:tc>
        <w:tc>
          <w:tcPr>
            <w:tcW w:w="5100" w:type="dxa"/>
            <w:vAlign w:val="bottom"/>
            <w:gridSpan w:val="6"/>
          </w:tcPr>
          <w:p>
            <w:pPr>
              <w:spacing w:after="0"/>
              <w:rPr>
                <w:sz w:val="21"/>
                <w:szCs w:val="21"/>
                <w:color w:val="auto"/>
              </w:rPr>
            </w:pP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37</w:t>
            </w:r>
          </w:p>
        </w:tc>
        <w:tc>
          <w:tcPr>
            <w:tcW w:w="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0" w:type="dxa"/>
            <w:vAlign w:val="bottom"/>
            <w:gridSpan w:val="8"/>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spacing w:after="0"/>
              <w:rPr>
                <w:sz w:val="21"/>
                <w:szCs w:val="21"/>
                <w:color w:val="auto"/>
              </w:rPr>
            </w:pPr>
          </w:p>
        </w:tc>
        <w:tc>
          <w:tcPr>
            <w:tcW w:w="6360" w:type="dxa"/>
            <w:vAlign w:val="bottom"/>
            <w:gridSpan w:val="10"/>
          </w:tcPr>
          <w:p>
            <w:pPr>
              <w:spacing w:after="0"/>
              <w:rPr>
                <w:sz w:val="20"/>
                <w:szCs w:val="20"/>
                <w:color w:val="auto"/>
              </w:rPr>
            </w:pPr>
            <w:r>
              <w:rPr>
                <w:rFonts w:ascii="Arial" w:cs="Arial" w:eastAsia="Arial" w:hAnsi="Arial"/>
                <w:sz w:val="16"/>
                <w:szCs w:val="16"/>
                <w:color w:val="0F7C7F"/>
              </w:rPr>
              <w:t>Signatures</w:t>
            </w: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38</w:t>
            </w:r>
          </w:p>
        </w:tc>
        <w:tc>
          <w:tcPr>
            <w:tcW w:w="40" w:type="dxa"/>
            <w:vAlign w:val="bottom"/>
          </w:tcPr>
          <w:p>
            <w:pPr>
              <w:spacing w:after="0"/>
              <w:rPr>
                <w:sz w:val="21"/>
                <w:szCs w:val="21"/>
                <w:color w:val="auto"/>
              </w:rPr>
            </w:pPr>
          </w:p>
        </w:tc>
      </w:tr>
      <w:tr>
        <w:trPr>
          <w:trHeight w:val="1566"/>
        </w:trPr>
        <w:tc>
          <w:tcPr>
            <w:tcW w:w="600" w:type="dxa"/>
            <w:vAlign w:val="bottom"/>
            <w:tcBorders>
              <w:bottom w:val="single" w:sz="8" w:color="9A9A9A"/>
            </w:tcBorders>
          </w:tcPr>
          <w:p>
            <w:pPr>
              <w:spacing w:after="0"/>
              <w:rPr>
                <w:sz w:val="24"/>
                <w:szCs w:val="24"/>
                <w:color w:val="auto"/>
              </w:rPr>
            </w:pPr>
          </w:p>
        </w:tc>
        <w:tc>
          <w:tcPr>
            <w:tcW w:w="560" w:type="dxa"/>
            <w:vAlign w:val="bottom"/>
            <w:tcBorders>
              <w:top w:val="single" w:sz="8" w:color="0F7C7F"/>
              <w:bottom w:val="single" w:sz="8" w:color="9A9A9A"/>
            </w:tcBorders>
          </w:tcPr>
          <w:p>
            <w:pPr>
              <w:spacing w:after="0"/>
              <w:rPr>
                <w:sz w:val="24"/>
                <w:szCs w:val="24"/>
                <w:color w:val="auto"/>
              </w:rPr>
            </w:pPr>
          </w:p>
        </w:tc>
        <w:tc>
          <w:tcPr>
            <w:tcW w:w="200" w:type="dxa"/>
            <w:vAlign w:val="bottom"/>
            <w:tcBorders>
              <w:top w:val="single" w:sz="8" w:color="0F7C7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top w:val="single" w:sz="8" w:color="0F7C7F"/>
              <w:bottom w:val="single" w:sz="8" w:color="9A9A9A"/>
            </w:tcBorders>
          </w:tcPr>
          <w:p>
            <w:pPr>
              <w:spacing w:after="0"/>
              <w:rPr>
                <w:sz w:val="24"/>
                <w:szCs w:val="24"/>
                <w:color w:val="auto"/>
              </w:rPr>
            </w:pPr>
          </w:p>
        </w:tc>
        <w:tc>
          <w:tcPr>
            <w:tcW w:w="100" w:type="dxa"/>
            <w:vAlign w:val="bottom"/>
            <w:tcBorders>
              <w:top w:val="single" w:sz="8" w:color="0F7C7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STATEMENTS OF INCOME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800" w:type="dxa"/>
            <w:vAlign w:val="bottom"/>
          </w:tcPr>
          <w:p>
            <w:pPr>
              <w:spacing w:after="0"/>
              <w:rPr>
                <w:sz w:val="17"/>
                <w:szCs w:val="17"/>
                <w:color w:val="auto"/>
              </w:rPr>
            </w:pPr>
          </w:p>
        </w:tc>
        <w:tc>
          <w:tcPr>
            <w:tcW w:w="326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7"/>
                <w:szCs w:val="17"/>
                <w:color w:val="auto"/>
              </w:rPr>
            </w:pPr>
          </w:p>
        </w:tc>
        <w:tc>
          <w:tcPr>
            <w:tcW w:w="2800" w:type="dxa"/>
            <w:vAlign w:val="bottom"/>
            <w:gridSpan w:val="4"/>
          </w:tcPr>
          <w:p>
            <w:pPr>
              <w:jc w:val="right"/>
              <w:ind w:right="319"/>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80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2022</w:t>
            </w:r>
          </w:p>
        </w:tc>
      </w:tr>
      <w:tr>
        <w:trPr>
          <w:trHeight w:val="184"/>
        </w:trPr>
        <w:tc>
          <w:tcPr>
            <w:tcW w:w="4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380" w:type="dxa"/>
            <w:vAlign w:val="bottom"/>
            <w:gridSpan w:val="7"/>
          </w:tcPr>
          <w:p>
            <w:pPr>
              <w:ind w:left="100"/>
              <w:spacing w:after="0"/>
              <w:rPr>
                <w:sz w:val="20"/>
                <w:szCs w:val="20"/>
                <w:color w:val="auto"/>
              </w:rPr>
            </w:pPr>
            <w:r>
              <w:rPr>
                <w:rFonts w:ascii="Arial" w:cs="Arial" w:eastAsia="Arial" w:hAnsi="Arial"/>
                <w:sz w:val="14"/>
                <w:szCs w:val="14"/>
                <w:b w:val="1"/>
                <w:bCs w:val="1"/>
                <w:color w:val="auto"/>
              </w:rPr>
              <w:t>(Dollars in millions, except per-share amounts)</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9"/>
        </w:trPr>
        <w:tc>
          <w:tcPr>
            <w:tcW w:w="48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3"/>
        </w:trPr>
        <w:tc>
          <w:tcPr>
            <w:tcW w:w="4800" w:type="dxa"/>
            <w:vAlign w:val="bottom"/>
          </w:tcPr>
          <w:p>
            <w:pPr>
              <w:ind w:left="220"/>
              <w:spacing w:after="0"/>
              <w:rPr>
                <w:sz w:val="20"/>
                <w:szCs w:val="20"/>
                <w:color w:val="auto"/>
              </w:rPr>
            </w:pPr>
            <w:r>
              <w:rPr>
                <w:rFonts w:ascii="Arial" w:cs="Arial" w:eastAsia="Arial" w:hAnsi="Arial"/>
                <w:sz w:val="16"/>
                <w:szCs w:val="16"/>
                <w:color w:val="auto"/>
              </w:rPr>
              <w:t>Premium revenue</w:t>
            </w:r>
          </w:p>
        </w:tc>
        <w:tc>
          <w:tcPr>
            <w:tcW w:w="980" w:type="dxa"/>
            <w:vAlign w:val="bottom"/>
          </w:tcPr>
          <w:p>
            <w:pPr>
              <w:jc w:val="right"/>
              <w:ind w:right="802"/>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8,240</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7,636</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24,167</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22,966</w:t>
            </w:r>
          </w:p>
        </w:tc>
      </w:tr>
      <w:tr>
        <w:trPr>
          <w:trHeight w:val="219"/>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Premium tax revenue</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w:t>
            </w:r>
          </w:p>
        </w:tc>
      </w:tr>
      <w:tr>
        <w:trPr>
          <w:trHeight w:val="213"/>
        </w:trPr>
        <w:tc>
          <w:tcPr>
            <w:tcW w:w="4800" w:type="dxa"/>
            <w:vAlign w:val="bottom"/>
          </w:tcPr>
          <w:p>
            <w:pPr>
              <w:ind w:left="220"/>
              <w:spacing w:after="0"/>
              <w:rPr>
                <w:sz w:val="20"/>
                <w:szCs w:val="20"/>
                <w:color w:val="auto"/>
              </w:rPr>
            </w:pPr>
            <w:r>
              <w:rPr>
                <w:rFonts w:ascii="Arial" w:cs="Arial" w:eastAsia="Arial" w:hAnsi="Arial"/>
                <w:sz w:val="16"/>
                <w:szCs w:val="16"/>
                <w:color w:val="auto"/>
              </w:rPr>
              <w:t>Investment income</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19"/>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revenue</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07"/>
        </w:trPr>
        <w:tc>
          <w:tcPr>
            <w:tcW w:w="480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revenue</w:t>
            </w:r>
          </w:p>
        </w:tc>
        <w:tc>
          <w:tcPr>
            <w:tcW w:w="9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8,548</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7,927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23,751</w:t>
            </w:r>
          </w:p>
        </w:tc>
      </w:tr>
      <w:tr>
        <w:trPr>
          <w:trHeight w:val="19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3"/>
        </w:trPr>
        <w:tc>
          <w:tcPr>
            <w:tcW w:w="4800" w:type="dxa"/>
            <w:vAlign w:val="bottom"/>
          </w:tcPr>
          <w:p>
            <w:pPr>
              <w:ind w:left="220"/>
              <w:spacing w:after="0"/>
              <w:rPr>
                <w:sz w:val="20"/>
                <w:szCs w:val="20"/>
                <w:color w:val="auto"/>
              </w:rPr>
            </w:pPr>
            <w:r>
              <w:rPr>
                <w:rFonts w:ascii="Arial" w:cs="Arial" w:eastAsia="Arial" w:hAnsi="Arial"/>
                <w:sz w:val="16"/>
                <w:szCs w:val="16"/>
                <w:color w:val="auto"/>
              </w:rPr>
              <w:t>Medical care costs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7,306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6,748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21,215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20,183</w:t>
            </w:r>
          </w:p>
        </w:tc>
      </w:tr>
      <w:tr>
        <w:trPr>
          <w:trHeight w:val="219"/>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 expenses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1,682</w:t>
            </w:r>
          </w:p>
        </w:tc>
      </w:tr>
      <w:tr>
        <w:trPr>
          <w:trHeight w:val="213"/>
        </w:trPr>
        <w:tc>
          <w:tcPr>
            <w:tcW w:w="4800" w:type="dxa"/>
            <w:vAlign w:val="bottom"/>
          </w:tcPr>
          <w:p>
            <w:pPr>
              <w:ind w:left="220"/>
              <w:spacing w:after="0"/>
              <w:rPr>
                <w:sz w:val="20"/>
                <w:szCs w:val="20"/>
                <w:color w:val="auto"/>
              </w:rPr>
            </w:pPr>
            <w:r>
              <w:rPr>
                <w:rFonts w:ascii="Arial" w:cs="Arial" w:eastAsia="Arial" w:hAnsi="Arial"/>
                <w:sz w:val="16"/>
                <w:szCs w:val="16"/>
                <w:color w:val="auto"/>
              </w:rPr>
              <w:t>Premium tax expenses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646</w:t>
            </w:r>
          </w:p>
        </w:tc>
      </w:tr>
      <w:tr>
        <w:trPr>
          <w:trHeight w:val="219"/>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r>
      <w:tr>
        <w:trPr>
          <w:trHeight w:val="213"/>
        </w:trPr>
        <w:tc>
          <w:tcPr>
            <w:tcW w:w="48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r>
      <w:tr>
        <w:trPr>
          <w:trHeight w:val="212"/>
        </w:trPr>
        <w:tc>
          <w:tcPr>
            <w:tcW w:w="48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operating expenses</w:t>
            </w: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8,189</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7,592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23,767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22,683</w:t>
            </w:r>
          </w:p>
        </w:tc>
      </w:tr>
      <w:tr>
        <w:trPr>
          <w:trHeight w:val="207"/>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income</w:t>
            </w:r>
          </w:p>
        </w:tc>
        <w:tc>
          <w:tcPr>
            <w:tcW w:w="9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1,068</w:t>
            </w:r>
          </w:p>
        </w:tc>
      </w:tr>
      <w:tr>
        <w:trPr>
          <w:trHeight w:val="19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 net:</w:t>
            </w: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3"/>
        </w:trPr>
        <w:tc>
          <w:tcPr>
            <w:tcW w:w="48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Interest expense</w:t>
            </w: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r>
      <w:tr>
        <w:trPr>
          <w:trHeight w:val="213"/>
        </w:trPr>
        <w:tc>
          <w:tcPr>
            <w:tcW w:w="48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other expenses, net</w:t>
            </w: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r>
      <w:tr>
        <w:trPr>
          <w:trHeight w:val="207"/>
        </w:trPr>
        <w:tc>
          <w:tcPr>
            <w:tcW w:w="4800" w:type="dxa"/>
            <w:vAlign w:val="bottom"/>
          </w:tcPr>
          <w:p>
            <w:pPr>
              <w:ind w:left="20"/>
              <w:spacing w:after="0"/>
              <w:rPr>
                <w:sz w:val="20"/>
                <w:szCs w:val="20"/>
                <w:color w:val="auto"/>
              </w:rPr>
            </w:pPr>
            <w:r>
              <w:rPr>
                <w:rFonts w:ascii="Arial" w:cs="Arial" w:eastAsia="Arial" w:hAnsi="Arial"/>
                <w:sz w:val="16"/>
                <w:szCs w:val="16"/>
                <w:color w:val="auto"/>
              </w:rPr>
              <w:t>Income before income tax expense</w:t>
            </w:r>
          </w:p>
        </w:tc>
        <w:tc>
          <w:tcPr>
            <w:tcW w:w="9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1,175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985</w:t>
            </w: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w:t>
            </w: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80" w:type="dxa"/>
            <w:vAlign w:val="bottom"/>
          </w:tcPr>
          <w:p>
            <w:pPr>
              <w:jc w:val="right"/>
              <w:ind w:right="802"/>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245</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875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736</w:t>
            </w: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48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Net income per share - Basic</w:t>
            </w:r>
          </w:p>
        </w:tc>
        <w:tc>
          <w:tcPr>
            <w:tcW w:w="980" w:type="dxa"/>
            <w:vAlign w:val="bottom"/>
          </w:tcPr>
          <w:p>
            <w:pPr>
              <w:jc w:val="right"/>
              <w:ind w:right="802"/>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4.24</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15.18</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12.74</w:t>
            </w: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per share - Diluted</w:t>
            </w:r>
          </w:p>
        </w:tc>
        <w:tc>
          <w:tcPr>
            <w:tcW w:w="980" w:type="dxa"/>
            <w:vAlign w:val="bottom"/>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12.58</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STATEMENTS OF COMPREHENSIVE INCOME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820" w:type="dxa"/>
            <w:vAlign w:val="bottom"/>
          </w:tcPr>
          <w:p>
            <w:pPr>
              <w:spacing w:after="0"/>
              <w:rPr>
                <w:sz w:val="17"/>
                <w:szCs w:val="17"/>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321"/>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820" w:type="dxa"/>
            <w:vAlign w:val="bottom"/>
          </w:tcPr>
          <w:p>
            <w:pPr>
              <w:spacing w:after="0"/>
              <w:rPr>
                <w:sz w:val="17"/>
                <w:szCs w:val="17"/>
                <w:color w:val="auto"/>
              </w:rPr>
            </w:pPr>
          </w:p>
        </w:tc>
        <w:tc>
          <w:tcPr>
            <w:tcW w:w="106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2022</w:t>
            </w:r>
          </w:p>
        </w:tc>
      </w:tr>
      <w:tr>
        <w:trPr>
          <w:trHeight w:val="184"/>
        </w:trPr>
        <w:tc>
          <w:tcPr>
            <w:tcW w:w="48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9"/>
        </w:trPr>
        <w:tc>
          <w:tcPr>
            <w:tcW w:w="4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(Unaudited)</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60" w:type="dxa"/>
            <w:vAlign w:val="bottom"/>
            <w:shd w:val="clear" w:color="auto" w:fill="CCEEFF"/>
          </w:tcPr>
          <w:p>
            <w:pPr>
              <w:jc w:val="right"/>
              <w:ind w:right="864"/>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82"/>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230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875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736</w:t>
            </w:r>
          </w:p>
        </w:tc>
      </w:tr>
      <w:tr>
        <w:trPr>
          <w:trHeight w:val="213"/>
        </w:trPr>
        <w:tc>
          <w:tcPr>
            <w:tcW w:w="482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4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Unrealized investment loss</w:t>
            </w: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(75)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r>
      <w:tr>
        <w:trPr>
          <w:trHeight w:val="213"/>
        </w:trPr>
        <w:tc>
          <w:tcPr>
            <w:tcW w:w="4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effect of income taxes</w:t>
            </w:r>
          </w:p>
        </w:tc>
        <w:tc>
          <w:tcPr>
            <w:tcW w:w="10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(18)</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r>
      <w:tr>
        <w:trPr>
          <w:trHeight w:val="209"/>
        </w:trPr>
        <w:tc>
          <w:tcPr>
            <w:tcW w:w="4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comprehensive loss, net of tax</w:t>
            </w:r>
          </w:p>
        </w:tc>
        <w:tc>
          <w:tcPr>
            <w:tcW w:w="10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8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(57)</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w:t>
            </w:r>
          </w:p>
        </w:tc>
      </w:tr>
      <w:tr>
        <w:trPr>
          <w:trHeight w:val="213"/>
        </w:trPr>
        <w:tc>
          <w:tcPr>
            <w:tcW w:w="482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060" w:type="dxa"/>
            <w:vAlign w:val="bottom"/>
            <w:tcBorders>
              <w:bottom w:val="single" w:sz="8" w:color="auto"/>
            </w:tcBorders>
          </w:tcPr>
          <w:p>
            <w:pPr>
              <w:jc w:val="right"/>
              <w:ind w:right="864"/>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w:t>
            </w:r>
          </w:p>
        </w:tc>
        <w:tc>
          <w:tcPr>
            <w:tcW w:w="80" w:type="dxa"/>
            <w:vAlign w:val="bottom"/>
          </w:tcPr>
          <w:p>
            <w:pPr>
              <w:spacing w:after="0"/>
              <w:rPr>
                <w:sz w:val="18"/>
                <w:szCs w:val="18"/>
                <w:color w:val="auto"/>
              </w:rPr>
            </w:pPr>
          </w:p>
        </w:tc>
        <w:tc>
          <w:tcPr>
            <w:tcW w:w="1180" w:type="dxa"/>
            <w:vAlign w:val="bottom"/>
            <w:tcBorders>
              <w:bottom w:val="single" w:sz="8" w:color="auto"/>
            </w:tcBorders>
          </w:tcPr>
          <w:p>
            <w:pPr>
              <w:jc w:val="right"/>
              <w:ind w:right="982"/>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173</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870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556</w:t>
            </w:r>
          </w:p>
        </w:tc>
      </w:tr>
      <w:tr>
        <w:trPr>
          <w:trHeight w:val="20"/>
        </w:trPr>
        <w:tc>
          <w:tcPr>
            <w:tcW w:w="48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2023 Form 10-Q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BALANCE SHEETS</w:t>
      </w:r>
    </w:p>
    <w:p>
      <w:pPr>
        <w:spacing w:after="0" w:line="37" w:lineRule="exact"/>
        <w:rPr>
          <w:sz w:val="20"/>
          <w:szCs w:val="20"/>
          <w:color w:val="auto"/>
        </w:rPr>
      </w:pPr>
    </w:p>
    <w:tbl>
      <w:tblPr>
        <w:tblLayout w:type="fixed"/>
        <w:tblInd w:w="8220" w:type="dxa"/>
        <w:tblCellMar>
          <w:top w:w="0" w:type="dxa"/>
          <w:left w:w="0" w:type="dxa"/>
          <w:bottom w:w="0" w:type="dxa"/>
          <w:right w:w="0" w:type="dxa"/>
        </w:tblCellMar>
      </w:tblPr>
      <w:tr>
        <w:trPr>
          <w:trHeight w:val="161"/>
        </w:trPr>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September 30,</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14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2022</w:t>
            </w:r>
          </w:p>
        </w:tc>
      </w:tr>
    </w:tbl>
    <w:p>
      <w:pPr>
        <w:spacing w:after="0" w:line="28"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Current assets: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Cash and cash equivalents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Investments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Receivables</w:t>
      </w:r>
    </w:p>
    <w:p>
      <w:pPr>
        <w:spacing w:after="0" w:line="32" w:lineRule="exact"/>
        <w:rPr>
          <w:sz w:val="20"/>
          <w:szCs w:val="20"/>
          <w:color w:val="auto"/>
        </w:rPr>
      </w:pPr>
    </w:p>
    <w:p>
      <w:pPr>
        <w:ind w:left="220" w:right="380" w:hanging="80"/>
        <w:spacing w:after="0" w:line="290" w:lineRule="auto"/>
        <w:rPr>
          <w:sz w:val="20"/>
          <w:szCs w:val="20"/>
          <w:color w:val="auto"/>
        </w:rPr>
      </w:pPr>
      <w:r>
        <w:rPr>
          <w:rFonts w:ascii="Arial" w:cs="Arial" w:eastAsia="Arial" w:hAnsi="Arial"/>
          <w:sz w:val="16"/>
          <w:szCs w:val="16"/>
          <w:color w:val="auto"/>
        </w:rPr>
        <w:t>Prepaid expenses and other current assets Total current assets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Property, equipment, and capitalized software, net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Goodwill, and intangible assets, net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Restricted investments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Deferred income taxes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assets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38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3"/>
          </w:tcPr>
          <w:p>
            <w:pPr>
              <w:jc w:val="right"/>
              <w:ind w:right="179"/>
              <w:spacing w:after="0"/>
              <w:rPr>
                <w:sz w:val="20"/>
                <w:szCs w:val="20"/>
                <w:color w:val="auto"/>
              </w:rPr>
            </w:pPr>
            <w:r>
              <w:rPr>
                <w:rFonts w:ascii="Arial" w:cs="Arial" w:eastAsia="Arial" w:hAnsi="Arial"/>
                <w:sz w:val="14"/>
                <w:szCs w:val="14"/>
                <w:b w:val="1"/>
                <w:bCs w:val="1"/>
                <w:color w:val="auto"/>
              </w:rPr>
              <w:t>(Dollars in millions,</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3"/>
          </w:tcPr>
          <w:p>
            <w:pPr>
              <w:jc w:val="right"/>
              <w:spacing w:after="0"/>
              <w:rPr>
                <w:sz w:val="20"/>
                <w:szCs w:val="20"/>
                <w:color w:val="auto"/>
              </w:rPr>
            </w:pPr>
            <w:r>
              <w:rPr>
                <w:rFonts w:ascii="Arial" w:cs="Arial" w:eastAsia="Arial" w:hAnsi="Arial"/>
                <w:sz w:val="14"/>
                <w:szCs w:val="14"/>
                <w:b w:val="1"/>
                <w:bCs w:val="1"/>
                <w:color w:val="auto"/>
              </w:rPr>
              <w:t>except per-share amounts)</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160" w:type="dxa"/>
            <w:vAlign w:val="bottom"/>
            <w:gridSpan w:val="2"/>
            <w:vMerge w:val="restart"/>
          </w:tcPr>
          <w:p>
            <w:pPr>
              <w:jc w:val="right"/>
              <w:ind w:right="2500"/>
              <w:spacing w:after="0"/>
              <w:rPr>
                <w:sz w:val="20"/>
                <w:szCs w:val="20"/>
                <w:color w:val="auto"/>
              </w:rPr>
            </w:pPr>
            <w:r>
              <w:rPr>
                <w:rFonts w:ascii="Arial" w:cs="Arial" w:eastAsia="Arial" w:hAnsi="Arial"/>
                <w:sz w:val="16"/>
                <w:szCs w:val="16"/>
                <w:b w:val="1"/>
                <w:bCs w:val="1"/>
                <w:color w:val="auto"/>
                <w:w w:val="99"/>
              </w:rPr>
              <w:t>ASSETS</w:t>
            </w: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160" w:type="dxa"/>
            <w:vAlign w:val="bottom"/>
            <w:gridSpan w:val="2"/>
            <w:vMerge w:val="continue"/>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3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5,565</w:t>
            </w:r>
          </w:p>
        </w:tc>
        <w:tc>
          <w:tcPr>
            <w:tcW w:w="100" w:type="dxa"/>
            <w:vAlign w:val="bottom"/>
          </w:tcPr>
          <w:p>
            <w:pPr>
              <w:spacing w:after="0"/>
              <w:rPr>
                <w:sz w:val="24"/>
                <w:szCs w:val="24"/>
                <w:color w:val="auto"/>
              </w:rPr>
            </w:pPr>
          </w:p>
        </w:tc>
        <w:tc>
          <w:tcPr>
            <w:tcW w:w="88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4,006</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4,111</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3,499</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2,460</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2,302</w:t>
            </w:r>
          </w:p>
        </w:tc>
        <w:tc>
          <w:tcPr>
            <w:tcW w:w="0" w:type="dxa"/>
            <w:vAlign w:val="bottom"/>
          </w:tcPr>
          <w:p>
            <w:pPr>
              <w:spacing w:after="0"/>
              <w:rPr>
                <w:sz w:val="1"/>
                <w:szCs w:val="1"/>
                <w:color w:val="auto"/>
              </w:rPr>
            </w:pPr>
          </w:p>
        </w:tc>
      </w:tr>
      <w:tr>
        <w:trPr>
          <w:trHeight w:val="219"/>
        </w:trPr>
        <w:tc>
          <w:tcPr>
            <w:tcW w:w="2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06"/>
        </w:trPr>
        <w:tc>
          <w:tcPr>
            <w:tcW w:w="2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12,468</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10,084</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1,471</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1,390</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19"/>
        </w:trPr>
        <w:tc>
          <w:tcPr>
            <w:tcW w:w="2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09"/>
        </w:trPr>
        <w:tc>
          <w:tcPr>
            <w:tcW w:w="3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14,870</w:t>
            </w:r>
          </w:p>
        </w:tc>
        <w:tc>
          <w:tcPr>
            <w:tcW w:w="100" w:type="dxa"/>
            <w:vAlign w:val="bottom"/>
          </w:tcPr>
          <w:p>
            <w:pPr>
              <w:spacing w:after="0"/>
              <w:rPr>
                <w:sz w:val="18"/>
                <w:szCs w:val="18"/>
                <w:color w:val="auto"/>
              </w:rPr>
            </w:pPr>
          </w:p>
        </w:tc>
        <w:tc>
          <w:tcPr>
            <w:tcW w:w="88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8"/>
              </w:rPr>
              <w:t>12,314</w:t>
            </w:r>
          </w:p>
        </w:tc>
        <w:tc>
          <w:tcPr>
            <w:tcW w:w="0" w:type="dxa"/>
            <w:vAlign w:val="bottom"/>
          </w:tcPr>
          <w:p>
            <w:pPr>
              <w:spacing w:after="0"/>
              <w:rPr>
                <w:sz w:val="1"/>
                <w:szCs w:val="1"/>
                <w:color w:val="auto"/>
              </w:rPr>
            </w:pPr>
          </w:p>
        </w:tc>
      </w:tr>
      <w:tr>
        <w:trPr>
          <w:trHeight w:val="23"/>
        </w:trPr>
        <w:tc>
          <w:tcPr>
            <w:tcW w:w="294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-1833880</wp:posOffset>
            </wp:positionV>
            <wp:extent cx="711517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-1559560</wp:posOffset>
            </wp:positionV>
            <wp:extent cx="711517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-1285240</wp:posOffset>
            </wp:positionV>
            <wp:extent cx="711517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-1010920</wp:posOffset>
            </wp:positionV>
            <wp:extent cx="7115175"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-728345</wp:posOffset>
            </wp:positionV>
            <wp:extent cx="711517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-453390</wp:posOffset>
            </wp:positionV>
            <wp:extent cx="711517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-179070</wp:posOffset>
            </wp:positionV>
            <wp:extent cx="7115175"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-113030</wp:posOffset>
            </wp:positionV>
            <wp:extent cx="711517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43" w:lineRule="exact"/>
        <w:rPr>
          <w:sz w:val="20"/>
          <w:szCs w:val="20"/>
          <w:color w:val="auto"/>
        </w:rPr>
      </w:pPr>
    </w:p>
    <w:p>
      <w:pPr>
        <w:sectPr>
          <w:pgSz w:w="11900" w:h="16838" w:orient="portrait"/>
          <w:cols w:equalWidth="0" w:num="2">
            <w:col w:w="3620" w:space="280"/>
            <w:col w:w="7340"/>
          </w:cols>
          <w:pgMar w:left="320" w:top="126" w:right="33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82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Medical claims and benefits payable</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3,528</w:t>
            </w: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Amounts due government agencies</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2,476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2,079</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accrued liabilities and other</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Deferred revenue</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691</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w:t>
            </w:r>
          </w:p>
        </w:tc>
        <w:tc>
          <w:tcPr>
            <w:tcW w:w="0" w:type="dxa"/>
            <w:vAlign w:val="bottom"/>
          </w:tcPr>
          <w:p>
            <w:pPr>
              <w:spacing w:after="0"/>
              <w:rPr>
                <w:sz w:val="1"/>
                <w:szCs w:val="1"/>
                <w:color w:val="auto"/>
              </w:rPr>
            </w:pPr>
          </w:p>
        </w:tc>
      </w:tr>
      <w:tr>
        <w:trPr>
          <w:trHeight w:val="213"/>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6,855</w:t>
            </w: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2,179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2,176</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liabilities</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3"/>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10,991</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9,350</w:t>
            </w:r>
          </w:p>
        </w:tc>
        <w:tc>
          <w:tcPr>
            <w:tcW w:w="0" w:type="dxa"/>
            <w:vAlign w:val="bottom"/>
          </w:tcPr>
          <w:p>
            <w:pPr>
              <w:spacing w:after="0"/>
              <w:rPr>
                <w:sz w:val="1"/>
                <w:szCs w:val="1"/>
                <w:color w:val="auto"/>
              </w:rPr>
            </w:pPr>
          </w:p>
        </w:tc>
      </w:tr>
      <w:tr>
        <w:trPr>
          <w:trHeight w:val="193"/>
        </w:trPr>
        <w:tc>
          <w:tcPr>
            <w:tcW w:w="822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8220" w:type="dxa"/>
            <w:vAlign w:val="bottom"/>
            <w:shd w:val="clear" w:color="auto" w:fill="CCEEFF"/>
          </w:tcPr>
          <w:p>
            <w:pPr>
              <w:ind w:left="140"/>
              <w:spacing w:after="0" w:line="168" w:lineRule="exact"/>
              <w:rPr>
                <w:sz w:val="20"/>
                <w:szCs w:val="20"/>
                <w:color w:val="auto"/>
              </w:rPr>
            </w:pPr>
            <w:r>
              <w:rPr>
                <w:rFonts w:ascii="Arial" w:cs="Arial" w:eastAsia="Arial" w:hAnsi="Arial"/>
                <w:sz w:val="16"/>
                <w:szCs w:val="16"/>
                <w:color w:val="auto"/>
              </w:rPr>
              <w:t>Common stock, $0.001 par value, 150 million shares authorized; outstanding: 58 million shares at</w:t>
            </w:r>
          </w:p>
        </w:tc>
        <w:tc>
          <w:tcPr>
            <w:tcW w:w="4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2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September 30, 2023 and December 31, 2022</w:t>
            </w:r>
          </w:p>
        </w:tc>
        <w:tc>
          <w:tcPr>
            <w:tcW w:w="4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Preferred stock, $0.001 par value; 20 million shares authorized, no shares issued and outstanding</w:t>
            </w:r>
          </w:p>
        </w:tc>
        <w:tc>
          <w:tcPr>
            <w:tcW w:w="4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Accumulated other comprehensive loss</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2,796</w:t>
            </w:r>
          </w:p>
        </w:tc>
        <w:tc>
          <w:tcPr>
            <w:tcW w:w="0" w:type="dxa"/>
            <w:vAlign w:val="bottom"/>
          </w:tcPr>
          <w:p>
            <w:pPr>
              <w:spacing w:after="0"/>
              <w:rPr>
                <w:sz w:val="1"/>
                <w:szCs w:val="1"/>
                <w:color w:val="auto"/>
              </w:rPr>
            </w:pPr>
          </w:p>
        </w:tc>
      </w:tr>
      <w:tr>
        <w:trPr>
          <w:trHeight w:val="206"/>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stockholders’ equity</w:t>
            </w: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3,879</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2,964</w:t>
            </w:r>
          </w:p>
        </w:tc>
        <w:tc>
          <w:tcPr>
            <w:tcW w:w="0" w:type="dxa"/>
            <w:vAlign w:val="bottom"/>
          </w:tcPr>
          <w:p>
            <w:pPr>
              <w:spacing w:after="0"/>
              <w:rPr>
                <w:sz w:val="1"/>
                <w:szCs w:val="1"/>
                <w:color w:val="auto"/>
              </w:rPr>
            </w:pPr>
          </w:p>
        </w:tc>
      </w:tr>
      <w:tr>
        <w:trPr>
          <w:trHeight w:val="23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14,870</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12,314</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2023 Form 10-Q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STATEMENTS OF STOCKHOLDERS’ EQUITY</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0" w:type="dxa"/>
            <w:vAlign w:val="bottom"/>
          </w:tcPr>
          <w:p>
            <w:pPr>
              <w:spacing w:after="0"/>
              <w:rPr>
                <w:sz w:val="14"/>
                <w:szCs w:val="14"/>
                <w:color w:val="auto"/>
              </w:rPr>
            </w:pPr>
          </w:p>
        </w:tc>
        <w:tc>
          <w:tcPr>
            <w:tcW w:w="2260" w:type="dxa"/>
            <w:vAlign w:val="bottom"/>
            <w:gridSpan w:val="5"/>
          </w:tcPr>
          <w:p>
            <w:pPr>
              <w:ind w:left="56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900" w:type="dxa"/>
            <w:vAlign w:val="bottom"/>
          </w:tcPr>
          <w:p>
            <w:pPr>
              <w:jc w:val="center"/>
              <w:ind w:right="41"/>
              <w:spacing w:after="0"/>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80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vMerge w:val="restart"/>
          </w:tcPr>
          <w:p>
            <w:pPr>
              <w:jc w:val="center"/>
              <w:ind w:right="61"/>
              <w:spacing w:after="0" w:line="135" w:lineRule="exact"/>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4"/>
                <w:szCs w:val="4"/>
                <w:color w:val="auto"/>
              </w:rPr>
            </w:pPr>
          </w:p>
        </w:tc>
        <w:tc>
          <w:tcPr>
            <w:tcW w:w="1040" w:type="dxa"/>
            <w:vAlign w:val="bottom"/>
            <w:gridSpan w:val="2"/>
            <w:vMerge w:val="restart"/>
          </w:tcPr>
          <w:p>
            <w:pPr>
              <w:ind w:left="80"/>
              <w:spacing w:after="0" w:line="135" w:lineRule="exact"/>
              <w:rPr>
                <w:sz w:val="20"/>
                <w:szCs w:val="20"/>
                <w:color w:val="auto"/>
              </w:rPr>
            </w:pPr>
            <w:r>
              <w:rPr>
                <w:rFonts w:ascii="Arial" w:cs="Arial" w:eastAsia="Arial" w:hAnsi="Arial"/>
                <w:sz w:val="14"/>
                <w:szCs w:val="14"/>
                <w:b w:val="1"/>
                <w:bCs w:val="1"/>
                <w:color w:val="auto"/>
              </w:rPr>
              <w:t>Retained</w:t>
            </w: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3800" w:type="dxa"/>
            <w:vAlign w:val="bottom"/>
          </w:tcPr>
          <w:p>
            <w:pPr>
              <w:spacing w:after="0"/>
              <w:rPr>
                <w:sz w:val="5"/>
                <w:szCs w:val="5"/>
                <w:color w:val="auto"/>
              </w:rPr>
            </w:pPr>
          </w:p>
        </w:tc>
        <w:tc>
          <w:tcPr>
            <w:tcW w:w="118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Outstanding</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800" w:type="dxa"/>
            <w:vAlign w:val="bottom"/>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Capital</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(Loss) Income</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gridSpan w:val="5"/>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740" w:type="dxa"/>
            <w:vAlign w:val="bottom"/>
            <w:gridSpan w:val="5"/>
          </w:tcPr>
          <w:p>
            <w:pPr>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2022</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0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 net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Share-based compensation</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2"/>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March 31, 2023</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0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 net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3"/>
        </w:trPr>
        <w:tc>
          <w:tcPr>
            <w:tcW w:w="38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Share-based compensation</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June 30, 2023</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0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 net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3"/>
        </w:trPr>
        <w:tc>
          <w:tcPr>
            <w:tcW w:w="38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Share-based compensation</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September 30, 2023</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3,879</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3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800" w:type="dxa"/>
            <w:vAlign w:val="bottom"/>
          </w:tcPr>
          <w:p>
            <w:pPr>
              <w:spacing w:after="0"/>
              <w:rPr>
                <w:sz w:val="14"/>
                <w:szCs w:val="14"/>
                <w:color w:val="auto"/>
              </w:rPr>
            </w:pPr>
          </w:p>
        </w:tc>
        <w:tc>
          <w:tcPr>
            <w:tcW w:w="2260" w:type="dxa"/>
            <w:vAlign w:val="bottom"/>
            <w:gridSpan w:val="5"/>
          </w:tcPr>
          <w:p>
            <w:pPr>
              <w:ind w:left="56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900" w:type="dxa"/>
            <w:vAlign w:val="bottom"/>
          </w:tcPr>
          <w:p>
            <w:pPr>
              <w:jc w:val="center"/>
              <w:ind w:right="41"/>
              <w:spacing w:after="0"/>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80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vMerge w:val="restart"/>
          </w:tcPr>
          <w:p>
            <w:pPr>
              <w:jc w:val="center"/>
              <w:ind w:right="61"/>
              <w:spacing w:after="0" w:line="135" w:lineRule="exact"/>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4"/>
                <w:szCs w:val="4"/>
                <w:color w:val="auto"/>
              </w:rPr>
            </w:pPr>
          </w:p>
        </w:tc>
        <w:tc>
          <w:tcPr>
            <w:tcW w:w="1040" w:type="dxa"/>
            <w:vAlign w:val="bottom"/>
            <w:gridSpan w:val="2"/>
            <w:vMerge w:val="restart"/>
          </w:tcPr>
          <w:p>
            <w:pPr>
              <w:ind w:left="80"/>
              <w:spacing w:after="0" w:line="135" w:lineRule="exact"/>
              <w:rPr>
                <w:sz w:val="20"/>
                <w:szCs w:val="20"/>
                <w:color w:val="auto"/>
              </w:rPr>
            </w:pPr>
            <w:r>
              <w:rPr>
                <w:rFonts w:ascii="Arial" w:cs="Arial" w:eastAsia="Arial" w:hAnsi="Arial"/>
                <w:sz w:val="14"/>
                <w:szCs w:val="14"/>
                <w:b w:val="1"/>
                <w:bCs w:val="1"/>
                <w:color w:val="auto"/>
              </w:rPr>
              <w:t>Retained</w:t>
            </w: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3800" w:type="dxa"/>
            <w:vAlign w:val="bottom"/>
          </w:tcPr>
          <w:p>
            <w:pPr>
              <w:spacing w:after="0"/>
              <w:rPr>
                <w:sz w:val="5"/>
                <w:szCs w:val="5"/>
                <w:color w:val="auto"/>
              </w:rPr>
            </w:pPr>
          </w:p>
        </w:tc>
        <w:tc>
          <w:tcPr>
            <w:tcW w:w="118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Outstanding</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6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3800" w:type="dxa"/>
            <w:vAlign w:val="bottom"/>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Capital</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Loss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40" w:type="dxa"/>
            <w:vAlign w:val="bottom"/>
            <w:gridSpan w:val="6"/>
          </w:tcPr>
          <w:p>
            <w:pPr>
              <w:ind w:left="88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38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40" w:type="dxa"/>
            <w:vAlign w:val="bottom"/>
            <w:gridSpan w:val="6"/>
          </w:tcPr>
          <w:p>
            <w:pPr>
              <w:ind w:left="88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2021</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0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 net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Share-based compensation</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March 31, 2022</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0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 purchases</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00" w:type="dxa"/>
            <w:vAlign w:val="bottom"/>
          </w:tcPr>
          <w:p>
            <w:pPr>
              <w:ind w:left="140"/>
              <w:spacing w:after="0"/>
              <w:rPr>
                <w:sz w:val="20"/>
                <w:szCs w:val="20"/>
                <w:color w:val="auto"/>
              </w:rPr>
            </w:pPr>
            <w:r>
              <w:rPr>
                <w:rFonts w:ascii="Arial" w:cs="Arial" w:eastAsia="Arial" w:hAnsi="Arial"/>
                <w:sz w:val="16"/>
                <w:szCs w:val="16"/>
                <w:color w:val="auto"/>
              </w:rPr>
              <w:t>Other comprehensive loss, net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Share-based compensation</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800" w:type="dxa"/>
            <w:vAlign w:val="bottom"/>
          </w:tcPr>
          <w:p>
            <w:pPr>
              <w:ind w:left="20"/>
              <w:spacing w:after="0"/>
              <w:rPr>
                <w:sz w:val="20"/>
                <w:szCs w:val="20"/>
                <w:color w:val="auto"/>
              </w:rPr>
            </w:pPr>
            <w:r>
              <w:rPr>
                <w:rFonts w:ascii="Arial" w:cs="Arial" w:eastAsia="Arial" w:hAnsi="Arial"/>
                <w:sz w:val="16"/>
                <w:szCs w:val="16"/>
                <w:color w:val="auto"/>
              </w:rPr>
              <w:t>Balance at June 30, 2022</w:t>
            </w:r>
          </w:p>
        </w:tc>
        <w:tc>
          <w:tcPr>
            <w:tcW w:w="118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2,707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00" w:type="dxa"/>
            <w:vAlign w:val="bottom"/>
          </w:tcPr>
          <w:p>
            <w:pPr>
              <w:ind w:left="140"/>
              <w:spacing w:after="0"/>
              <w:rPr>
                <w:sz w:val="20"/>
                <w:szCs w:val="20"/>
                <w:color w:val="auto"/>
              </w:rPr>
            </w:pPr>
            <w:r>
              <w:rPr>
                <w:rFonts w:ascii="Arial" w:cs="Arial" w:eastAsia="Arial" w:hAnsi="Arial"/>
                <w:sz w:val="16"/>
                <w:szCs w:val="16"/>
                <w:color w:val="auto"/>
              </w:rPr>
              <w:t>Other comprehensive loss, net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Share-based compensation</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00" w:type="dxa"/>
            <w:vAlign w:val="bottom"/>
          </w:tcPr>
          <w:p>
            <w:pPr>
              <w:ind w:left="20"/>
              <w:spacing w:after="0"/>
              <w:rPr>
                <w:sz w:val="20"/>
                <w:szCs w:val="20"/>
                <w:color w:val="auto"/>
              </w:rPr>
            </w:pPr>
            <w:r>
              <w:rPr>
                <w:rFonts w:ascii="Arial" w:cs="Arial" w:eastAsia="Arial" w:hAnsi="Arial"/>
                <w:sz w:val="16"/>
                <w:szCs w:val="16"/>
                <w:color w:val="auto"/>
              </w:rPr>
              <w:t>Balance at September 30, 2022</w:t>
            </w:r>
          </w:p>
        </w:tc>
        <w:tc>
          <w:tcPr>
            <w:tcW w:w="118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289</w:t>
            </w:r>
          </w:p>
        </w:tc>
        <w:tc>
          <w:tcPr>
            <w:tcW w:w="28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2,937</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3,041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2023 Form 10-Q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STATEMENTS OF CASH FLOWS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020" w:type="dxa"/>
            <w:vAlign w:val="bottom"/>
          </w:tcPr>
          <w:p>
            <w:pPr>
              <w:spacing w:after="0"/>
              <w:rPr>
                <w:sz w:val="17"/>
                <w:szCs w:val="17"/>
                <w:color w:val="auto"/>
              </w:rPr>
            </w:pPr>
          </w:p>
        </w:tc>
        <w:tc>
          <w:tcPr>
            <w:tcW w:w="31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802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2022</w:t>
            </w:r>
          </w:p>
        </w:tc>
      </w:tr>
      <w:tr>
        <w:trPr>
          <w:trHeight w:val="184"/>
        </w:trPr>
        <w:tc>
          <w:tcPr>
            <w:tcW w:w="8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60" w:type="dxa"/>
            <w:vAlign w:val="bottom"/>
            <w:gridSpan w:val="3"/>
          </w:tcPr>
          <w:p>
            <w:pPr>
              <w:jc w:val="center"/>
              <w:ind w:left="20"/>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15"/>
                <w:szCs w:val="15"/>
                <w:color w:val="auto"/>
              </w:rPr>
            </w:pPr>
          </w:p>
        </w:tc>
      </w:tr>
      <w:tr>
        <w:trPr>
          <w:trHeight w:val="189"/>
        </w:trPr>
        <w:tc>
          <w:tcPr>
            <w:tcW w:w="8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rPr>
              <w:t>(Unaudited)</w:t>
            </w:r>
          </w:p>
        </w:tc>
        <w:tc>
          <w:tcPr>
            <w:tcW w:w="1060" w:type="dxa"/>
            <w:vAlign w:val="bottom"/>
          </w:tcPr>
          <w:p>
            <w:pPr>
              <w:spacing w:after="0"/>
              <w:rPr>
                <w:sz w:val="16"/>
                <w:szCs w:val="16"/>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60" w:type="dxa"/>
            <w:vAlign w:val="bottom"/>
          </w:tcPr>
          <w:p>
            <w:pPr>
              <w:jc w:val="right"/>
              <w:ind w:right="784"/>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875</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736</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129</w:t>
            </w: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Share-based compensation</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Changes in operating assets and liabilities:</w:t>
            </w: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Receivables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3"/>
        </w:trPr>
        <w:tc>
          <w:tcPr>
            <w:tcW w:w="802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219"/>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Medical claims and benefits payable</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r>
      <w:tr>
        <w:trPr>
          <w:trHeight w:val="213"/>
        </w:trPr>
        <w:tc>
          <w:tcPr>
            <w:tcW w:w="8020" w:type="dxa"/>
            <w:vAlign w:val="bottom"/>
          </w:tcPr>
          <w:p>
            <w:pPr>
              <w:ind w:left="220"/>
              <w:spacing w:after="0"/>
              <w:rPr>
                <w:sz w:val="20"/>
                <w:szCs w:val="20"/>
                <w:color w:val="auto"/>
              </w:rPr>
            </w:pPr>
            <w:r>
              <w:rPr>
                <w:rFonts w:ascii="Arial" w:cs="Arial" w:eastAsia="Arial" w:hAnsi="Arial"/>
                <w:sz w:val="16"/>
                <w:szCs w:val="16"/>
                <w:color w:val="auto"/>
              </w:rPr>
              <w:t>Amounts due government agencies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377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(360)</w:t>
            </w:r>
          </w:p>
        </w:tc>
      </w:tr>
      <w:tr>
        <w:trPr>
          <w:trHeight w:val="219"/>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 accrued liabilities and other</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13"/>
        </w:trPr>
        <w:tc>
          <w:tcPr>
            <w:tcW w:w="802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293</w:t>
            </w:r>
          </w:p>
        </w:tc>
      </w:tr>
      <w:tr>
        <w:trPr>
          <w:trHeight w:val="219"/>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taxes</w:t>
            </w: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07"/>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cash provided by operating activities</w:t>
            </w:r>
          </w:p>
        </w:tc>
        <w:tc>
          <w:tcPr>
            <w:tcW w:w="9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2,352</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985</w:t>
            </w:r>
          </w:p>
        </w:tc>
      </w:tr>
      <w:tr>
        <w:trPr>
          <w:trHeight w:val="19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Purchases of investments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(1,295)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(1,764)</w:t>
            </w: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sales and maturities of investments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w:t>
            </w: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Net cash paid in business combinations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(134)</w:t>
            </w: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property, equipment and capitalized software</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r>
      <w:tr>
        <w:trPr>
          <w:trHeight w:val="213"/>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net</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r>
      <w:tr>
        <w:trPr>
          <w:trHeight w:val="213"/>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cash used in investing activities</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(938)</w:t>
            </w:r>
          </w:p>
        </w:tc>
      </w:tr>
      <w:tr>
        <w:trPr>
          <w:trHeight w:val="193"/>
        </w:trPr>
        <w:tc>
          <w:tcPr>
            <w:tcW w:w="802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 withheld to settle employee tax obligations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Common stock purchases</w:t>
            </w:r>
          </w:p>
        </w:tc>
        <w:tc>
          <w:tcPr>
            <w:tcW w:w="9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Contingent consideration liabilities settled</w:t>
            </w:r>
          </w:p>
        </w:tc>
        <w:tc>
          <w:tcPr>
            <w:tcW w:w="9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3"/>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net</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12"/>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cash used in financing activities</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w:t>
            </w:r>
          </w:p>
        </w:tc>
      </w:tr>
      <w:tr>
        <w:trPr>
          <w:trHeight w:val="207"/>
        </w:trPr>
        <w:tc>
          <w:tcPr>
            <w:tcW w:w="8020" w:type="dxa"/>
            <w:vAlign w:val="bottom"/>
          </w:tcPr>
          <w:p>
            <w:pPr>
              <w:ind w:left="60"/>
              <w:spacing w:after="0"/>
              <w:rPr>
                <w:sz w:val="20"/>
                <w:szCs w:val="20"/>
                <w:color w:val="auto"/>
              </w:rPr>
            </w:pPr>
            <w:r>
              <w:rPr>
                <w:rFonts w:ascii="Arial" w:cs="Arial" w:eastAsia="Arial" w:hAnsi="Arial"/>
                <w:sz w:val="16"/>
                <w:szCs w:val="16"/>
                <w:color w:val="auto"/>
              </w:rPr>
              <w:t>Net increase (decrease) in cash, cash equivalents, and restricted cash and cash equivalents</w:t>
            </w:r>
          </w:p>
        </w:tc>
        <w:tc>
          <w:tcPr>
            <w:tcW w:w="9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1,572</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(211)</w:t>
            </w: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and cash equivalents at beginning of period</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4,048</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4,506</w:t>
            </w:r>
          </w:p>
        </w:tc>
      </w:tr>
      <w:tr>
        <w:trPr>
          <w:trHeight w:val="212"/>
        </w:trPr>
        <w:tc>
          <w:tcPr>
            <w:tcW w:w="802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and cash equivalents at end of period</w:t>
            </w:r>
          </w:p>
        </w:tc>
        <w:tc>
          <w:tcPr>
            <w:tcW w:w="960" w:type="dxa"/>
            <w:vAlign w:val="bottom"/>
            <w:tcBorders>
              <w:bottom w:val="single" w:sz="8" w:color="auto"/>
            </w:tcBorders>
          </w:tcPr>
          <w:p>
            <w:pPr>
              <w:jc w:val="right"/>
              <w:ind w:right="784"/>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5,620</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4,295</w:t>
            </w:r>
          </w:p>
        </w:tc>
      </w:tr>
      <w:tr>
        <w:trPr>
          <w:trHeight w:val="20"/>
        </w:trPr>
        <w:tc>
          <w:tcPr>
            <w:tcW w:w="8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2023 Form 10-Q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NOTES TO CONSOLIDATED FINANCIAL STATEMENTS (UNAUDITED)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SEPTEMBER 30, 2023</w:t>
      </w:r>
    </w:p>
    <w:p>
      <w:pPr>
        <w:spacing w:after="0" w:line="360" w:lineRule="exact"/>
        <w:rPr>
          <w:sz w:val="20"/>
          <w:szCs w:val="20"/>
          <w:color w:val="auto"/>
        </w:rPr>
      </w:pPr>
    </w:p>
    <w:p>
      <w:pPr>
        <w:ind w:right="7680" w:firstLine="8"/>
        <w:spacing w:after="0" w:line="403" w:lineRule="auto"/>
        <w:tabs>
          <w:tab w:leader="none" w:pos="200" w:val="left"/>
        </w:tabs>
        <w:numPr>
          <w:ilvl w:val="0"/>
          <w:numId w:val="3"/>
        </w:numPr>
        <w:rPr>
          <w:rFonts w:ascii="Arial" w:cs="Arial" w:eastAsia="Arial" w:hAnsi="Arial"/>
          <w:sz w:val="17"/>
          <w:szCs w:val="17"/>
          <w:b w:val="1"/>
          <w:bCs w:val="1"/>
          <w:color w:val="828282"/>
        </w:rPr>
      </w:pPr>
      <w:r>
        <w:rPr>
          <w:rFonts w:ascii="Arial" w:cs="Arial" w:eastAsia="Arial" w:hAnsi="Arial"/>
          <w:sz w:val="17"/>
          <w:szCs w:val="17"/>
          <w:b w:val="1"/>
          <w:bCs w:val="1"/>
          <w:color w:val="828282"/>
        </w:rPr>
        <w:t xml:space="preserve">Organization and Basis of Presentation </w:t>
      </w:r>
      <w:r>
        <w:rPr>
          <w:rFonts w:ascii="Arial" w:cs="Arial" w:eastAsia="Arial" w:hAnsi="Arial"/>
          <w:sz w:val="17"/>
          <w:szCs w:val="17"/>
          <w:b w:val="1"/>
          <w:bCs w:val="1"/>
          <w:i w:val="1"/>
          <w:iCs w:val="1"/>
          <w:color w:val="000000"/>
        </w:rPr>
        <w:t>Organization and Operations</w:t>
      </w:r>
    </w:p>
    <w:p>
      <w:pPr>
        <w:spacing w:after="0" w:line="2"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Molina Healthcare, Inc. provides managed healthcare services under the Medicaid and Medicare programs, and through the state insurance marketplaces (the “Marketplace”). We currently have four reportable segments consisting of: 1) Medicaid; 2) Medicare; 3) Marketplace; and 4) Other. Our reportable segments are consistent with how we currently manage the business and view the markets we serve.</w:t>
      </w:r>
    </w:p>
    <w:p>
      <w:pPr>
        <w:spacing w:after="0" w:line="76"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color w:val="auto"/>
        </w:rPr>
        <w:t>As of September 30, 2023, we served approximately 5.2 million members eligible for government-sponsored healthcare programs, located across 20 states.</w:t>
      </w:r>
    </w:p>
    <w:p>
      <w:pPr>
        <w:spacing w:after="0" w:line="66"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Our state Medicaid contracts typically have terms of three to five years, contain renewal options exercisable by the state Medicaid agency, and allow either the state or the health plan to terminate the contract with or without cause. Such contracts are subject to risk of loss in states that issue requests for proposal (“RFPs”) open to competitive bidding by other health plans. If one of our health plans is not a successful responsive bidder to a state RFP, its contract may not be renewed.</w:t>
      </w:r>
    </w:p>
    <w:p>
      <w:pPr>
        <w:spacing w:after="0" w:line="82"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In addition to contract renewal, our state Medicaid contracts may be periodically amended to include or exclude certain health benefits (such as pharmacy services, behavioral health services, or long-term care services); and populations such as the aged, blind or disabled (“ABD”); and regions or service areas.</w:t>
      </w:r>
    </w:p>
    <w:p>
      <w:pPr>
        <w:spacing w:after="0" w:line="7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Medicare, we enter into Medicare Advantage-Part D contracts with the Centers for Medicare and Medicaid Services (“CMS”) annually, and for dual-eligible plans, we enter into contracts with CMS, in partnership with each state’s department of health and human services. Such contracts typically have terms of one to three years.</w:t>
      </w:r>
    </w:p>
    <w:p>
      <w:pPr>
        <w:spacing w:after="0" w:line="76" w:lineRule="exact"/>
        <w:rPr>
          <w:sz w:val="20"/>
          <w:szCs w:val="20"/>
          <w:color w:val="auto"/>
        </w:rPr>
      </w:pPr>
    </w:p>
    <w:p>
      <w:pPr>
        <w:ind w:right="1420"/>
        <w:spacing w:after="0" w:line="372" w:lineRule="auto"/>
        <w:rPr>
          <w:sz w:val="20"/>
          <w:szCs w:val="20"/>
          <w:color w:val="auto"/>
        </w:rPr>
      </w:pPr>
      <w:r>
        <w:rPr>
          <w:rFonts w:ascii="Arial" w:cs="Arial" w:eastAsia="Arial" w:hAnsi="Arial"/>
          <w:sz w:val="18"/>
          <w:szCs w:val="18"/>
          <w:color w:val="auto"/>
        </w:rPr>
        <w:t xml:space="preserve">In Marketplace, we enter into contracts with CMS, which end on December 31 of each year, and must be renewed annually. </w:t>
      </w:r>
      <w:r>
        <w:rPr>
          <w:rFonts w:ascii="Arial" w:cs="Arial" w:eastAsia="Arial" w:hAnsi="Arial"/>
          <w:sz w:val="18"/>
          <w:szCs w:val="18"/>
          <w:b w:val="1"/>
          <w:bCs w:val="1"/>
          <w:i w:val="1"/>
          <w:iCs w:val="1"/>
          <w:color w:val="auto"/>
        </w:rPr>
        <w:t>Recent Developments</w:t>
      </w:r>
    </w:p>
    <w:p>
      <w:pPr>
        <w:ind w:right="100"/>
        <w:spacing w:after="0" w:line="282" w:lineRule="auto"/>
        <w:rPr>
          <w:sz w:val="20"/>
          <w:szCs w:val="20"/>
          <w:color w:val="auto"/>
        </w:rPr>
      </w:pPr>
      <w:r>
        <w:rPr>
          <w:rFonts w:ascii="Arial" w:cs="Arial" w:eastAsia="Arial" w:hAnsi="Arial"/>
          <w:sz w:val="18"/>
          <w:szCs w:val="18"/>
          <w:i w:val="1"/>
          <w:iCs w:val="1"/>
          <w:color w:val="auto"/>
        </w:rPr>
        <w:t xml:space="preserve">Wisconsin Acquisition—Medicaid and Medicare. </w:t>
      </w:r>
      <w:r>
        <w:rPr>
          <w:rFonts w:ascii="Arial" w:cs="Arial" w:eastAsia="Arial" w:hAnsi="Arial"/>
          <w:sz w:val="18"/>
          <w:szCs w:val="18"/>
          <w:color w:val="auto"/>
        </w:rPr>
        <w:t>On September 1, 2023, we closed on our acquisition of My Choice Wisconsin, which added</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40,000 mostly MLTSS members. See Note 4, “Business Combinations,” for further information.</w:t>
      </w:r>
    </w:p>
    <w:p>
      <w:pPr>
        <w:spacing w:after="0" w:line="54" w:lineRule="exact"/>
        <w:rPr>
          <w:sz w:val="20"/>
          <w:szCs w:val="20"/>
          <w:color w:val="auto"/>
        </w:rPr>
      </w:pPr>
    </w:p>
    <w:p>
      <w:pPr>
        <w:ind w:right="340"/>
        <w:spacing w:after="0" w:line="258" w:lineRule="auto"/>
        <w:rPr>
          <w:sz w:val="20"/>
          <w:szCs w:val="20"/>
          <w:color w:val="auto"/>
        </w:rPr>
      </w:pPr>
      <w:r>
        <w:rPr>
          <w:rFonts w:ascii="Arial" w:cs="Arial" w:eastAsia="Arial" w:hAnsi="Arial"/>
          <w:sz w:val="18"/>
          <w:szCs w:val="18"/>
          <w:i w:val="1"/>
          <w:iCs w:val="1"/>
          <w:color w:val="auto"/>
        </w:rPr>
        <w:t xml:space="preserve">New Mexico Procurement—Medicaid. </w:t>
      </w:r>
      <w:r>
        <w:rPr>
          <w:rFonts w:ascii="Arial" w:cs="Arial" w:eastAsia="Arial" w:hAnsi="Arial"/>
          <w:sz w:val="18"/>
          <w:szCs w:val="18"/>
          <w:color w:val="auto"/>
        </w:rPr>
        <w:t>In August 2023, we confirmed that the New Mexico Human Services Department (“HSD”) has</w:t>
      </w:r>
      <w:r>
        <w:rPr>
          <w:rFonts w:ascii="Arial" w:cs="Arial" w:eastAsia="Arial" w:hAnsi="Arial"/>
          <w:sz w:val="18"/>
          <w:szCs w:val="18"/>
          <w:i w:val="1"/>
          <w:iCs w:val="1"/>
          <w:color w:val="auto"/>
        </w:rPr>
        <w:t xml:space="preserve"> </w:t>
      </w:r>
      <w:r>
        <w:rPr>
          <w:rFonts w:ascii="Arial" w:cs="Arial" w:eastAsia="Arial" w:hAnsi="Arial"/>
          <w:sz w:val="18"/>
          <w:szCs w:val="18"/>
          <w:color w:val="auto"/>
        </w:rPr>
        <w:t>announced its intention to award a Medicaid managed care contract to Molina Healthcare of New Mexico. The announcement by HSD follows its rescission of the cancellation of the Turquoise Care Request for Proposals made on January 30, 2023. The go-live date for the new Medicaid contract is expected to be July 1, 2024. The new contract is expected to have a duration of three years, with potential extensions adding a further five years to the term.</w:t>
      </w:r>
    </w:p>
    <w:p>
      <w:pPr>
        <w:spacing w:after="0" w:line="75"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i w:val="1"/>
          <w:iCs w:val="1"/>
          <w:color w:val="auto"/>
        </w:rPr>
        <w:t xml:space="preserve">Texas Procurement—Medicaid. </w:t>
      </w:r>
      <w:r>
        <w:rPr>
          <w:rFonts w:ascii="Arial" w:cs="Arial" w:eastAsia="Arial" w:hAnsi="Arial"/>
          <w:sz w:val="18"/>
          <w:szCs w:val="18"/>
          <w:color w:val="auto"/>
        </w:rPr>
        <w:t>In July 2023, we finalized our contract for the Texas STAR+PLUS program, retaining our entire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footprint. The start of operations for the new contract is expected to begin in September 2024.</w:t>
      </w:r>
    </w:p>
    <w:p>
      <w:pPr>
        <w:spacing w:after="0" w:line="54" w:lineRule="exact"/>
        <w:rPr>
          <w:sz w:val="20"/>
          <w:szCs w:val="20"/>
          <w:color w:val="auto"/>
        </w:rPr>
      </w:pPr>
    </w:p>
    <w:p>
      <w:pPr>
        <w:jc w:val="both"/>
        <w:ind w:right="60"/>
        <w:spacing w:after="0" w:line="266" w:lineRule="auto"/>
        <w:rPr>
          <w:sz w:val="20"/>
          <w:szCs w:val="20"/>
          <w:color w:val="auto"/>
        </w:rPr>
      </w:pPr>
      <w:r>
        <w:rPr>
          <w:rFonts w:ascii="Arial" w:cs="Arial" w:eastAsia="Arial" w:hAnsi="Arial"/>
          <w:sz w:val="18"/>
          <w:szCs w:val="18"/>
          <w:i w:val="1"/>
          <w:iCs w:val="1"/>
          <w:color w:val="auto"/>
        </w:rPr>
        <w:t xml:space="preserve">Iowa Procurement—Medicaid. </w:t>
      </w:r>
      <w:r>
        <w:rPr>
          <w:rFonts w:ascii="Arial" w:cs="Arial" w:eastAsia="Arial" w:hAnsi="Arial"/>
          <w:sz w:val="18"/>
          <w:szCs w:val="18"/>
          <w:color w:val="auto"/>
        </w:rPr>
        <w:t>Our new contract with the Iowa Department of Health and Human Services commenced on July 1, 2023, and</w:t>
      </w:r>
      <w:r>
        <w:rPr>
          <w:rFonts w:ascii="Arial" w:cs="Arial" w:eastAsia="Arial" w:hAnsi="Arial"/>
          <w:sz w:val="18"/>
          <w:szCs w:val="18"/>
          <w:i w:val="1"/>
          <w:iCs w:val="1"/>
          <w:color w:val="auto"/>
        </w:rPr>
        <w:t xml:space="preserve"> </w:t>
      </w:r>
      <w:r>
        <w:rPr>
          <w:rFonts w:ascii="Arial" w:cs="Arial" w:eastAsia="Arial" w:hAnsi="Arial"/>
          <w:sz w:val="18"/>
          <w:szCs w:val="18"/>
          <w:color w:val="auto"/>
        </w:rPr>
        <w:t>offers health coverage to TANF, CHIP, ABD, LTSS and Medicaid Expansion beneficiaries serving approximately 180,000 new members. This new contract has a term of four years, with a potential for two, two-year extensions.</w:t>
      </w:r>
    </w:p>
    <w:p>
      <w:pPr>
        <w:spacing w:after="0" w:line="6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 xml:space="preserve">Mississippi Procurement—Medicaid. </w:t>
      </w:r>
      <w:r>
        <w:rPr>
          <w:rFonts w:ascii="Arial" w:cs="Arial" w:eastAsia="Arial" w:hAnsi="Arial"/>
          <w:sz w:val="18"/>
          <w:szCs w:val="18"/>
          <w:color w:val="auto"/>
        </w:rPr>
        <w:t>In August 2022, we announced that our Mississippi health plan had been notified by the Mississippi</w:t>
      </w:r>
      <w:r>
        <w:rPr>
          <w:rFonts w:ascii="Arial" w:cs="Arial" w:eastAsia="Arial" w:hAnsi="Arial"/>
          <w:sz w:val="18"/>
          <w:szCs w:val="18"/>
          <w:i w:val="1"/>
          <w:iCs w:val="1"/>
          <w:color w:val="auto"/>
        </w:rPr>
        <w:t xml:space="preserve"> </w:t>
      </w:r>
      <w:r>
        <w:rPr>
          <w:rFonts w:ascii="Arial" w:cs="Arial" w:eastAsia="Arial" w:hAnsi="Arial"/>
          <w:sz w:val="18"/>
          <w:szCs w:val="18"/>
          <w:color w:val="auto"/>
        </w:rPr>
        <w:t>Division of Medicaid (“DOM”) of its intent to award a Medicaid Coordinated Care Contract for its Mississippi Coordinated Access Program and Mississippi Children’s Health Insurance Program pursuant to the Request for Qualifications issued by DOM in December 2021. The four-year contract was expected to begin on July 1, 2023, but in the second quarter of 2023, DOM extended the existing contracts by an additional year. We now expect the four-year contract to commence July 1, 2024, and DOM has discretion to extend the new awards for an additional two years. The award enables us to continue serving Medicaid members across the state.</w:t>
      </w:r>
    </w:p>
    <w:p>
      <w:pPr>
        <w:spacing w:after="0" w:line="79"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i w:val="1"/>
          <w:iCs w:val="1"/>
          <w:color w:val="auto"/>
        </w:rPr>
        <w:t xml:space="preserve">California Acquisition—Medicare. </w:t>
      </w:r>
      <w:r>
        <w:rPr>
          <w:rFonts w:ascii="Arial" w:cs="Arial" w:eastAsia="Arial" w:hAnsi="Arial"/>
          <w:sz w:val="18"/>
          <w:szCs w:val="18"/>
          <w:color w:val="auto"/>
        </w:rPr>
        <w:t>On June 30, 2023, we announced a definitive agreement to acquire 100% of the issued and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stock of Brand New Day and Central Health Plan of California, each of which is a</w:t>
      </w: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2023 Form 10-Q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wholly owned subsidiary of Bright Health Company of California, Inc. The purchase price for the transaction is approximately $510 million, net of certain tax benefits, which we intend to fund with available funds including cash on hand. The transaction is subject to federal and state regulatory approvals, the solvency and continued operation as a going concern of Bright Health Group throughout the pre-closing period, and other closing conditions. The regulatory approval process is proceeding as planned. We continue to work with Bright management on satisfying the remaining closing conditions and continue to expect to close by the first quarter of 2024.</w:t>
      </w:r>
    </w:p>
    <w:p>
      <w:pPr>
        <w:spacing w:after="0" w:line="7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i w:val="1"/>
          <w:iCs w:val="1"/>
          <w:color w:val="auto"/>
        </w:rPr>
        <w:t xml:space="preserve">Indiana Procurement—Medicaid. </w:t>
      </w:r>
      <w:r>
        <w:rPr>
          <w:rFonts w:ascii="Arial" w:cs="Arial" w:eastAsia="Arial" w:hAnsi="Arial"/>
          <w:sz w:val="18"/>
          <w:szCs w:val="18"/>
          <w:color w:val="auto"/>
        </w:rPr>
        <w:t>In September 2023, the Indiana Family and Social Services Administration notified us that the state does</w:t>
      </w:r>
      <w:r>
        <w:rPr>
          <w:rFonts w:ascii="Arial" w:cs="Arial" w:eastAsia="Arial" w:hAnsi="Arial"/>
          <w:sz w:val="18"/>
          <w:szCs w:val="18"/>
          <w:i w:val="1"/>
          <w:iCs w:val="1"/>
          <w:color w:val="auto"/>
        </w:rPr>
        <w:t xml:space="preserve"> </w:t>
      </w:r>
      <w:r>
        <w:rPr>
          <w:rFonts w:ascii="Arial" w:cs="Arial" w:eastAsia="Arial" w:hAnsi="Arial"/>
          <w:sz w:val="18"/>
          <w:szCs w:val="18"/>
          <w:color w:val="auto"/>
        </w:rPr>
        <w:t>not intend to offer a long-term services and supports contract to Molina to serve in the state’s Pathways for Aging program effective July 1, 2024. The state deemed Molina not to have met the readiness review requirements. Molina was required to have a dual eligible special needs plan (“D-SNP”) product available in Indiana by January 1, 2024, but was unable to do so due to an administrative requirement of the Centers for Medicare &amp; Medicaid Services (“CMS”). Molina would have had a D-SNP in Indiana on January 1, 2025 through the normal course of action with CMS.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and Interim Financial Information</w:t>
      </w:r>
    </w:p>
    <w:p>
      <w:pPr>
        <w:spacing w:after="0" w:line="12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consolidated financial statements include the accounts of Molina Healthcare, Inc. and its subsidiaries. In the opinion of management, these financial statements reflect all normal recurring adjustments, which are considered necessary for a fair presentation of the results as of the dates and for the interim periods presented. All significant intercompany balances and transactions have been eliminated. The consolidated results of operations for the nine months ended September 30, 2023 are not necessarily indicative of the results for the entire year ending December 31, 2023.</w:t>
      </w:r>
    </w:p>
    <w:p>
      <w:pPr>
        <w:spacing w:after="0" w:line="84"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The unaudited consolidated interim financial statements have been prepared under the assumption that users of the interim financial data have either read or have access to our audited consolidated financial statements for the fiscal year ended December 31, 2022. Accordingly, certain disclosures that would substantially duplicate the disclosures contained in our December 31, 2022, audited consolidated financial statements have been omitted.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preparation of consolidated financial statements in conformity with U.S. generally accepted accounting principles (“GAAP”) requires management to make estimates and assumptions that affect the reported amounts of assets and liabilities. Estimates also affect the reported amounts of revenues and expenses during the reporting period. Actual results could differ from these estimates.</w:t>
      </w:r>
    </w:p>
    <w:p>
      <w:pPr>
        <w:spacing w:after="0" w:line="309" w:lineRule="exact"/>
        <w:rPr>
          <w:sz w:val="20"/>
          <w:szCs w:val="20"/>
          <w:color w:val="auto"/>
        </w:rPr>
      </w:pPr>
    </w:p>
    <w:p>
      <w:pPr>
        <w:ind w:right="8340" w:firstLine="8"/>
        <w:spacing w:after="0" w:line="381" w:lineRule="auto"/>
        <w:tabs>
          <w:tab w:leader="none" w:pos="200" w:val="left"/>
        </w:tabs>
        <w:numPr>
          <w:ilvl w:val="0"/>
          <w:numId w:val="4"/>
        </w:numPr>
        <w:rPr>
          <w:rFonts w:ascii="Arial" w:cs="Arial" w:eastAsia="Arial" w:hAnsi="Arial"/>
          <w:sz w:val="18"/>
          <w:szCs w:val="18"/>
          <w:b w:val="1"/>
          <w:bCs w:val="1"/>
          <w:color w:val="828282"/>
        </w:rPr>
      </w:pPr>
      <w:r>
        <w:rPr>
          <w:rFonts w:ascii="Arial" w:cs="Arial" w:eastAsia="Arial" w:hAnsi="Arial"/>
          <w:sz w:val="18"/>
          <w:szCs w:val="18"/>
          <w:b w:val="1"/>
          <w:bCs w:val="1"/>
          <w:color w:val="828282"/>
        </w:rPr>
        <w:t xml:space="preserve">Significant Accounting Policies </w:t>
      </w:r>
      <w:r>
        <w:rPr>
          <w:rFonts w:ascii="Arial" w:cs="Arial" w:eastAsia="Arial" w:hAnsi="Arial"/>
          <w:sz w:val="18"/>
          <w:szCs w:val="18"/>
          <w:b w:val="1"/>
          <w:bCs w:val="1"/>
          <w:i w:val="1"/>
          <w:iCs w:val="1"/>
          <w:color w:val="000000"/>
        </w:rPr>
        <w:t>Cash and Cash Equivalents</w:t>
      </w:r>
    </w:p>
    <w:p>
      <w:pPr>
        <w:spacing w:after="0" w:line="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Cash and cash equivalents consist of cash and short-term, highly liquid investments that are both readily convertible into known amounts of cash and have a maturity of three months or less on the date of purchase. The following table provides a reconciliation of cash and cash equivalents, and restricted cash and cash equivalents reported within the accompanying consolidated balance sheets that sum to the total of the same such amounts presented in the accompanying consolidated statements of cash flows. The restricted cash and cash equivalents presented below are included in “Restricted investments” in the accompanying consolidated balance sheets.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2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4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6"/>
        </w:trPr>
        <w:tc>
          <w:tcPr>
            <w:tcW w:w="8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4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920" w:type="dxa"/>
            <w:vAlign w:val="bottom"/>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5,565</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4,242</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 and cash equivalents</w:t>
            </w:r>
          </w:p>
        </w:tc>
        <w:tc>
          <w:tcPr>
            <w:tcW w:w="9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48"/>
        </w:trPr>
        <w:tc>
          <w:tcPr>
            <w:tcW w:w="8240" w:type="dxa"/>
            <w:vAlign w:val="bottom"/>
            <w:shd w:val="clear" w:color="auto" w:fill="CCEEFF"/>
          </w:tcPr>
          <w:p>
            <w:pPr>
              <w:ind w:left="360"/>
              <w:spacing w:after="0" w:line="148" w:lineRule="exact"/>
              <w:rPr>
                <w:sz w:val="20"/>
                <w:szCs w:val="20"/>
                <w:color w:val="auto"/>
              </w:rPr>
            </w:pPr>
            <w:r>
              <w:rPr>
                <w:rFonts w:ascii="Arial" w:cs="Arial" w:eastAsia="Arial" w:hAnsi="Arial"/>
                <w:sz w:val="16"/>
                <w:szCs w:val="16"/>
                <w:color w:val="auto"/>
              </w:rPr>
              <w:t>Total cash, cash equivalents, and restricted cash and cash equivalents presented in the consolidated</w:t>
            </w:r>
          </w:p>
        </w:tc>
        <w:tc>
          <w:tcPr>
            <w:tcW w:w="920" w:type="dxa"/>
            <w:vAlign w:val="bottom"/>
            <w:vMerge w:val="restart"/>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5,620</w:t>
            </w:r>
          </w:p>
        </w:tc>
        <w:tc>
          <w:tcPr>
            <w:tcW w:w="12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4,295</w:t>
            </w:r>
          </w:p>
        </w:tc>
        <w:tc>
          <w:tcPr>
            <w:tcW w:w="0" w:type="dxa"/>
            <w:vAlign w:val="bottom"/>
          </w:tcPr>
          <w:p>
            <w:pPr>
              <w:spacing w:after="0"/>
              <w:rPr>
                <w:sz w:val="1"/>
                <w:szCs w:val="1"/>
                <w:color w:val="auto"/>
              </w:rPr>
            </w:pPr>
          </w:p>
        </w:tc>
      </w:tr>
      <w:tr>
        <w:trPr>
          <w:trHeight w:val="206"/>
        </w:trPr>
        <w:tc>
          <w:tcPr>
            <w:tcW w:w="82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statements of cash flows</w:t>
            </w: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vMerge w:val="continue"/>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2023 Form 10-Q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w:t>
      </w:r>
    </w:p>
    <w:p>
      <w:pPr>
        <w:spacing w:after="0" w:line="127"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color w:val="auto"/>
        </w:rPr>
        <w:t>Receivables consist primarily of premium amounts due from government agencies, which are subject to potential retroactive adjustments. Because substantially all of our receivable amounts are readily determinable and substantially all of our creditors are governmental authorities, our allowance for credit losses is insignificant. Any amounts determined to be uncollectible are charged to expense when such determination is made.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280" w:type="dxa"/>
            <w:vAlign w:val="bottom"/>
          </w:tcPr>
          <w:p>
            <w:pPr>
              <w:jc w:val="right"/>
              <w:ind w:right="182"/>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8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2022</w:t>
            </w:r>
          </w:p>
        </w:tc>
      </w:tr>
      <w:tr>
        <w:trPr>
          <w:trHeight w:val="236"/>
        </w:trPr>
        <w:tc>
          <w:tcPr>
            <w:tcW w:w="8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40" w:type="dxa"/>
            <w:vAlign w:val="bottom"/>
            <w:gridSpan w:val="4"/>
          </w:tcPr>
          <w:p>
            <w:pPr>
              <w:jc w:val="right"/>
              <w:ind w:right="1022"/>
              <w:spacing w:after="0"/>
              <w:rPr>
                <w:sz w:val="20"/>
                <w:szCs w:val="20"/>
                <w:color w:val="auto"/>
              </w:rPr>
            </w:pPr>
            <w:r>
              <w:rPr>
                <w:rFonts w:ascii="Arial" w:cs="Arial" w:eastAsia="Arial" w:hAnsi="Arial"/>
                <w:sz w:val="14"/>
                <w:szCs w:val="14"/>
                <w:b w:val="1"/>
                <w:bCs w:val="1"/>
                <w:color w:val="auto"/>
              </w:rPr>
              <w:t>(In millions)</w:t>
            </w:r>
          </w:p>
        </w:tc>
      </w:tr>
      <w:tr>
        <w:trPr>
          <w:trHeight w:val="217"/>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Government receivables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1,737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1,702</w:t>
            </w: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Pharmacy rebate receivables</w:t>
            </w:r>
          </w:p>
        </w:tc>
        <w:tc>
          <w:tcPr>
            <w:tcW w:w="160" w:type="dxa"/>
            <w:vAlign w:val="bottom"/>
          </w:tcPr>
          <w:p>
            <w:pPr>
              <w:spacing w:after="0"/>
              <w:rPr>
                <w:sz w:val="18"/>
                <w:szCs w:val="18"/>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291</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407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309</w:t>
            </w:r>
          </w:p>
        </w:tc>
      </w:tr>
      <w:tr>
        <w:trPr>
          <w:trHeight w:val="207"/>
        </w:trPr>
        <w:tc>
          <w:tcPr>
            <w:tcW w:w="8180" w:type="dxa"/>
            <w:vAlign w:val="bottom"/>
          </w:tcPr>
          <w:p>
            <w:pPr>
              <w:ind w:left="1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2,460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2,302</w:t>
            </w:r>
          </w:p>
        </w:tc>
      </w:tr>
      <w:tr>
        <w:trPr>
          <w:trHeight w:val="23"/>
        </w:trPr>
        <w:tc>
          <w:tcPr>
            <w:tcW w:w="8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 Revenue Recognition and Amounts Due Government Agencies</w:t>
      </w:r>
    </w:p>
    <w:p>
      <w:pPr>
        <w:spacing w:after="0" w:line="12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Premium revenue is generated from our contracts with state and federal agencies, in connection with our participation in the Medicaid, Medicare, and Marketplace programs. Premium revenue is generally received based on per member per month (“PMPM”) rates established in advance of the periods covered. These premium revenues are recognized in the month that members are entitled to receive healthcare services, and premiums collected in advance are deferred. State Medicaid programs and the federal Medicare program periodically adjust premium rates, including certain components of premium revenue that are subject to accounting estimates and are described below, and in our 2022 Annual Report on Form 10-K, Note 2, “Significant Accounting Policies,” under “Contractual Provisions That May Adjust or Limit Revenue or Profit,” and “Quality Incentives.”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Provisions That May Adjust or Limit Revenue or Profit</w:t>
      </w:r>
    </w:p>
    <w:p>
      <w:pPr>
        <w:spacing w:after="0" w:line="127"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Many of our contracts contain provisions that may adjust or limit revenue or profit, as described below. Consequently, we recognize premium revenue as it is earned under such provisions. Liabilities accrued for premiums to be returned under such provisions are reported in the aggregate as “Amounts due government agencies,” in the accompanying consolidated balance sheets. Categorized by program, such amounts due government agencies included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320" w:type="dxa"/>
            <w:vAlign w:val="bottom"/>
          </w:tcPr>
          <w:p>
            <w:pPr>
              <w:jc w:val="right"/>
              <w:ind w:right="201"/>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8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2022</w:t>
            </w:r>
          </w:p>
        </w:tc>
      </w:tr>
      <w:tr>
        <w:trPr>
          <w:trHeight w:val="235"/>
        </w:trPr>
        <w:tc>
          <w:tcPr>
            <w:tcW w:w="8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4"/>
          </w:tcPr>
          <w:p>
            <w:pPr>
              <w:jc w:val="right"/>
              <w:ind w:right="1081"/>
              <w:spacing w:after="0"/>
              <w:rPr>
                <w:sz w:val="20"/>
                <w:szCs w:val="20"/>
                <w:color w:val="auto"/>
              </w:rPr>
            </w:pPr>
            <w:r>
              <w:rPr>
                <w:rFonts w:ascii="Arial" w:cs="Arial" w:eastAsia="Arial" w:hAnsi="Arial"/>
                <w:sz w:val="14"/>
                <w:szCs w:val="14"/>
                <w:b w:val="1"/>
                <w:bCs w:val="1"/>
                <w:color w:val="auto"/>
              </w:rPr>
              <w:t>(In millions)</w:t>
            </w:r>
          </w:p>
        </w:tc>
      </w:tr>
      <w:tr>
        <w:trPr>
          <w:trHeight w:val="217"/>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Medicaid program:</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3"/>
        </w:trPr>
        <w:tc>
          <w:tcPr>
            <w:tcW w:w="8100" w:type="dxa"/>
            <w:vAlign w:val="bottom"/>
          </w:tcPr>
          <w:p>
            <w:pPr>
              <w:ind w:left="140"/>
              <w:spacing w:after="0"/>
              <w:rPr>
                <w:sz w:val="20"/>
                <w:szCs w:val="20"/>
                <w:color w:val="auto"/>
              </w:rPr>
            </w:pPr>
            <w:r>
              <w:rPr>
                <w:rFonts w:ascii="Arial" w:cs="Arial" w:eastAsia="Arial" w:hAnsi="Arial"/>
                <w:sz w:val="16"/>
                <w:szCs w:val="16"/>
                <w:color w:val="auto"/>
              </w:rPr>
              <w:t>Minimum MLR, corridors, and profit sharing</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1,304</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1,145</w:t>
            </w:r>
          </w:p>
        </w:tc>
      </w:tr>
      <w:tr>
        <w:trPr>
          <w:trHeight w:val="219"/>
        </w:trPr>
        <w:tc>
          <w:tcPr>
            <w:tcW w:w="8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premium adjustments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482</w:t>
            </w:r>
          </w:p>
        </w:tc>
      </w:tr>
      <w:tr>
        <w:trPr>
          <w:trHeight w:val="213"/>
        </w:trPr>
        <w:tc>
          <w:tcPr>
            <w:tcW w:w="8100" w:type="dxa"/>
            <w:vAlign w:val="bottom"/>
          </w:tcPr>
          <w:p>
            <w:pPr>
              <w:ind w:left="20"/>
              <w:spacing w:after="0"/>
              <w:rPr>
                <w:sz w:val="20"/>
                <w:szCs w:val="20"/>
                <w:color w:val="auto"/>
              </w:rPr>
            </w:pPr>
            <w:r>
              <w:rPr>
                <w:rFonts w:ascii="Arial" w:cs="Arial" w:eastAsia="Arial" w:hAnsi="Arial"/>
                <w:sz w:val="16"/>
                <w:szCs w:val="16"/>
                <w:color w:val="auto"/>
              </w:rPr>
              <w:t>Medicare program:</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8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Minimum MLR, corridors, and profit sharing</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84</w:t>
            </w:r>
          </w:p>
        </w:tc>
      </w:tr>
      <w:tr>
        <w:trPr>
          <w:trHeight w:val="213"/>
        </w:trPr>
        <w:tc>
          <w:tcPr>
            <w:tcW w:w="8100" w:type="dxa"/>
            <w:vAlign w:val="bottom"/>
          </w:tcPr>
          <w:p>
            <w:pPr>
              <w:ind w:left="140"/>
              <w:spacing w:after="0"/>
              <w:rPr>
                <w:sz w:val="20"/>
                <w:szCs w:val="20"/>
                <w:color w:val="auto"/>
              </w:rPr>
            </w:pPr>
            <w:r>
              <w:rPr>
                <w:rFonts w:ascii="Arial" w:cs="Arial" w:eastAsia="Arial" w:hAnsi="Arial"/>
                <w:sz w:val="16"/>
                <w:szCs w:val="16"/>
                <w:color w:val="auto"/>
              </w:rPr>
              <w:t>Risk adjustment and Part D risk sharing</w:t>
            </w:r>
          </w:p>
        </w:tc>
        <w:tc>
          <w:tcPr>
            <w:tcW w:w="20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76</w:t>
            </w:r>
          </w:p>
        </w:tc>
      </w:tr>
      <w:tr>
        <w:trPr>
          <w:trHeight w:val="219"/>
        </w:trPr>
        <w:tc>
          <w:tcPr>
            <w:tcW w:w="8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premium adjustments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w:t>
            </w:r>
          </w:p>
        </w:tc>
      </w:tr>
      <w:tr>
        <w:trPr>
          <w:trHeight w:val="213"/>
        </w:trPr>
        <w:tc>
          <w:tcPr>
            <w:tcW w:w="8100" w:type="dxa"/>
            <w:vAlign w:val="bottom"/>
          </w:tcPr>
          <w:p>
            <w:pPr>
              <w:ind w:left="20"/>
              <w:spacing w:after="0"/>
              <w:rPr>
                <w:sz w:val="20"/>
                <w:szCs w:val="20"/>
                <w:color w:val="auto"/>
              </w:rPr>
            </w:pPr>
            <w:r>
              <w:rPr>
                <w:rFonts w:ascii="Arial" w:cs="Arial" w:eastAsia="Arial" w:hAnsi="Arial"/>
                <w:sz w:val="16"/>
                <w:szCs w:val="16"/>
                <w:color w:val="auto"/>
              </w:rPr>
              <w:t>Marketplace program:</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8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Risk adjustment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230</w:t>
            </w:r>
          </w:p>
        </w:tc>
      </w:tr>
      <w:tr>
        <w:trPr>
          <w:trHeight w:val="213"/>
        </w:trPr>
        <w:tc>
          <w:tcPr>
            <w:tcW w:w="8100" w:type="dxa"/>
            <w:vAlign w:val="bottom"/>
          </w:tcPr>
          <w:p>
            <w:pPr>
              <w:ind w:left="140"/>
              <w:spacing w:after="0"/>
              <w:rPr>
                <w:sz w:val="20"/>
                <w:szCs w:val="20"/>
                <w:color w:val="auto"/>
              </w:rPr>
            </w:pPr>
            <w:r>
              <w:rPr>
                <w:rFonts w:ascii="Arial" w:cs="Arial" w:eastAsia="Arial" w:hAnsi="Arial"/>
                <w:sz w:val="16"/>
                <w:szCs w:val="16"/>
                <w:color w:val="auto"/>
              </w:rPr>
              <w:t>Minimum MLR</w:t>
            </w:r>
          </w:p>
        </w:tc>
        <w:tc>
          <w:tcPr>
            <w:tcW w:w="20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2</w:t>
            </w:r>
          </w:p>
        </w:tc>
      </w:tr>
      <w:tr>
        <w:trPr>
          <w:trHeight w:val="216"/>
        </w:trPr>
        <w:tc>
          <w:tcPr>
            <w:tcW w:w="8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premium adjustments</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w:t>
            </w:r>
          </w:p>
        </w:tc>
      </w:tr>
      <w:tr>
        <w:trPr>
          <w:trHeight w:val="213"/>
        </w:trPr>
        <w:tc>
          <w:tcPr>
            <w:tcW w:w="8100" w:type="dxa"/>
            <w:vAlign w:val="bottom"/>
          </w:tcPr>
          <w:p>
            <w:pPr>
              <w:ind w:left="360"/>
              <w:spacing w:after="0"/>
              <w:rPr>
                <w:sz w:val="20"/>
                <w:szCs w:val="20"/>
                <w:color w:val="auto"/>
              </w:rPr>
            </w:pPr>
            <w:r>
              <w:rPr>
                <w:rFonts w:ascii="Arial" w:cs="Arial" w:eastAsia="Arial" w:hAnsi="Arial"/>
                <w:sz w:val="16"/>
                <w:szCs w:val="16"/>
                <w:color w:val="auto"/>
              </w:rPr>
              <w:t>Total amounts due government agencies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2,476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2,079</w:t>
            </w:r>
          </w:p>
        </w:tc>
      </w:tr>
      <w:tr>
        <w:trPr>
          <w:trHeight w:val="20"/>
        </w:trPr>
        <w:tc>
          <w:tcPr>
            <w:tcW w:w="8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Medicaid Program</w:t>
      </w:r>
    </w:p>
    <w:p>
      <w:pPr>
        <w:spacing w:after="0" w:line="111"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i w:val="1"/>
          <w:iCs w:val="1"/>
          <w:color w:val="auto"/>
        </w:rPr>
        <w:t xml:space="preserve">Minimum MLR and Medical Cost Corridors. </w:t>
      </w:r>
      <w:r>
        <w:rPr>
          <w:rFonts w:ascii="Arial" w:cs="Arial" w:eastAsia="Arial" w:hAnsi="Arial"/>
          <w:sz w:val="18"/>
          <w:szCs w:val="18"/>
          <w:color w:val="auto"/>
        </w:rPr>
        <w:t>A portion of our premium revenue may be returned if certain minimum amounts are not spent on</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medical care costs as a percentage of premium revenue, or minimum medical loss ratio (“Minimum MLR”). Under certain medical cost corridor provisions, the health plans may refund premiums or receive additional premiums, depending on whether amounts spent on medical care costs fall below or exceed defined thresholds. This includes remaining risk corridors that were enacted by various states in 2020 in response to the reduced demand for medical services stemming from COVID-19.</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2023 Form 10-Q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i w:val="1"/>
          <w:iCs w:val="1"/>
          <w:color w:val="auto"/>
        </w:rPr>
        <w:t xml:space="preserve">Profit Sharing. </w:t>
      </w:r>
      <w:r>
        <w:rPr>
          <w:rFonts w:ascii="Arial" w:cs="Arial" w:eastAsia="Arial" w:hAnsi="Arial"/>
          <w:sz w:val="18"/>
          <w:szCs w:val="18"/>
          <w:color w:val="auto"/>
        </w:rPr>
        <w:t>Our contracts with certain states contain profit sharing provisions under which we refund amounts to the states if our health</w:t>
      </w:r>
      <w:r>
        <w:rPr>
          <w:rFonts w:ascii="Arial" w:cs="Arial" w:eastAsia="Arial" w:hAnsi="Arial"/>
          <w:sz w:val="18"/>
          <w:szCs w:val="18"/>
          <w:i w:val="1"/>
          <w:iCs w:val="1"/>
          <w:color w:val="auto"/>
        </w:rPr>
        <w:t xml:space="preserve"> </w:t>
      </w:r>
      <w:r>
        <w:rPr>
          <w:rFonts w:ascii="Arial" w:cs="Arial" w:eastAsia="Arial" w:hAnsi="Arial"/>
          <w:sz w:val="18"/>
          <w:szCs w:val="18"/>
          <w:color w:val="auto"/>
        </w:rPr>
        <w:t>plans generate profit above a certain specified percentage. In some cases, we are limited in the amount of administrative costs that we may deduct in calculating the refund, if any.</w:t>
      </w:r>
    </w:p>
    <w:p>
      <w:pPr>
        <w:spacing w:after="0" w:line="6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i w:val="1"/>
          <w:iCs w:val="1"/>
          <w:color w:val="auto"/>
        </w:rPr>
        <w:t xml:space="preserve">Other Premium Adjustments. </w:t>
      </w:r>
      <w:r>
        <w:rPr>
          <w:rFonts w:ascii="Arial" w:cs="Arial" w:eastAsia="Arial" w:hAnsi="Arial"/>
          <w:sz w:val="18"/>
          <w:szCs w:val="18"/>
          <w:color w:val="auto"/>
        </w:rPr>
        <w:t>State Medicaid programs periodically adjust premium revenues on a retroactive basis for rate changes and</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membership and eligibility data. In certain states, adjustments are made based on the health status of our members (as measured through a risk score). In these cases, we adjust our premium revenue in the period in which we determine that the adjustment is probable and reasonably estimable, based on our best estimate of the ultimate premium we expect to realize for the period being adjusted.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Marketplace Program</w:t>
      </w:r>
    </w:p>
    <w:p>
      <w:pPr>
        <w:spacing w:after="0" w:line="11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i w:val="1"/>
          <w:iCs w:val="1"/>
          <w:color w:val="auto"/>
        </w:rPr>
        <w:t xml:space="preserve">Risk Adjustment. </w:t>
      </w:r>
      <w:r>
        <w:rPr>
          <w:rFonts w:ascii="Arial" w:cs="Arial" w:eastAsia="Arial" w:hAnsi="Arial"/>
          <w:sz w:val="18"/>
          <w:szCs w:val="18"/>
          <w:color w:val="auto"/>
        </w:rPr>
        <w:t>Under this program, our health plans’ composite risk scores are compared with the overall average risk score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state and market pool. Generally, our health plans will make a risk adjustment payment into the pool if their composite risk scores are below the average risk score for all plan participants in a state (risk adjustment payable), and will receive a risk adjustment payment from the pool if their composite risk scores are above the average risk score for all plan participants in a state (risk adjustment receivable). Under CMS rules, the Marketplace risk adjustment pool in each state is budget neutral. We estimate our ultimate premium based on insurance policy year-to-date experience, and the data submitted and expected to be submitted to CMS, and recognize estimated premiums relating to the risk adjustment program as an adjustment to premium revenue in our consolidated statements of income. As of September 30, 2023, Marketplace risk adjustment estimated payables amounted to $163 million and estimated receivables amounted to $246 million, for a net receivable of $83 million. Marketplace risk adjustment receivables at September 30, 2023 are net of a $ 41 million credit loss allowance resulting from a credit loss recognized in the third quarter of 2023 on 2022 Marketplace risk adjustment receivables due to the insolvency of an issuer in the Texas risk pool. This charge is included in other operating expenses in the accompanying consolidated statements of income. As of December 31, 2022, Marketplace risk adjustment estimated payables amounted to $230 million and estimated receivables amounted to $135 million, for a net payable of $95 million.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2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Financial instruments that potentially subject us to concentrations of credit risk consist primarily of cash and cash equivalents, investments, receivables, and restricted investments. Our investments and a portion of our cash equivalents are managed by professional portfolio managers operating under documented investment guidelines. Our portfolio managers must obtain our prior approval before selling investments where the loss position of those investments exceeds certain levels. Our investments consist primarily of investment-grade debt securities with final maturities of less than 15 years, or less than 15 years average life for structured securities. Restricted investments are invested principally in cash, cash equivalents, U.S. Treasury securities, and corporate debt securities. Concentration of credit risk with respect to accounts receivable is limited because our payors consist principally of the federal government, and governments of each state in which our health plan subsidiaries operate.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2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provision for income taxes is determined using an estimated annual effective tax rate, which generally differs from the U.S. federal statutory rate primarily because of foreign and state taxes, and nondeductible expenses such as certain compensation and other general and administrative expenses.</w:t>
      </w:r>
    </w:p>
    <w:p>
      <w:pPr>
        <w:spacing w:after="0" w:line="7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effective tax rate may be subject to fluctuations during the year as new information is obtained. Such information may affect the assumptions used to estimate the annual effective tax rate, including projected pretax earnings, the mix of pretax earnings in the various tax jurisdictions in which we operate, valuation allowances against deferred tax assets, the recognition or the reversal of the recognition of tax benefits related to uncertain tax positions, and changes in or the interpretation of tax laws in jurisdictions where we conduct business. We recognize deferred tax assets and liabilities for temporary differences between the financial reporting basis and the tax basis of our assets and liabilities, along with net operating loss and tax credit carryovers.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2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Recent accounting pronouncements issued by the FASB (including its Emerging Issues Task Force), the American Institute of Certified Public Accountants, and the Securities and Exchange Commission (“SEC”) did not have, nor does management expect such pronouncements to have, a significant impact on our present or future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2023 Form 10-Q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3. Net Income Per Share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calculation of basic and diluted net income per share: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540" w:type="dxa"/>
            <w:vAlign w:val="bottom"/>
          </w:tcPr>
          <w:p>
            <w:pPr>
              <w:spacing w:after="0"/>
              <w:rPr>
                <w:sz w:val="17"/>
                <w:szCs w:val="17"/>
                <w:color w:val="auto"/>
              </w:rPr>
            </w:pPr>
          </w:p>
        </w:tc>
        <w:tc>
          <w:tcPr>
            <w:tcW w:w="340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7"/>
                <w:szCs w:val="17"/>
                <w:color w:val="auto"/>
              </w:rPr>
            </w:pPr>
          </w:p>
        </w:tc>
        <w:tc>
          <w:tcPr>
            <w:tcW w:w="30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54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2022</w:t>
            </w:r>
          </w:p>
        </w:tc>
      </w:tr>
      <w:tr>
        <w:trPr>
          <w:trHeight w:val="236"/>
        </w:trPr>
        <w:tc>
          <w:tcPr>
            <w:tcW w:w="4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20" w:type="dxa"/>
            <w:vAlign w:val="bottom"/>
            <w:gridSpan w:val="5"/>
          </w:tcPr>
          <w:p>
            <w:pPr>
              <w:ind w:left="60"/>
              <w:spacing w:after="0"/>
              <w:rPr>
                <w:sz w:val="20"/>
                <w:szCs w:val="20"/>
                <w:color w:val="auto"/>
              </w:rPr>
            </w:pPr>
            <w:r>
              <w:rPr>
                <w:rFonts w:ascii="Arial" w:cs="Arial" w:eastAsia="Arial" w:hAnsi="Arial"/>
                <w:sz w:val="14"/>
                <w:szCs w:val="14"/>
                <w:b w:val="1"/>
                <w:bCs w:val="1"/>
                <w:color w:val="auto"/>
              </w:rPr>
              <w:t>(In millions, except net income per share)</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17"/>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Numerator:</w:t>
            </w: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45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80" w:type="dxa"/>
            <w:vAlign w:val="bottom"/>
            <w:tcBorders>
              <w:bottom w:val="single" w:sz="8" w:color="auto"/>
            </w:tcBorders>
          </w:tcPr>
          <w:p>
            <w:pPr>
              <w:jc w:val="right"/>
              <w:ind w:right="883"/>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875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w:t>
            </w: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3"/>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Denominator:</w:t>
            </w:r>
          </w:p>
        </w:tc>
        <w:tc>
          <w:tcPr>
            <w:tcW w:w="10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13"/>
        </w:trPr>
        <w:tc>
          <w:tcPr>
            <w:tcW w:w="4540" w:type="dxa"/>
            <w:vAlign w:val="bottom"/>
          </w:tcPr>
          <w:p>
            <w:pPr>
              <w:ind w:left="20"/>
              <w:spacing w:after="0"/>
              <w:rPr>
                <w:sz w:val="20"/>
                <w:szCs w:val="20"/>
                <w:color w:val="auto"/>
              </w:rPr>
            </w:pPr>
            <w:r>
              <w:rPr>
                <w:rFonts w:ascii="Arial" w:cs="Arial" w:eastAsia="Arial" w:hAnsi="Arial"/>
                <w:sz w:val="16"/>
                <w:szCs w:val="16"/>
                <w:color w:val="auto"/>
              </w:rPr>
              <w:t>Shares outstanding at the beginning of the period</w:t>
            </w:r>
          </w:p>
        </w:tc>
        <w:tc>
          <w:tcPr>
            <w:tcW w:w="10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57.6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57.4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57.9</w:t>
            </w:r>
          </w:p>
        </w:tc>
      </w:tr>
      <w:tr>
        <w:trPr>
          <w:trHeight w:val="219"/>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number of shares issued:</w:t>
            </w: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454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108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19"/>
        </w:trPr>
        <w:tc>
          <w:tcPr>
            <w:tcW w:w="4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 purchases</w:t>
            </w:r>
          </w:p>
        </w:tc>
        <w:tc>
          <w:tcPr>
            <w:tcW w:w="10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07"/>
        </w:trPr>
        <w:tc>
          <w:tcPr>
            <w:tcW w:w="4540" w:type="dxa"/>
            <w:vAlign w:val="bottom"/>
          </w:tcPr>
          <w:p>
            <w:pPr>
              <w:ind w:left="20"/>
              <w:spacing w:after="0"/>
              <w:rPr>
                <w:sz w:val="20"/>
                <w:szCs w:val="20"/>
                <w:color w:val="auto"/>
              </w:rPr>
            </w:pPr>
            <w:r>
              <w:rPr>
                <w:rFonts w:ascii="Arial" w:cs="Arial" w:eastAsia="Arial" w:hAnsi="Arial"/>
                <w:sz w:val="16"/>
                <w:szCs w:val="16"/>
                <w:color w:val="auto"/>
              </w:rPr>
              <w:t>Denominator for basic net income per share</w:t>
            </w:r>
          </w:p>
        </w:tc>
        <w:tc>
          <w:tcPr>
            <w:tcW w:w="10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57.8</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57.6</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57.7</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57.8</w:t>
            </w:r>
          </w:p>
        </w:tc>
      </w:tr>
      <w:tr>
        <w:trPr>
          <w:trHeight w:val="219"/>
        </w:trPr>
        <w:tc>
          <w:tcPr>
            <w:tcW w:w="45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Effect of dilutive securities: </w:t>
            </w:r>
            <w:r>
              <w:rPr>
                <w:rFonts w:ascii="Arial" w:cs="Arial" w:eastAsia="Arial" w:hAnsi="Arial"/>
                <w:sz w:val="21"/>
                <w:szCs w:val="21"/>
                <w:color w:val="auto"/>
                <w:vertAlign w:val="superscript"/>
              </w:rPr>
              <w:t>(1)</w:t>
            </w: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45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Stock-based compensation</w:t>
            </w:r>
          </w:p>
        </w:tc>
        <w:tc>
          <w:tcPr>
            <w:tcW w:w="10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r>
      <w:tr>
        <w:trPr>
          <w:trHeight w:val="238"/>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Denominator for diluted net income per share</w:t>
            </w:r>
          </w:p>
        </w:tc>
        <w:tc>
          <w:tcPr>
            <w:tcW w:w="108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58.3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58.1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41"/>
        </w:trPr>
        <w:tc>
          <w:tcPr>
            <w:tcW w:w="4540" w:type="dxa"/>
            <w:vAlign w:val="bottom"/>
            <w:tcBorders>
              <w:bottom w:val="single" w:sz="8" w:color="CCEEFF"/>
            </w:tcBorders>
            <w:shd w:val="clear" w:color="auto" w:fill="CCEEFF"/>
          </w:tcPr>
          <w:p>
            <w:pPr>
              <w:ind w:left="40"/>
              <w:spacing w:after="0" w:line="216" w:lineRule="exact"/>
              <w:rPr>
                <w:sz w:val="20"/>
                <w:szCs w:val="20"/>
                <w:color w:val="auto"/>
              </w:rPr>
            </w:pPr>
            <w:r>
              <w:rPr>
                <w:rFonts w:ascii="Arial" w:cs="Arial" w:eastAsia="Arial" w:hAnsi="Arial"/>
                <w:sz w:val="16"/>
                <w:szCs w:val="16"/>
                <w:color w:val="auto"/>
              </w:rPr>
              <w:t xml:space="preserve">Net income per share - Basic </w:t>
            </w:r>
            <w:r>
              <w:rPr>
                <w:rFonts w:ascii="Arial" w:cs="Arial" w:eastAsia="Arial" w:hAnsi="Arial"/>
                <w:sz w:val="21"/>
                <w:szCs w:val="21"/>
                <w:color w:val="auto"/>
                <w:vertAlign w:val="superscript"/>
              </w:rPr>
              <w:t>(2)</w:t>
            </w:r>
          </w:p>
        </w:tc>
        <w:tc>
          <w:tcPr>
            <w:tcW w:w="1080" w:type="dxa"/>
            <w:vAlign w:val="bottom"/>
            <w:tcBorders>
              <w:bottom w:val="single" w:sz="8" w:color="auto"/>
            </w:tcBorders>
            <w:shd w:val="clear" w:color="auto" w:fill="CCEEFF"/>
          </w:tcPr>
          <w:p>
            <w:pPr>
              <w:jc w:val="right"/>
              <w:ind w:right="883"/>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15.18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12.74</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4540" w:type="dxa"/>
            <w:vAlign w:val="bottom"/>
          </w:tcPr>
          <w:p>
            <w:pPr>
              <w:ind w:left="40"/>
              <w:spacing w:after="0" w:line="190" w:lineRule="exact"/>
              <w:rPr>
                <w:sz w:val="20"/>
                <w:szCs w:val="20"/>
                <w:color w:val="auto"/>
              </w:rPr>
            </w:pPr>
            <w:r>
              <w:rPr>
                <w:rFonts w:ascii="Arial" w:cs="Arial" w:eastAsia="Arial" w:hAnsi="Arial"/>
                <w:sz w:val="16"/>
                <w:szCs w:val="16"/>
                <w:color w:val="auto"/>
              </w:rPr>
              <w:t xml:space="preserve">Net income per share - Diluted </w:t>
            </w:r>
            <w:r>
              <w:rPr>
                <w:rFonts w:ascii="Arial" w:cs="Arial" w:eastAsia="Arial" w:hAnsi="Arial"/>
                <w:sz w:val="21"/>
                <w:szCs w:val="21"/>
                <w:color w:val="auto"/>
                <w:vertAlign w:val="superscript"/>
              </w:rPr>
              <w:t>(2)</w:t>
            </w:r>
          </w:p>
        </w:tc>
        <w:tc>
          <w:tcPr>
            <w:tcW w:w="1080" w:type="dxa"/>
            <w:vAlign w:val="bottom"/>
            <w:tcBorders>
              <w:bottom w:val="single" w:sz="8" w:color="auto"/>
            </w:tcBorders>
          </w:tcPr>
          <w:p>
            <w:pPr>
              <w:jc w:val="right"/>
              <w:ind w:right="883"/>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3.95</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15.08</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12.58</w:t>
            </w:r>
          </w:p>
        </w:tc>
      </w:tr>
      <w:tr>
        <w:trPr>
          <w:trHeight w:val="21"/>
        </w:trPr>
        <w:tc>
          <w:tcPr>
            <w:tcW w:w="45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66"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dilutive effect of all potentially dilutive common shares is calculated using the treasury stock method.</w:t>
      </w:r>
    </w:p>
    <w:p>
      <w:pPr>
        <w:spacing w:after="0" w:line="17" w:lineRule="exact"/>
        <w:rPr>
          <w:rFonts w:ascii="Arial" w:cs="Arial" w:eastAsia="Arial" w:hAnsi="Arial"/>
          <w:sz w:val="16"/>
          <w:szCs w:val="16"/>
          <w:color w:val="auto"/>
        </w:rPr>
      </w:pPr>
    </w:p>
    <w:p>
      <w:pPr>
        <w:ind w:left="380" w:hanging="372"/>
        <w:spacing w:after="0"/>
        <w:tabs>
          <w:tab w:leader="none" w:pos="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Source data for calculations in thousands.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4. Business Combinations</w:t>
      </w:r>
    </w:p>
    <w:p>
      <w:pPr>
        <w:spacing w:after="0" w:line="12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closed on one business combination in the Medicaid and Medicare segments, consistent with our strategy to grow in our existing markets. For this transaction, we applied the acquisition method of accounting, where the total purchase price was preliminarily allocated, to the tangible and intangible assets acquired and liabilities assumed, based on their fair values as of the acquisition date. We expect to complete the final determination of the purchase price allocation as soon as practicable, but no later than one year following the acquisition’s closing date in accordance with Accounting Standards Codification Topic 805, Business Combinations.</w:t>
      </w:r>
    </w:p>
    <w:p>
      <w:pPr>
        <w:spacing w:after="0" w:line="65"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i w:val="1"/>
          <w:iCs w:val="1"/>
          <w:color w:val="auto"/>
        </w:rPr>
        <w:t xml:space="preserve">My Choice. </w:t>
      </w:r>
      <w:r>
        <w:rPr>
          <w:rFonts w:ascii="Arial" w:cs="Arial" w:eastAsia="Arial" w:hAnsi="Arial"/>
          <w:sz w:val="18"/>
          <w:szCs w:val="18"/>
          <w:color w:val="auto"/>
        </w:rPr>
        <w:t>On September 1, 2023, we closed on our acquisition of My Choice Wisconsin for preliminary purchase consideration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$74 million. Finalization of purchase price adjustments, as provided in the definitive asset purchase agreement governing the transaction, is expected to occur in the first half of 2024.</w:t>
      </w: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2023 Form 10-Q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Goodwill is calculated as the excess of the consideration transferred over the net assets recognized and represents the estimated future economic benefits arising from other assets acquired that could not be individually identified and separately recognized. Such assets include synergies we expect to achieve as a result of the transaction, such as the use of our existing infrastructure to support the added membership, and future economic benefits arising from the assembled workforce. We allocated goodwill in the amounts of $95 million to the Medicaid segment and $31 million to the Medicare segment. Approximately 100% of the goodwill is deductible for income tax purposes. The following table summarizes the provisional fair values assigned to assets acquired and liabilities assumed,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 acquired:</w:t>
            </w: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3"/>
        </w:trPr>
        <w:tc>
          <w:tcPr>
            <w:tcW w:w="9800" w:type="dxa"/>
            <w:vAlign w:val="bottom"/>
          </w:tcPr>
          <w:p>
            <w:pPr>
              <w:ind w:left="140"/>
              <w:spacing w:after="0"/>
              <w:rPr>
                <w:sz w:val="20"/>
                <w:szCs w:val="20"/>
                <w:color w:val="auto"/>
              </w:rPr>
            </w:pPr>
            <w:r>
              <w:rPr>
                <w:rFonts w:ascii="Arial" w:cs="Arial" w:eastAsia="Arial" w:hAnsi="Arial"/>
                <w:sz w:val="16"/>
                <w:szCs w:val="16"/>
                <w:color w:val="auto"/>
              </w:rPr>
              <w:t>Current assets</w:t>
            </w: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219"/>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6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r>
      <w:tr>
        <w:trPr>
          <w:trHeight w:val="213"/>
        </w:trPr>
        <w:tc>
          <w:tcPr>
            <w:tcW w:w="9800" w:type="dxa"/>
            <w:vAlign w:val="bottom"/>
          </w:tcPr>
          <w:p>
            <w:pPr>
              <w:ind w:left="140"/>
              <w:spacing w:after="0"/>
              <w:rPr>
                <w:sz w:val="20"/>
                <w:szCs w:val="20"/>
                <w:color w:val="auto"/>
              </w:rPr>
            </w:pPr>
            <w:r>
              <w:rPr>
                <w:rFonts w:ascii="Arial" w:cs="Arial" w:eastAsia="Arial" w:hAnsi="Arial"/>
                <w:sz w:val="16"/>
                <w:szCs w:val="16"/>
                <w:color w:val="auto"/>
              </w:rPr>
              <w:t>Intangible assets</w:t>
            </w:r>
          </w:p>
        </w:tc>
        <w:tc>
          <w:tcPr>
            <w:tcW w:w="6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9"/>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long-term assets</w:t>
            </w:r>
          </w:p>
        </w:tc>
        <w:tc>
          <w:tcPr>
            <w:tcW w:w="6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6"/>
        </w:trPr>
        <w:tc>
          <w:tcPr>
            <w:tcW w:w="9800" w:type="dxa"/>
            <w:vAlign w:val="bottom"/>
          </w:tcPr>
          <w:p>
            <w:pPr>
              <w:ind w:left="20"/>
              <w:spacing w:after="0"/>
              <w:rPr>
                <w:sz w:val="20"/>
                <w:szCs w:val="20"/>
                <w:color w:val="auto"/>
              </w:rPr>
            </w:pPr>
            <w:r>
              <w:rPr>
                <w:rFonts w:ascii="Arial" w:cs="Arial" w:eastAsia="Arial" w:hAnsi="Arial"/>
                <w:sz w:val="16"/>
                <w:szCs w:val="16"/>
                <w:b w:val="1"/>
                <w:bCs w:val="1"/>
                <w:color w:val="auto"/>
              </w:rPr>
              <w:t>Liabilities assumed:</w:t>
            </w: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Medical claims and benefits payable</w:t>
            </w: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r>
      <w:tr>
        <w:trPr>
          <w:trHeight w:val="213"/>
        </w:trPr>
        <w:tc>
          <w:tcPr>
            <w:tcW w:w="9800" w:type="dxa"/>
            <w:vAlign w:val="bottom"/>
          </w:tcPr>
          <w:p>
            <w:pPr>
              <w:ind w:left="140"/>
              <w:spacing w:after="0"/>
              <w:rPr>
                <w:sz w:val="20"/>
                <w:szCs w:val="20"/>
                <w:color w:val="auto"/>
              </w:rPr>
            </w:pPr>
            <w:r>
              <w:rPr>
                <w:rFonts w:ascii="Arial" w:cs="Arial" w:eastAsia="Arial" w:hAnsi="Arial"/>
                <w:sz w:val="16"/>
                <w:szCs w:val="16"/>
                <w:color w:val="auto"/>
              </w:rPr>
              <w:t>Amounts due government agencies</w:t>
            </w:r>
          </w:p>
        </w:tc>
        <w:tc>
          <w:tcPr>
            <w:tcW w:w="6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6"/>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accrued and other long-term liabilities</w:t>
            </w:r>
          </w:p>
        </w:tc>
        <w:tc>
          <w:tcPr>
            <w:tcW w:w="6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12"/>
        </w:trPr>
        <w:tc>
          <w:tcPr>
            <w:tcW w:w="9800" w:type="dxa"/>
            <w:vAlign w:val="bottom"/>
          </w:tcPr>
          <w:p>
            <w:pPr>
              <w:ind w:left="20"/>
              <w:spacing w:after="0"/>
              <w:rPr>
                <w:sz w:val="20"/>
                <w:szCs w:val="20"/>
                <w:color w:val="auto"/>
              </w:rPr>
            </w:pPr>
            <w:r>
              <w:rPr>
                <w:rFonts w:ascii="Arial" w:cs="Arial" w:eastAsia="Arial" w:hAnsi="Arial"/>
                <w:sz w:val="16"/>
                <w:szCs w:val="16"/>
                <w:b w:val="1"/>
                <w:bCs w:val="1"/>
                <w:color w:val="auto"/>
              </w:rPr>
              <w:t>Net consideration transferred</w:t>
            </w: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r>
      <w:tr>
        <w:trPr>
          <w:trHeight w:val="21"/>
        </w:trPr>
        <w:tc>
          <w:tcPr>
            <w:tcW w:w="98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color w:val="auto"/>
        </w:rPr>
        <w:t>The table below presents intangible assets acquired, by major class, for the My Choice acquisition. The weighted-average amortization period, in the aggregate, is 6.5 years.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260" w:type="dxa"/>
            <w:vAlign w:val="bottom"/>
          </w:tcPr>
          <w:p>
            <w:pPr>
              <w:spacing w:after="0"/>
              <w:rPr>
                <w:sz w:val="17"/>
                <w:szCs w:val="17"/>
                <w:color w:val="auto"/>
              </w:rPr>
            </w:pPr>
          </w:p>
        </w:tc>
        <w:tc>
          <w:tcPr>
            <w:tcW w:w="116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Fair Value</w:t>
            </w:r>
          </w:p>
        </w:tc>
        <w:tc>
          <w:tcPr>
            <w:tcW w:w="2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r>
      <w:tr>
        <w:trPr>
          <w:trHeight w:val="250"/>
        </w:trPr>
        <w:tc>
          <w:tcPr>
            <w:tcW w:w="8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(Years)</w:t>
            </w:r>
          </w:p>
        </w:tc>
      </w:tr>
      <w:tr>
        <w:trPr>
          <w:trHeight w:val="217"/>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rights - member list</w:t>
            </w:r>
          </w:p>
        </w:tc>
        <w:tc>
          <w:tcPr>
            <w:tcW w:w="1160" w:type="dxa"/>
            <w:vAlign w:val="bottom"/>
            <w:shd w:val="clear" w:color="auto" w:fill="CCEEFF"/>
          </w:tcPr>
          <w:p>
            <w:pPr>
              <w:jc w:val="right"/>
              <w:ind w:right="984"/>
              <w:spacing w:after="0"/>
              <w:rPr>
                <w:sz w:val="20"/>
                <w:szCs w:val="20"/>
                <w:color w:val="auto"/>
              </w:rPr>
            </w:pPr>
            <w:r>
              <w:rPr>
                <w:rFonts w:ascii="Arial" w:cs="Arial" w:eastAsia="Arial" w:hAnsi="Arial"/>
                <w:sz w:val="16"/>
                <w:szCs w:val="16"/>
                <w:color w:val="auto"/>
                <w:w w:val="8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7</w:t>
            </w: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Trade name</w:t>
            </w:r>
          </w:p>
        </w:tc>
        <w:tc>
          <w:tcPr>
            <w:tcW w:w="11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3</w:t>
            </w: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2</w:t>
            </w: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Provider network</w:t>
            </w:r>
          </w:p>
        </w:tc>
        <w:tc>
          <w:tcPr>
            <w:tcW w:w="11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10</w:t>
            </w:r>
          </w:p>
        </w:tc>
      </w:tr>
      <w:tr>
        <w:trPr>
          <w:trHeight w:val="210"/>
        </w:trPr>
        <w:tc>
          <w:tcPr>
            <w:tcW w:w="8260" w:type="dxa"/>
            <w:vAlign w:val="bottom"/>
          </w:tcPr>
          <w:p>
            <w:pPr>
              <w:spacing w:after="0"/>
              <w:rPr>
                <w:sz w:val="18"/>
                <w:szCs w:val="18"/>
                <w:color w:val="auto"/>
              </w:rPr>
            </w:pPr>
          </w:p>
        </w:tc>
        <w:tc>
          <w:tcPr>
            <w:tcW w:w="1160" w:type="dxa"/>
            <w:vAlign w:val="bottom"/>
            <w:tcBorders>
              <w:bottom w:val="single" w:sz="8" w:color="auto"/>
            </w:tcBorders>
          </w:tcPr>
          <w:p>
            <w:pPr>
              <w:jc w:val="right"/>
              <w:ind w:right="984"/>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
        </w:trPr>
        <w:tc>
          <w:tcPr>
            <w:tcW w:w="82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5. Fair Value Measurements</w:t>
      </w:r>
    </w:p>
    <w:p>
      <w:pPr>
        <w:spacing w:after="0" w:line="12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consider the carrying amounts of current assets and current liabilities to approximate their fair values because of the relatively short period of time between the origination of these instruments and their expected realization or payment. For our financial instruments measured at fair value on a recurring basis, we prioritize the inputs used in measuring fair value according to the three-tier fair value hierarchy. For a description of the methods and assumptions used to: a) estimate the fair value; and b) determine the classification according to the fair value hierarchy for each financial instrument, refer to our 2022 Annual Report on Form 10-K, Note 5, “Fair Value Measurements.”</w:t>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2023 Form 10-Q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Our financial instruments measured at fair value on a recurring basis at September 30, 2023,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Observable Inputs</w:t>
            </w:r>
          </w:p>
        </w:tc>
        <w:tc>
          <w:tcPr>
            <w:tcW w:w="16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Directly or Indirectly</w:t>
            </w:r>
          </w:p>
        </w:tc>
        <w:tc>
          <w:tcPr>
            <w:tcW w:w="15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Unobservable Inputs</w:t>
            </w:r>
          </w:p>
        </w:tc>
        <w:tc>
          <w:tcPr>
            <w:tcW w:w="0" w:type="dxa"/>
            <w:vAlign w:val="bottom"/>
          </w:tcPr>
          <w:p>
            <w:pPr>
              <w:spacing w:after="0"/>
              <w:rPr>
                <w:sz w:val="1"/>
                <w:szCs w:val="1"/>
                <w:color w:val="auto"/>
              </w:rPr>
            </w:pPr>
          </w:p>
        </w:tc>
      </w:tr>
      <w:tr>
        <w:trPr>
          <w:trHeight w:val="189"/>
        </w:trPr>
        <w:tc>
          <w:tcPr>
            <w:tcW w:w="4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Observable Inputs</w:t>
            </w:r>
          </w:p>
        </w:tc>
        <w:tc>
          <w:tcPr>
            <w:tcW w:w="1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78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36"/>
        </w:trPr>
        <w:tc>
          <w:tcPr>
            <w:tcW w:w="4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40" w:type="dxa"/>
            <w:vAlign w:val="bottom"/>
            <w:gridSpan w:val="5"/>
          </w:tcPr>
          <w:p>
            <w:pPr>
              <w:ind w:left="108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1000" w:type="dxa"/>
            <w:vAlign w:val="bottom"/>
            <w:shd w:val="clear" w:color="auto" w:fill="CCEEFF"/>
          </w:tcPr>
          <w:p>
            <w:pPr>
              <w:jc w:val="right"/>
              <w:ind w:right="802"/>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8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888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Municipal securities</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notes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ind w:left="1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1000" w:type="dxa"/>
            <w:vAlign w:val="bottom"/>
            <w:shd w:val="clear" w:color="auto" w:fill="CCEEFF"/>
          </w:tcPr>
          <w:p>
            <w:pPr>
              <w:jc w:val="right"/>
              <w:ind w:right="802"/>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4,111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Our financial instruments measured at fair value on a recurring basis at December 31, 2022,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Observable Inputs</w:t>
            </w:r>
          </w:p>
        </w:tc>
        <w:tc>
          <w:tcPr>
            <w:tcW w:w="16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Directly or Indirectly</w:t>
            </w:r>
          </w:p>
        </w:tc>
        <w:tc>
          <w:tcPr>
            <w:tcW w:w="1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Unobservable Inputs</w:t>
            </w:r>
          </w:p>
        </w:tc>
        <w:tc>
          <w:tcPr>
            <w:tcW w:w="0" w:type="dxa"/>
            <w:vAlign w:val="bottom"/>
          </w:tcPr>
          <w:p>
            <w:pPr>
              <w:spacing w:after="0"/>
              <w:rPr>
                <w:sz w:val="1"/>
                <w:szCs w:val="1"/>
                <w:color w:val="auto"/>
              </w:rPr>
            </w:pPr>
          </w:p>
        </w:tc>
      </w:tr>
      <w:tr>
        <w:trPr>
          <w:trHeight w:val="189"/>
        </w:trPr>
        <w:tc>
          <w:tcPr>
            <w:tcW w:w="4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Observable Inputs</w:t>
            </w:r>
          </w:p>
        </w:tc>
        <w:tc>
          <w:tcPr>
            <w:tcW w:w="1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76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37"/>
        </w:trPr>
        <w:tc>
          <w:tcPr>
            <w:tcW w:w="4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60" w:type="dxa"/>
            <w:vAlign w:val="bottom"/>
            <w:gridSpan w:val="5"/>
          </w:tcPr>
          <w:p>
            <w:pPr>
              <w:ind w:left="108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980" w:type="dxa"/>
            <w:vAlign w:val="bottom"/>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2,184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731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6"/>
                <w:szCs w:val="16"/>
                <w:color w:val="auto"/>
              </w:rPr>
              <w:t>Municipal securities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notes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ind w:left="11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47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assets</w:t>
            </w:r>
          </w:p>
        </w:tc>
        <w:tc>
          <w:tcPr>
            <w:tcW w:w="980" w:type="dxa"/>
            <w:vAlign w:val="bottom"/>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3,499</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 liabilities</w:t>
            </w:r>
          </w:p>
        </w:tc>
        <w:tc>
          <w:tcPr>
            <w:tcW w:w="980" w:type="dxa"/>
            <w:vAlign w:val="bottom"/>
            <w:tcBorders>
              <w:bottom w:val="single" w:sz="8" w:color="auto"/>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7"/>
        </w:trPr>
        <w:tc>
          <w:tcPr>
            <w:tcW w:w="4760" w:type="dxa"/>
            <w:vAlign w:val="bottom"/>
          </w:tcPr>
          <w:p>
            <w:pPr>
              <w:ind w:left="220"/>
              <w:spacing w:after="0"/>
              <w:rPr>
                <w:sz w:val="20"/>
                <w:szCs w:val="20"/>
                <w:color w:val="auto"/>
              </w:rPr>
            </w:pPr>
            <w:r>
              <w:rPr>
                <w:rFonts w:ascii="Arial" w:cs="Arial" w:eastAsia="Arial" w:hAnsi="Arial"/>
                <w:sz w:val="16"/>
                <w:szCs w:val="16"/>
                <w:color w:val="auto"/>
              </w:rPr>
              <w:t>Total liabilities</w:t>
            </w: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
        </w:trPr>
        <w:tc>
          <w:tcPr>
            <w:tcW w:w="4760" w:type="dxa"/>
            <w:vAlign w:val="bottom"/>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4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4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 Liabilities</w:t>
      </w:r>
    </w:p>
    <w:p>
      <w:pPr>
        <w:spacing w:after="0" w:line="127"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In the nine months ended September 30, 2023, we paid $8 million in connection with our 2020 acquisition of certain assets of Passport Health Plan, Inc., which represented the final payment of the consideration due relating to an operating income guarantee. The amount paid in the nine months ended September 30, 2023, has been presented in “Operating activities” in the accompanying consolidated statements of cash flows.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 Disclosure Only</w:t>
      </w:r>
    </w:p>
    <w:p>
      <w:pPr>
        <w:spacing w:after="0" w:line="12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carrying amounts and estimated fair values of our notes payable are classified as Level 2 financial instruments. Fair value for these securities is determined using a market approach based on quoted market prices for similar securities in active markets or quoted prices for identical securities in inactive markets.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8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822"/>
              <w:spacing w:after="0"/>
              <w:rPr>
                <w:sz w:val="20"/>
                <w:szCs w:val="20"/>
                <w:color w:val="auto"/>
              </w:rPr>
            </w:pPr>
            <w:r>
              <w:rPr>
                <w:rFonts w:ascii="Arial" w:cs="Arial" w:eastAsia="Arial" w:hAnsi="Arial"/>
                <w:sz w:val="14"/>
                <w:szCs w:val="14"/>
                <w:b w:val="1"/>
                <w:bCs w:val="1"/>
                <w:color w:val="auto"/>
              </w:rPr>
              <w:t>September 30, 2023</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861"/>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43"/>
        </w:trPr>
        <w:tc>
          <w:tcPr>
            <w:tcW w:w="4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ind w:left="180"/>
              <w:spacing w:after="0" w:line="143"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2"/>
                <w:szCs w:val="12"/>
                <w:color w:val="auto"/>
              </w:rPr>
            </w:pPr>
          </w:p>
        </w:tc>
        <w:tc>
          <w:tcPr>
            <w:tcW w:w="126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2"/>
                <w:szCs w:val="12"/>
                <w:color w:val="auto"/>
              </w:rPr>
            </w:pPr>
          </w:p>
        </w:tc>
        <w:tc>
          <w:tcPr>
            <w:tcW w:w="420" w:type="dxa"/>
            <w:vAlign w:val="bottom"/>
          </w:tcPr>
          <w:p>
            <w:pPr>
              <w:spacing w:after="0"/>
              <w:rPr>
                <w:sz w:val="12"/>
                <w:szCs w:val="12"/>
                <w:color w:val="auto"/>
              </w:rPr>
            </w:pPr>
          </w:p>
        </w:tc>
        <w:tc>
          <w:tcPr>
            <w:tcW w:w="1220" w:type="dxa"/>
            <w:vAlign w:val="bottom"/>
            <w:gridSpan w:val="2"/>
          </w:tcPr>
          <w:p>
            <w:pPr>
              <w:ind w:left="60"/>
              <w:spacing w:after="0" w:line="143"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2"/>
                <w:szCs w:val="12"/>
                <w:color w:val="auto"/>
              </w:rPr>
            </w:pPr>
          </w:p>
        </w:tc>
        <w:tc>
          <w:tcPr>
            <w:tcW w:w="128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9"/>
        </w:trPr>
        <w:tc>
          <w:tcPr>
            <w:tcW w:w="4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4.375% Notes due 2028</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715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792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729</w:t>
            </w:r>
          </w:p>
        </w:tc>
        <w:tc>
          <w:tcPr>
            <w:tcW w:w="0" w:type="dxa"/>
            <w:vAlign w:val="bottom"/>
          </w:tcPr>
          <w:p>
            <w:pPr>
              <w:spacing w:after="0"/>
              <w:rPr>
                <w:sz w:val="1"/>
                <w:szCs w:val="1"/>
                <w:color w:val="auto"/>
              </w:rPr>
            </w:pP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3.875% Notes due 2030</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644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537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643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554</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3.875% Notes due 2032</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742</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601</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741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629</w:t>
            </w:r>
          </w:p>
        </w:tc>
        <w:tc>
          <w:tcPr>
            <w:tcW w:w="0" w:type="dxa"/>
            <w:vAlign w:val="bottom"/>
          </w:tcPr>
          <w:p>
            <w:pPr>
              <w:spacing w:after="0"/>
              <w:rPr>
                <w:sz w:val="1"/>
                <w:szCs w:val="1"/>
                <w:color w:val="auto"/>
              </w:rPr>
            </w:pPr>
          </w:p>
        </w:tc>
      </w:tr>
      <w:tr>
        <w:trPr>
          <w:trHeight w:val="213"/>
        </w:trPr>
        <w:tc>
          <w:tcPr>
            <w:tcW w:w="4800" w:type="dxa"/>
            <w:vAlign w:val="bottom"/>
          </w:tcPr>
          <w:p>
            <w:pPr>
              <w:ind w:left="1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2,179</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1,853</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2,176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1,912</w:t>
            </w:r>
          </w:p>
        </w:tc>
        <w:tc>
          <w:tcPr>
            <w:tcW w:w="0" w:type="dxa"/>
            <w:vAlign w:val="bottom"/>
          </w:tcPr>
          <w:p>
            <w:pPr>
              <w:spacing w:after="0"/>
              <w:rPr>
                <w:sz w:val="1"/>
                <w:szCs w:val="1"/>
                <w:color w:val="auto"/>
              </w:rPr>
            </w:pPr>
          </w:p>
        </w:tc>
      </w:tr>
      <w:tr>
        <w:trPr>
          <w:trHeight w:val="21"/>
        </w:trPr>
        <w:tc>
          <w:tcPr>
            <w:tcW w:w="4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2023 Form 10-Q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9720" w:firstLine="8"/>
        <w:spacing w:after="0" w:line="403" w:lineRule="auto"/>
        <w:tabs>
          <w:tab w:leader="none" w:pos="200" w:val="left"/>
        </w:tabs>
        <w:numPr>
          <w:ilvl w:val="0"/>
          <w:numId w:val="6"/>
        </w:numPr>
        <w:rPr>
          <w:rFonts w:ascii="Arial" w:cs="Arial" w:eastAsia="Arial" w:hAnsi="Arial"/>
          <w:sz w:val="17"/>
          <w:szCs w:val="17"/>
          <w:b w:val="1"/>
          <w:bCs w:val="1"/>
          <w:color w:val="828282"/>
        </w:rPr>
      </w:pPr>
      <w:r>
        <w:rPr>
          <w:rFonts w:ascii="Arial" w:cs="Arial" w:eastAsia="Arial" w:hAnsi="Arial"/>
          <w:sz w:val="17"/>
          <w:szCs w:val="17"/>
          <w:b w:val="1"/>
          <w:bCs w:val="1"/>
          <w:color w:val="828282"/>
        </w:rPr>
        <w:t xml:space="preserve">Investments </w:t>
      </w:r>
      <w:r>
        <w:rPr>
          <w:rFonts w:ascii="Arial" w:cs="Arial" w:eastAsia="Arial" w:hAnsi="Arial"/>
          <w:sz w:val="17"/>
          <w:szCs w:val="17"/>
          <w:b w:val="1"/>
          <w:bCs w:val="1"/>
          <w:i w:val="1"/>
          <w:iCs w:val="1"/>
          <w:color w:val="000000"/>
        </w:rPr>
        <w:t>Available-for-Sale</w:t>
      </w:r>
    </w:p>
    <w:p>
      <w:pPr>
        <w:spacing w:after="0" w:line="2" w:lineRule="exact"/>
        <w:rPr>
          <w:sz w:val="20"/>
          <w:szCs w:val="20"/>
          <w:color w:val="auto"/>
        </w:rPr>
      </w:pPr>
    </w:p>
    <w:p>
      <w:pPr>
        <w:ind w:right="860"/>
        <w:spacing w:after="0" w:line="275" w:lineRule="auto"/>
        <w:rPr>
          <w:sz w:val="20"/>
          <w:szCs w:val="20"/>
          <w:color w:val="auto"/>
        </w:rPr>
      </w:pPr>
      <w:r>
        <w:rPr>
          <w:rFonts w:ascii="Arial" w:cs="Arial" w:eastAsia="Arial" w:hAnsi="Arial"/>
          <w:sz w:val="18"/>
          <w:szCs w:val="18"/>
          <w:color w:val="auto"/>
        </w:rPr>
        <w:t>We consider all of our investments classified as current assets to be available-for-sale. The following tables summarize our current investments as of the dates indicated: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8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3"/>
          </w:tcPr>
          <w:p>
            <w:pPr>
              <w:jc w:val="center"/>
              <w:ind w:left="42"/>
              <w:spacing w:after="0"/>
              <w:rPr>
                <w:sz w:val="20"/>
                <w:szCs w:val="20"/>
                <w:color w:val="auto"/>
              </w:rPr>
            </w:pPr>
            <w:r>
              <w:rPr>
                <w:rFonts w:ascii="Arial" w:cs="Arial" w:eastAsia="Arial" w:hAnsi="Arial"/>
                <w:sz w:val="14"/>
                <w:szCs w:val="14"/>
                <w:b w:val="1"/>
                <w:bCs w:val="1"/>
                <w:color w:val="auto"/>
              </w:rPr>
              <w:t>September 30, 2023</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235"/>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center"/>
              <w:ind w:left="22"/>
              <w:spacing w:after="0"/>
              <w:rPr>
                <w:sz w:val="20"/>
                <w:szCs w:val="20"/>
                <w:color w:val="auto"/>
              </w:rPr>
            </w:pPr>
            <w:r>
              <w:rPr>
                <w:rFonts w:ascii="Arial" w:cs="Arial" w:eastAsia="Arial" w:hAnsi="Arial"/>
                <w:sz w:val="14"/>
                <w:szCs w:val="14"/>
                <w:b w:val="1"/>
                <w:bCs w:val="1"/>
                <w:color w:val="auto"/>
              </w:rPr>
              <w:t>Gross Unrealized</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97"/>
        </w:trPr>
        <w:tc>
          <w:tcPr>
            <w:tcW w:w="48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Losses</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Estimated Fair Value</w:t>
            </w:r>
          </w:p>
        </w:tc>
      </w:tr>
      <w:tr>
        <w:trPr>
          <w:trHeight w:val="236"/>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0" w:type="dxa"/>
            <w:vAlign w:val="bottom"/>
            <w:gridSpan w:val="3"/>
          </w:tcPr>
          <w:p>
            <w:pPr>
              <w:jc w:val="center"/>
              <w:ind w:left="42"/>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02"/>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2,619</w:t>
            </w: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955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888</w:t>
            </w: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w:t>
            </w: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Municipal securities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149</w:t>
            </w: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notes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37"/>
        </w:trPr>
        <w:tc>
          <w:tcPr>
            <w:tcW w:w="48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ind w:right="902"/>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ind w:right="402"/>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4,111</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432"/>
        </w:trPr>
        <w:tc>
          <w:tcPr>
            <w:tcW w:w="48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jc w:val="center"/>
              <w:ind w:left="42"/>
              <w:spacing w:after="0"/>
              <w:rPr>
                <w:sz w:val="20"/>
                <w:szCs w:val="20"/>
                <w:color w:val="auto"/>
              </w:rPr>
            </w:pPr>
            <w:r>
              <w:rPr>
                <w:rFonts w:ascii="Arial" w:cs="Arial" w:eastAsia="Arial" w:hAnsi="Arial"/>
                <w:sz w:val="14"/>
                <w:szCs w:val="14"/>
                <w:b w:val="1"/>
                <w:bCs w:val="1"/>
                <w:color w:val="auto"/>
              </w:rPr>
              <w:t>December 31, 2022</w:t>
            </w: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35"/>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center"/>
              <w:ind w:left="22"/>
              <w:spacing w:after="0"/>
              <w:rPr>
                <w:sz w:val="20"/>
                <w:szCs w:val="20"/>
                <w:color w:val="auto"/>
              </w:rPr>
            </w:pPr>
            <w:r>
              <w:rPr>
                <w:rFonts w:ascii="Arial" w:cs="Arial" w:eastAsia="Arial" w:hAnsi="Arial"/>
                <w:sz w:val="14"/>
                <w:szCs w:val="14"/>
                <w:b w:val="1"/>
                <w:bCs w:val="1"/>
                <w:color w:val="auto"/>
              </w:rPr>
              <w:t>Gross Unrealized</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97"/>
        </w:trPr>
        <w:tc>
          <w:tcPr>
            <w:tcW w:w="48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Losses</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Estimated Fair Value</w:t>
            </w:r>
          </w:p>
        </w:tc>
      </w:tr>
      <w:tr>
        <w:trPr>
          <w:trHeight w:val="236"/>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0" w:type="dxa"/>
            <w:vAlign w:val="bottom"/>
            <w:gridSpan w:val="3"/>
          </w:tcPr>
          <w:p>
            <w:pPr>
              <w:jc w:val="center"/>
              <w:ind w:left="42"/>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02"/>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2,184</w:t>
            </w: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787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731</w:t>
            </w: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Municipal securities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149</w:t>
            </w: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notes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38"/>
        </w:trPr>
        <w:tc>
          <w:tcPr>
            <w:tcW w:w="48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ind w:right="902"/>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ind w:right="402"/>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3,499</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contractual maturities of our current investments as of September 30, 2023 are summarized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vMerge w:val="restart"/>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jc w:val="right"/>
              <w:ind w:right="342"/>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89"/>
        </w:trPr>
        <w:tc>
          <w:tcPr>
            <w:tcW w:w="8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35"/>
        </w:trPr>
        <w:tc>
          <w:tcPr>
            <w:tcW w:w="8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in one year or less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474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464</w:t>
            </w:r>
          </w:p>
        </w:tc>
        <w:tc>
          <w:tcPr>
            <w:tcW w:w="0" w:type="dxa"/>
            <w:vAlign w:val="bottom"/>
          </w:tcPr>
          <w:p>
            <w:pPr>
              <w:spacing w:after="0"/>
              <w:rPr>
                <w:sz w:val="1"/>
                <w:szCs w:val="1"/>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Due after one year through five years</w:t>
            </w:r>
          </w:p>
        </w:tc>
        <w:tc>
          <w:tcPr>
            <w:tcW w:w="160" w:type="dxa"/>
            <w:vAlign w:val="bottom"/>
          </w:tcPr>
          <w:p>
            <w:pPr>
              <w:spacing w:after="0"/>
              <w:rPr>
                <w:sz w:val="18"/>
                <w:szCs w:val="18"/>
                <w:color w:val="auto"/>
              </w:rPr>
            </w:pP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2,447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2,334</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after five years through ten years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424</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Due after ten years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967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889</w:t>
            </w:r>
          </w:p>
        </w:tc>
        <w:tc>
          <w:tcPr>
            <w:tcW w:w="0" w:type="dxa"/>
            <w:vAlign w:val="bottom"/>
          </w:tcPr>
          <w:p>
            <w:pPr>
              <w:spacing w:after="0"/>
              <w:rPr>
                <w:sz w:val="1"/>
                <w:szCs w:val="1"/>
                <w:color w:val="auto"/>
              </w:rPr>
            </w:pPr>
          </w:p>
        </w:tc>
      </w:tr>
      <w:tr>
        <w:trPr>
          <w:trHeight w:val="238"/>
        </w:trPr>
        <w:tc>
          <w:tcPr>
            <w:tcW w:w="8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4,328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4,111</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Gross realized gains and losses from sales of available-for-sale securities are calculated under the specific identification method and are included in investment income. Gross realized investment gains were insignificant for the nine months ended September 30, 2023, and 2022. Gross realized investment losses amounted to $10 million in nine months ended September 30, 2023, and were reclassified into earnings from other comprehensive income on a net-of-tax basis. Gross realized investment losses were insignificant in nine months ended September 30, 2022.</w:t>
      </w:r>
    </w:p>
    <w:p>
      <w:pPr>
        <w:spacing w:after="0" w:line="84"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We have determined that unrealized losses at September 30, 2023, and December 31, 2022, primarily resulted from fluctuating interest rates, rather than a deterioration of the creditworthiness of the issuers. Therefore, we determined that an allowance for credit losses was not necessary. So long as we maintain the intent and ability to hold these securities to maturity, we are unlikely to experience losses. In the event that we dispose of these securities before maturity, we expect that realized losses, if any, will be insignificant.</w:t>
      </w: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2023 Form 10-Q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following table segregates those available-for-sale investments that have been in a continuous loss position for less than 12 months, and those that have been in a continuous loss position for 12 months or more as of September 30, 2023:</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40" w:type="dxa"/>
            <w:vAlign w:val="bottom"/>
            <w:gridSpan w:val="9"/>
          </w:tcPr>
          <w:p>
            <w:pPr>
              <w:jc w:val="center"/>
              <w:ind w:right="340"/>
              <w:spacing w:after="0"/>
              <w:rPr>
                <w:sz w:val="20"/>
                <w:szCs w:val="20"/>
                <w:color w:val="auto"/>
              </w:rPr>
            </w:pPr>
            <w:r>
              <w:rPr>
                <w:rFonts w:ascii="Arial" w:cs="Arial" w:eastAsia="Arial" w:hAnsi="Arial"/>
                <w:sz w:val="14"/>
                <w:szCs w:val="14"/>
                <w:b w:val="1"/>
                <w:bCs w:val="1"/>
                <w:color w:val="auto"/>
              </w:rPr>
              <w:t>In a Continuous Loss Position</w:t>
            </w:r>
          </w:p>
        </w:tc>
        <w:tc>
          <w:tcPr>
            <w:tcW w:w="220" w:type="dxa"/>
            <w:vAlign w:val="bottom"/>
          </w:tcPr>
          <w:p>
            <w:pPr>
              <w:spacing w:after="0"/>
              <w:rPr>
                <w:sz w:val="14"/>
                <w:szCs w:val="14"/>
                <w:color w:val="auto"/>
              </w:rPr>
            </w:pPr>
          </w:p>
        </w:tc>
        <w:tc>
          <w:tcPr>
            <w:tcW w:w="3960" w:type="dxa"/>
            <w:vAlign w:val="bottom"/>
            <w:gridSpan w:val="6"/>
          </w:tcPr>
          <w:p>
            <w:pPr>
              <w:jc w:val="center"/>
              <w:ind w:right="141"/>
              <w:spacing w:after="0"/>
              <w:rPr>
                <w:sz w:val="20"/>
                <w:szCs w:val="20"/>
                <w:color w:val="auto"/>
              </w:rPr>
            </w:pPr>
            <w:r>
              <w:rPr>
                <w:rFonts w:ascii="Arial" w:cs="Arial" w:eastAsia="Arial" w:hAnsi="Arial"/>
                <w:sz w:val="14"/>
                <w:szCs w:val="14"/>
                <w:b w:val="1"/>
                <w:bCs w:val="1"/>
                <w:color w:val="auto"/>
              </w:rPr>
              <w:t>In a Continuous Loss Position</w:t>
            </w:r>
          </w:p>
        </w:tc>
        <w:tc>
          <w:tcPr>
            <w:tcW w:w="0" w:type="dxa"/>
            <w:vAlign w:val="bottom"/>
          </w:tcPr>
          <w:p>
            <w:pPr>
              <w:spacing w:after="0"/>
              <w:rPr>
                <w:sz w:val="1"/>
                <w:szCs w:val="1"/>
                <w:color w:val="auto"/>
              </w:rPr>
            </w:pPr>
          </w:p>
        </w:tc>
      </w:tr>
      <w:tr>
        <w:trPr>
          <w:trHeight w:val="189"/>
        </w:trPr>
        <w:tc>
          <w:tcPr>
            <w:tcW w:w="2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rPr>
              <w:t>for Less than 12 Months</w:t>
            </w:r>
          </w:p>
        </w:tc>
        <w:tc>
          <w:tcPr>
            <w:tcW w:w="1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for 12 Months or More</w:t>
            </w: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63"/>
              <w:spacing w:after="0" w:line="143" w:lineRule="exact"/>
              <w:rPr>
                <w:sz w:val="20"/>
                <w:szCs w:val="20"/>
                <w:color w:val="auto"/>
              </w:rPr>
            </w:pPr>
            <w:r>
              <w:rPr>
                <w:rFonts w:ascii="Arial" w:cs="Arial" w:eastAsia="Arial" w:hAnsi="Arial"/>
                <w:sz w:val="14"/>
                <w:szCs w:val="14"/>
                <w:b w:val="1"/>
                <w:bCs w:val="1"/>
                <w:color w:val="auto"/>
              </w:rPr>
              <w:t>Estimated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rPr>
              <w:t>Unrealized</w:t>
            </w: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Number of</w:t>
            </w:r>
          </w:p>
        </w:tc>
        <w:tc>
          <w:tcPr>
            <w:tcW w:w="220" w:type="dxa"/>
            <w:vAlign w:val="bottom"/>
          </w:tcPr>
          <w:p>
            <w:pPr>
              <w:spacing w:after="0"/>
              <w:rPr>
                <w:sz w:val="12"/>
                <w:szCs w:val="12"/>
                <w:color w:val="auto"/>
              </w:rPr>
            </w:pPr>
          </w:p>
        </w:tc>
        <w:tc>
          <w:tcPr>
            <w:tcW w:w="1120" w:type="dxa"/>
            <w:vAlign w:val="bottom"/>
          </w:tcPr>
          <w:p>
            <w:pPr>
              <w:jc w:val="center"/>
              <w:ind w:right="143"/>
              <w:spacing w:after="0" w:line="143" w:lineRule="exact"/>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Unrealized</w:t>
            </w:r>
          </w:p>
        </w:tc>
        <w:tc>
          <w:tcPr>
            <w:tcW w:w="132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auto"/>
              </w:rPr>
              <w:t>Total Number of</w:t>
            </w:r>
          </w:p>
        </w:tc>
        <w:tc>
          <w:tcPr>
            <w:tcW w:w="0" w:type="dxa"/>
            <w:vAlign w:val="bottom"/>
          </w:tcPr>
          <w:p>
            <w:pPr>
              <w:spacing w:after="0"/>
              <w:rPr>
                <w:sz w:val="1"/>
                <w:szCs w:val="1"/>
                <w:color w:val="auto"/>
              </w:rPr>
            </w:pPr>
          </w:p>
        </w:tc>
      </w:tr>
      <w:tr>
        <w:trPr>
          <w:trHeight w:val="148"/>
        </w:trPr>
        <w:tc>
          <w:tcPr>
            <w:tcW w:w="2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83"/>
              <w:spacing w:after="0" w:line="148" w:lineRule="exact"/>
              <w:rPr>
                <w:sz w:val="20"/>
                <w:szCs w:val="20"/>
                <w:color w:val="auto"/>
              </w:rPr>
            </w:pPr>
            <w:r>
              <w:rPr>
                <w:rFonts w:ascii="Arial" w:cs="Arial" w:eastAsia="Arial" w:hAnsi="Arial"/>
                <w:sz w:val="14"/>
                <w:szCs w:val="14"/>
                <w:b w:val="1"/>
                <w:bCs w:val="1"/>
                <w:color w:val="auto"/>
              </w:rPr>
              <w:t>Fair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43"/>
              <w:spacing w:after="0" w:line="148"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Value</w:t>
            </w: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Positions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9"/>
              </w:rPr>
              <w:t>Losses</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Positions</w:t>
            </w:r>
          </w:p>
        </w:tc>
        <w:tc>
          <w:tcPr>
            <w:tcW w:w="0" w:type="dxa"/>
            <w:vAlign w:val="bottom"/>
          </w:tcPr>
          <w:p>
            <w:pPr>
              <w:spacing w:after="0"/>
              <w:rPr>
                <w:sz w:val="1"/>
                <w:szCs w:val="1"/>
                <w:color w:val="auto"/>
              </w:rPr>
            </w:pPr>
          </w:p>
        </w:tc>
      </w:tr>
      <w:tr>
        <w:trPr>
          <w:trHeight w:val="249"/>
        </w:trPr>
        <w:tc>
          <w:tcPr>
            <w:tcW w:w="2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80" w:type="dxa"/>
            <w:vAlign w:val="bottom"/>
            <w:gridSpan w:val="4"/>
          </w:tcPr>
          <w:p>
            <w:pPr>
              <w:jc w:val="right"/>
              <w:ind w:right="643"/>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549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1,559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785</w:t>
            </w:r>
          </w:p>
        </w:tc>
        <w:tc>
          <w:tcPr>
            <w:tcW w:w="0" w:type="dxa"/>
            <w:vAlign w:val="bottom"/>
          </w:tcPr>
          <w:p>
            <w:pPr>
              <w:spacing w:after="0"/>
              <w:rPr>
                <w:sz w:val="1"/>
                <w:szCs w:val="1"/>
                <w:color w:val="auto"/>
              </w:rPr>
            </w:pPr>
          </w:p>
        </w:tc>
      </w:tr>
      <w:tr>
        <w:trPr>
          <w:trHeight w:val="213"/>
        </w:trPr>
        <w:tc>
          <w:tcPr>
            <w:tcW w:w="276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219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567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297</w:t>
            </w: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3"/>
        </w:trPr>
        <w:tc>
          <w:tcPr>
            <w:tcW w:w="2760" w:type="dxa"/>
            <w:vAlign w:val="bottom"/>
          </w:tcPr>
          <w:p>
            <w:pPr>
              <w:ind w:left="20"/>
              <w:spacing w:after="0"/>
              <w:rPr>
                <w:sz w:val="20"/>
                <w:szCs w:val="20"/>
                <w:color w:val="auto"/>
              </w:rPr>
            </w:pPr>
            <w:r>
              <w:rPr>
                <w:rFonts w:ascii="Arial" w:cs="Arial" w:eastAsia="Arial" w:hAnsi="Arial"/>
                <w:sz w:val="16"/>
                <w:szCs w:val="16"/>
                <w:color w:val="auto"/>
              </w:rPr>
              <w:t>Municipal securities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2"/>
        </w:trPr>
        <w:tc>
          <w:tcPr>
            <w:tcW w:w="2760" w:type="dxa"/>
            <w:vAlign w:val="bottom"/>
          </w:tcPr>
          <w:p>
            <w:pPr>
              <w:ind w:left="140"/>
              <w:spacing w:after="0"/>
              <w:rPr>
                <w:sz w:val="20"/>
                <w:szCs w:val="20"/>
                <w:color w:val="auto"/>
              </w:rPr>
            </w:pPr>
            <w:r>
              <w:rPr>
                <w:rFonts w:ascii="Arial" w:cs="Arial" w:eastAsia="Arial" w:hAnsi="Arial"/>
                <w:sz w:val="16"/>
                <w:szCs w:val="16"/>
                <w:color w:val="auto"/>
              </w:rPr>
              <w:t>Total</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1,363</w:t>
            </w:r>
          </w:p>
        </w:tc>
        <w:tc>
          <w:tcPr>
            <w:tcW w:w="3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880</w:t>
            </w:r>
          </w:p>
        </w:tc>
        <w:tc>
          <w:tcPr>
            <w:tcW w:w="12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2,470</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1,321</w:t>
            </w:r>
          </w:p>
        </w:tc>
        <w:tc>
          <w:tcPr>
            <w:tcW w:w="0" w:type="dxa"/>
            <w:vAlign w:val="bottom"/>
          </w:tcPr>
          <w:p>
            <w:pPr>
              <w:spacing w:after="0"/>
              <w:rPr>
                <w:sz w:val="1"/>
                <w:szCs w:val="1"/>
                <w:color w:val="auto"/>
              </w:rPr>
            </w:pPr>
          </w:p>
        </w:tc>
      </w:tr>
      <w:tr>
        <w:trPr>
          <w:trHeight w:val="21"/>
        </w:trPr>
        <w:tc>
          <w:tcPr>
            <w:tcW w:w="2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following table segregates those available-for-sale investments that have been in a continuous loss position for less than 12 months, and those that have been in a continuous loss position for 12 months or more as of December 31, 2022:</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40" w:type="dxa"/>
            <w:vAlign w:val="bottom"/>
            <w:gridSpan w:val="9"/>
          </w:tcPr>
          <w:p>
            <w:pPr>
              <w:jc w:val="center"/>
              <w:ind w:right="320"/>
              <w:spacing w:after="0"/>
              <w:rPr>
                <w:sz w:val="20"/>
                <w:szCs w:val="20"/>
                <w:color w:val="auto"/>
              </w:rPr>
            </w:pPr>
            <w:r>
              <w:rPr>
                <w:rFonts w:ascii="Arial" w:cs="Arial" w:eastAsia="Arial" w:hAnsi="Arial"/>
                <w:sz w:val="14"/>
                <w:szCs w:val="14"/>
                <w:b w:val="1"/>
                <w:bCs w:val="1"/>
                <w:color w:val="auto"/>
              </w:rPr>
              <w:t>In a Continuous Loss Position</w:t>
            </w:r>
          </w:p>
        </w:tc>
        <w:tc>
          <w:tcPr>
            <w:tcW w:w="200" w:type="dxa"/>
            <w:vAlign w:val="bottom"/>
          </w:tcPr>
          <w:p>
            <w:pPr>
              <w:spacing w:after="0"/>
              <w:rPr>
                <w:sz w:val="14"/>
                <w:szCs w:val="14"/>
                <w:color w:val="auto"/>
              </w:rPr>
            </w:pPr>
          </w:p>
        </w:tc>
        <w:tc>
          <w:tcPr>
            <w:tcW w:w="3960" w:type="dxa"/>
            <w:vAlign w:val="bottom"/>
            <w:gridSpan w:val="6"/>
          </w:tcPr>
          <w:p>
            <w:pPr>
              <w:jc w:val="center"/>
              <w:ind w:right="121"/>
              <w:spacing w:after="0"/>
              <w:rPr>
                <w:sz w:val="20"/>
                <w:szCs w:val="20"/>
                <w:color w:val="auto"/>
              </w:rPr>
            </w:pPr>
            <w:r>
              <w:rPr>
                <w:rFonts w:ascii="Arial" w:cs="Arial" w:eastAsia="Arial" w:hAnsi="Arial"/>
                <w:sz w:val="14"/>
                <w:szCs w:val="14"/>
                <w:b w:val="1"/>
                <w:bCs w:val="1"/>
                <w:color w:val="auto"/>
              </w:rPr>
              <w:t>In a Continuous Loss Position</w:t>
            </w:r>
          </w:p>
        </w:tc>
        <w:tc>
          <w:tcPr>
            <w:tcW w:w="0" w:type="dxa"/>
            <w:vAlign w:val="bottom"/>
          </w:tcPr>
          <w:p>
            <w:pPr>
              <w:spacing w:after="0"/>
              <w:rPr>
                <w:sz w:val="1"/>
                <w:szCs w:val="1"/>
                <w:color w:val="auto"/>
              </w:rPr>
            </w:pPr>
          </w:p>
        </w:tc>
      </w:tr>
      <w:tr>
        <w:trPr>
          <w:trHeight w:val="189"/>
        </w:trPr>
        <w:tc>
          <w:tcPr>
            <w:tcW w:w="2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rPr>
              <w:t>for Less than 12 Months</w:t>
            </w: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for 12 Months or More</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62"/>
              <w:spacing w:after="0" w:line="142" w:lineRule="exact"/>
              <w:rPr>
                <w:sz w:val="20"/>
                <w:szCs w:val="20"/>
                <w:color w:val="auto"/>
              </w:rPr>
            </w:pPr>
            <w:r>
              <w:rPr>
                <w:rFonts w:ascii="Arial" w:cs="Arial" w:eastAsia="Arial" w:hAnsi="Arial"/>
                <w:sz w:val="14"/>
                <w:szCs w:val="14"/>
                <w:b w:val="1"/>
                <w:bCs w:val="1"/>
                <w:color w:val="auto"/>
              </w:rPr>
              <w:t>Estimated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rPr>
              <w:t>Unrealized</w:t>
            </w: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Number of</w:t>
            </w:r>
          </w:p>
        </w:tc>
        <w:tc>
          <w:tcPr>
            <w:tcW w:w="200" w:type="dxa"/>
            <w:vAlign w:val="bottom"/>
          </w:tcPr>
          <w:p>
            <w:pPr>
              <w:spacing w:after="0"/>
              <w:rPr>
                <w:sz w:val="12"/>
                <w:szCs w:val="12"/>
                <w:color w:val="auto"/>
              </w:rPr>
            </w:pPr>
          </w:p>
        </w:tc>
        <w:tc>
          <w:tcPr>
            <w:tcW w:w="1120" w:type="dxa"/>
            <w:vAlign w:val="bottom"/>
          </w:tcPr>
          <w:p>
            <w:pPr>
              <w:jc w:val="center"/>
              <w:ind w:right="122"/>
              <w:spacing w:after="0" w:line="142" w:lineRule="exact"/>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Unrealized</w:t>
            </w:r>
          </w:p>
        </w:tc>
        <w:tc>
          <w:tcPr>
            <w:tcW w:w="130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auto"/>
              </w:rPr>
              <w:t>Total Number of</w:t>
            </w: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rPr>
              <w:t>Fair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Value</w:t>
            </w: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Positions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6"/>
                <w:szCs w:val="16"/>
                <w:color w:val="auto"/>
              </w:rPr>
            </w:pPr>
          </w:p>
        </w:tc>
        <w:tc>
          <w:tcPr>
            <w:tcW w:w="13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Positions</w:t>
            </w:r>
          </w:p>
        </w:tc>
        <w:tc>
          <w:tcPr>
            <w:tcW w:w="0" w:type="dxa"/>
            <w:vAlign w:val="bottom"/>
          </w:tcPr>
          <w:p>
            <w:pPr>
              <w:spacing w:after="0"/>
              <w:rPr>
                <w:sz w:val="1"/>
                <w:szCs w:val="1"/>
                <w:color w:val="auto"/>
              </w:rPr>
            </w:pPr>
          </w:p>
        </w:tc>
      </w:tr>
      <w:tr>
        <w:trPr>
          <w:trHeight w:val="249"/>
        </w:trPr>
        <w:tc>
          <w:tcPr>
            <w:tcW w:w="2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40" w:type="dxa"/>
            <w:vAlign w:val="bottom"/>
            <w:gridSpan w:val="4"/>
          </w:tcPr>
          <w:p>
            <w:pPr>
              <w:jc w:val="right"/>
              <w:ind w:right="622"/>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887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color w:val="auto"/>
              </w:rPr>
              <w:t>Municipal securities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notes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3"/>
        </w:trPr>
        <w:tc>
          <w:tcPr>
            <w:tcW w:w="2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1,858</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1,398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Investments Held-to-Maturity</w:t>
      </w:r>
    </w:p>
    <w:p>
      <w:pPr>
        <w:spacing w:after="0" w:line="12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Pursuant to the regulations governing our state health plan subsidiaries, we maintain statutory deposits and deposits required by government authorities primarily in cash, cash equivalents, U.S. Treasury securities, and corporate debt securities. We also maintain restricted investments as protection against the insolvency of certain capitated providers. The use of these funds is limited as required by regulations in the various states in which we operate, or as needed in the event of insolvency of capitated providers. Therefore, such investments are reported as “Restricted investments” in the accompanying consolidated balance sheets.</w:t>
      </w:r>
    </w:p>
    <w:p>
      <w:pPr>
        <w:spacing w:after="0" w:line="84"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We have the ability to hold these restricted investments until maturity and, as a result, we would not expect the value of these investments to decline significantly due to a sudden change in market interest rates. Our held-to-maturity restricted investments are carried at amortized cost, which approximates fair value. Such investments amounted to $261 million at September 30, 2023, of which $100 million will mature in one year or less, $155 million will mature in one through five years, and $6 million will mature after five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2023 Form 10-Q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7. Medical Claims and Benefits Payable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details of our medical claims and benefits payable as of the dates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340" w:type="dxa"/>
            <w:vAlign w:val="bottom"/>
          </w:tcPr>
          <w:p>
            <w:pPr>
              <w:jc w:val="right"/>
              <w:ind w:right="222"/>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8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2022</w:t>
            </w:r>
          </w:p>
        </w:tc>
      </w:tr>
      <w:tr>
        <w:trPr>
          <w:trHeight w:val="235"/>
        </w:trPr>
        <w:tc>
          <w:tcPr>
            <w:tcW w:w="8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0" w:type="dxa"/>
            <w:vAlign w:val="bottom"/>
            <w:gridSpan w:val="4"/>
          </w:tcPr>
          <w:p>
            <w:pPr>
              <w:jc w:val="right"/>
              <w:ind w:right="1102"/>
              <w:spacing w:after="0"/>
              <w:rPr>
                <w:sz w:val="20"/>
                <w:szCs w:val="20"/>
                <w:color w:val="auto"/>
              </w:rPr>
            </w:pPr>
            <w:r>
              <w:rPr>
                <w:rFonts w:ascii="Arial" w:cs="Arial" w:eastAsia="Arial" w:hAnsi="Arial"/>
                <w:sz w:val="14"/>
                <w:szCs w:val="14"/>
                <w:b w:val="1"/>
                <w:bCs w:val="1"/>
                <w:color w:val="auto"/>
              </w:rPr>
              <w:t>(In millions)</w:t>
            </w:r>
          </w:p>
        </w:tc>
      </w:tr>
      <w:tr>
        <w:trPr>
          <w:trHeight w:val="21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Claims incurred but not paid (“IBNP”)</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2,597</w:t>
            </w: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color w:val="auto"/>
              </w:rPr>
              <w:t>Pharmacy payable</w:t>
            </w:r>
          </w:p>
        </w:tc>
        <w:tc>
          <w:tcPr>
            <w:tcW w:w="180" w:type="dxa"/>
            <w:vAlign w:val="bottom"/>
          </w:tcPr>
          <w:p>
            <w:pPr>
              <w:spacing w:after="0"/>
              <w:rPr>
                <w:sz w:val="18"/>
                <w:szCs w:val="18"/>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206</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Capitation payable</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94</w:t>
            </w:r>
          </w:p>
        </w:tc>
      </w:tr>
      <w:tr>
        <w:trPr>
          <w:trHeight w:val="21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1,031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631</w:t>
            </w:r>
          </w:p>
        </w:tc>
      </w:tr>
      <w:tr>
        <w:trPr>
          <w:trHeight w:val="237"/>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4,235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3,528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52"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“Other” medical claims and benefits payable include amounts payable to certain providers for which we act as an intermediary on behalf of various government agencies without assuming financial risk. Such receipts and payments do not impact our consolidated statements of income. Non-risk provider payables amounted to $554 million and $228 million as of September 30, 2023, and December 31, 2022, respectively.</w:t>
      </w:r>
    </w:p>
    <w:p>
      <w:pPr>
        <w:spacing w:after="0" w:line="82" w:lineRule="exact"/>
        <w:rPr>
          <w:sz w:val="20"/>
          <w:szCs w:val="20"/>
          <w:color w:val="auto"/>
        </w:rPr>
      </w:pPr>
    </w:p>
    <w:p>
      <w:pPr>
        <w:ind w:right="360"/>
        <w:spacing w:after="0" w:line="258" w:lineRule="auto"/>
        <w:rPr>
          <w:sz w:val="20"/>
          <w:szCs w:val="20"/>
          <w:color w:val="auto"/>
        </w:rPr>
      </w:pPr>
      <w:r>
        <w:rPr>
          <w:rFonts w:ascii="Arial" w:cs="Arial" w:eastAsia="Arial" w:hAnsi="Arial"/>
          <w:sz w:val="18"/>
          <w:szCs w:val="18"/>
          <w:color w:val="auto"/>
        </w:rPr>
        <w:t>The following tables present the components of the change in our medical claims and benefits payable for the periods indicated. The amounts presented for “Components of medical care costs related to: Prior years” represent the amount by which our original estimate of medical claims and benefits payable at the beginning of the year varied from the actual liabilities, based on information (principally the payment of claims) developed since those liabilities were first reported.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rPr>
              <w:t>Nine Months Ended September 30, 2023</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196"/>
        </w:trPr>
        <w:tc>
          <w:tcPr>
            <w:tcW w:w="5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Medicaid</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Medicare</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Marketplace</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Consolidated</w:t>
            </w:r>
          </w:p>
        </w:tc>
      </w:tr>
      <w:tr>
        <w:trPr>
          <w:trHeight w:val="236"/>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17"/>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Medical claims and benefits payable, beginning balance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3,528</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Components of medical care costs related to:</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year</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21,573</w:t>
            </w:r>
          </w:p>
        </w:tc>
      </w:tr>
      <w:tr>
        <w:trPr>
          <w:trHeight w:val="213"/>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Prior years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w:t>
            </w:r>
          </w:p>
        </w:tc>
      </w:tr>
      <w:tr>
        <w:trPr>
          <w:trHeight w:val="213"/>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medical care costs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17,303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2,805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21,215</w:t>
            </w:r>
          </w:p>
        </w:tc>
      </w:tr>
      <w:tr>
        <w:trPr>
          <w:trHeight w:val="193"/>
        </w:trPr>
        <w:tc>
          <w:tcPr>
            <w:tcW w:w="5160" w:type="dxa"/>
            <w:vAlign w:val="bottom"/>
          </w:tcPr>
          <w:p>
            <w:pPr>
              <w:ind w:left="20"/>
              <w:spacing w:after="0"/>
              <w:rPr>
                <w:sz w:val="20"/>
                <w:szCs w:val="20"/>
                <w:color w:val="auto"/>
              </w:rPr>
            </w:pPr>
            <w:r>
              <w:rPr>
                <w:rFonts w:ascii="Arial" w:cs="Arial" w:eastAsia="Arial" w:hAnsi="Arial"/>
                <w:sz w:val="16"/>
                <w:szCs w:val="16"/>
                <w:color w:val="auto"/>
              </w:rPr>
              <w:t>Payments for medical care costs related to:</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9"/>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year</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18,228</w:t>
            </w:r>
          </w:p>
        </w:tc>
      </w:tr>
      <w:tr>
        <w:trPr>
          <w:trHeight w:val="213"/>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Prior years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424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2,707</w:t>
            </w:r>
          </w:p>
        </w:tc>
      </w:tr>
      <w:tr>
        <w:trPr>
          <w:trHeight w:val="213"/>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paid</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17,035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2,764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20,935</w:t>
            </w:r>
          </w:p>
        </w:tc>
      </w:tr>
      <w:tr>
        <w:trPr>
          <w:trHeight w:val="206"/>
        </w:trPr>
        <w:tc>
          <w:tcPr>
            <w:tcW w:w="5160" w:type="dxa"/>
            <w:vAlign w:val="bottom"/>
          </w:tcPr>
          <w:p>
            <w:pPr>
              <w:ind w:left="20"/>
              <w:spacing w:after="0"/>
              <w:rPr>
                <w:sz w:val="20"/>
                <w:szCs w:val="20"/>
                <w:color w:val="auto"/>
              </w:rPr>
            </w:pPr>
            <w:r>
              <w:rPr>
                <w:rFonts w:ascii="Arial" w:cs="Arial" w:eastAsia="Arial" w:hAnsi="Arial"/>
                <w:sz w:val="16"/>
                <w:szCs w:val="16"/>
                <w:color w:val="auto"/>
              </w:rPr>
              <w:t>Acquired balances, net of post-acquisition adjustments</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non-risk and other provider payables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Medical claims and benefits payable, ending balance</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3,501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502</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232</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4,235</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Molina Healthcare, Inc. September 30, 2023 Form 10-Q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rPr>
              <w:t>Nine Months Ended September 30, 2022</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196"/>
        </w:trPr>
        <w:tc>
          <w:tcPr>
            <w:tcW w:w="5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Medicaid</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Medicare</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Marketplace</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Consolidated</w:t>
            </w:r>
          </w:p>
        </w:tc>
      </w:tr>
      <w:tr>
        <w:trPr>
          <w:trHeight w:val="237"/>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17"/>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Medical claims and benefits payable, beginning balance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3,363</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Components of medical care costs related to:</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year</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20,521</w:t>
            </w:r>
          </w:p>
        </w:tc>
      </w:tr>
      <w:tr>
        <w:trPr>
          <w:trHeight w:val="213"/>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Prior years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w:t>
            </w:r>
          </w:p>
        </w:tc>
      </w:tr>
      <w:tr>
        <w:trPr>
          <w:trHeight w:val="213"/>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medical care costs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16,238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2,487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20,183</w:t>
            </w:r>
          </w:p>
        </w:tc>
      </w:tr>
      <w:tr>
        <w:trPr>
          <w:trHeight w:val="193"/>
        </w:trPr>
        <w:tc>
          <w:tcPr>
            <w:tcW w:w="5160" w:type="dxa"/>
            <w:vAlign w:val="bottom"/>
          </w:tcPr>
          <w:p>
            <w:pPr>
              <w:ind w:left="20"/>
              <w:spacing w:after="0"/>
              <w:rPr>
                <w:sz w:val="20"/>
                <w:szCs w:val="20"/>
                <w:color w:val="auto"/>
              </w:rPr>
            </w:pPr>
            <w:r>
              <w:rPr>
                <w:rFonts w:ascii="Arial" w:cs="Arial" w:eastAsia="Arial" w:hAnsi="Arial"/>
                <w:sz w:val="16"/>
                <w:szCs w:val="16"/>
                <w:color w:val="auto"/>
              </w:rPr>
              <w:t>Payments for medical care costs related to:</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9"/>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year</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17,538</w:t>
            </w:r>
          </w:p>
        </w:tc>
      </w:tr>
      <w:tr>
        <w:trPr>
          <w:trHeight w:val="213"/>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Prior years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337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2,481</w:t>
            </w:r>
          </w:p>
        </w:tc>
      </w:tr>
      <w:tr>
        <w:trPr>
          <w:trHeight w:val="213"/>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paid</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15,994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2,440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20,019</w:t>
            </w:r>
          </w:p>
        </w:tc>
      </w:tr>
      <w:tr>
        <w:trPr>
          <w:trHeight w:val="206"/>
        </w:trPr>
        <w:tc>
          <w:tcPr>
            <w:tcW w:w="5160" w:type="dxa"/>
            <w:vAlign w:val="bottom"/>
          </w:tcPr>
          <w:p>
            <w:pPr>
              <w:ind w:left="20"/>
              <w:spacing w:after="0"/>
              <w:rPr>
                <w:sz w:val="20"/>
                <w:szCs w:val="20"/>
                <w:color w:val="auto"/>
              </w:rPr>
            </w:pPr>
            <w:r>
              <w:rPr>
                <w:rFonts w:ascii="Arial" w:cs="Arial" w:eastAsia="Arial" w:hAnsi="Arial"/>
                <w:sz w:val="16"/>
                <w:szCs w:val="16"/>
                <w:color w:val="auto"/>
              </w:rPr>
              <w:t>Acquired balances, net of post-acquisition adjustments</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non-risk and other provider payables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Medical claims and benefits payable, ending balance</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2,923</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447</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252</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3,622</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5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Our estimates of medical claims and benefits payable recorded at December 31, 2022, and 2021 developed favorably by approximately $358 million and $338 million as of September 30, 2023, and 2022, respectively.</w:t>
      </w:r>
    </w:p>
    <w:p>
      <w:pPr>
        <w:spacing w:after="0" w:line="6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favorable prior year development recognized in the nine months ended September 30, 2023 was primarily due to lower than expected utilization of medical services by our members and improved operating performance. Consequently, the ultimate costs recognized in 2023, as claims payments were processed, were lower than our estimates in 2022.</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8. Debt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outstanding debt obligations, all of which are non-current as of the dates reported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340" w:type="dxa"/>
            <w:vAlign w:val="bottom"/>
          </w:tcPr>
          <w:p>
            <w:pPr>
              <w:jc w:val="right"/>
              <w:ind w:right="222"/>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8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2022</w:t>
            </w:r>
          </w:p>
        </w:tc>
      </w:tr>
      <w:tr>
        <w:trPr>
          <w:trHeight w:val="236"/>
        </w:trPr>
        <w:tc>
          <w:tcPr>
            <w:tcW w:w="8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0" w:type="dxa"/>
            <w:vAlign w:val="bottom"/>
            <w:gridSpan w:val="4"/>
          </w:tcPr>
          <w:p>
            <w:pPr>
              <w:jc w:val="right"/>
              <w:ind w:right="1102"/>
              <w:spacing w:after="0"/>
              <w:rPr>
                <w:sz w:val="20"/>
                <w:szCs w:val="20"/>
                <w:color w:val="auto"/>
              </w:rPr>
            </w:pPr>
            <w:r>
              <w:rPr>
                <w:rFonts w:ascii="Arial" w:cs="Arial" w:eastAsia="Arial" w:hAnsi="Arial"/>
                <w:sz w:val="14"/>
                <w:szCs w:val="14"/>
                <w:b w:val="1"/>
                <w:bCs w:val="1"/>
                <w:color w:val="auto"/>
              </w:rPr>
              <w:t>(In millions)</w:t>
            </w:r>
          </w:p>
        </w:tc>
      </w:tr>
      <w:tr>
        <w:trPr>
          <w:trHeight w:val="21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Non-current long-term debt: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4.375% Notes due 2028</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800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800</w:t>
            </w: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3.875% Notes due 2030</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650</w:t>
            </w: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3.875% Notes due 2032</w:t>
            </w:r>
          </w:p>
        </w:tc>
        <w:tc>
          <w:tcPr>
            <w:tcW w:w="180" w:type="dxa"/>
            <w:vAlign w:val="bottom"/>
          </w:tcPr>
          <w:p>
            <w:pPr>
              <w:spacing w:after="0"/>
              <w:rPr>
                <w:sz w:val="18"/>
                <w:szCs w:val="18"/>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750</w:t>
            </w:r>
          </w:p>
        </w:tc>
      </w:tr>
      <w:tr>
        <w:trPr>
          <w:trHeight w:val="216"/>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debt issuance costs</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13"/>
        </w:trPr>
        <w:tc>
          <w:tcPr>
            <w:tcW w:w="8020" w:type="dxa"/>
            <w:vAlign w:val="bottom"/>
          </w:tcPr>
          <w:p>
            <w:pPr>
              <w:ind w:left="36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2,179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2,176</w:t>
            </w:r>
          </w:p>
        </w:tc>
      </w:tr>
      <w:tr>
        <w:trPr>
          <w:trHeight w:val="20"/>
        </w:trPr>
        <w:tc>
          <w:tcPr>
            <w:tcW w:w="8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2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are party to a credit agreement (the “Credit Agreement”) which includes a revolving credit facility (“Credit Facility”) of $1.0 billion, among other provisions. The Credit Agreement has a term of five years, and all amounts outstanding will be due and payable on June 8, 2025. Borrowings under the Credit Agreement bear interest based, at our election, on a base rate or other defined rate, plus in each case, the applicable margin. In addition to interest payable on the principal amount of indebtedness outstanding from time to time under the Credit Agreement, we are required to pay a quarterly commitment fee.</w:t>
      </w:r>
    </w:p>
    <w:p>
      <w:pPr>
        <w:spacing w:after="0" w:line="84"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Effective April 26, 2023, we amended the Credit Agreement to transition from the use of the London Interbank Offered Rate, or LIBOR, to the Secured Overnight Financing Rate, or SOFR, as a benchmark interest rate used in the Credit Agreement.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We have other relationships, including financial advisory and banking, with some parties to the Credit Agreement.</w:t>
      </w: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2023 Form 10-Q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Credit Agreement contains customary non-financial and financial covenants. As of September 30, 2023, we were in compliance with all financial and non-financial covenants under the Credit Agreement. As of September 30, 2023, no amounts were outstanding under the Credit Facility.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2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senior notes are described below. Each of these notes are senior unsecured obligations of the parent corporation, Molina Healthcare, Inc., and rank equally in right of payment with all existing and future senior debt, and senior to all existing and future subordinated debt of Molina Healthcare, Inc. In addition, each of the indentures governing the senior notes contain customary non-financial covenants and change of control provisions. As of September 30, 2023, we were in compliance with all non-financial covenants in the indentures governing the senior notes.</w:t>
      </w:r>
    </w:p>
    <w:p>
      <w:pPr>
        <w:spacing w:after="0" w:line="84"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The indentures governing the senior notes contain cross-default provisions that are triggered upon default by us or any of our subsidiaries on any indebtedness in excess of the amount specified in the applicable indenture.</w:t>
      </w:r>
    </w:p>
    <w:p>
      <w:pPr>
        <w:spacing w:after="0" w:line="60" w:lineRule="exact"/>
        <w:rPr>
          <w:sz w:val="20"/>
          <w:szCs w:val="20"/>
          <w:color w:val="auto"/>
        </w:rPr>
      </w:pPr>
    </w:p>
    <w:p>
      <w:pPr>
        <w:jc w:val="both"/>
        <w:ind w:right="980"/>
        <w:spacing w:after="0" w:line="266" w:lineRule="auto"/>
        <w:rPr>
          <w:sz w:val="20"/>
          <w:szCs w:val="20"/>
          <w:color w:val="auto"/>
        </w:rPr>
      </w:pPr>
      <w:r>
        <w:rPr>
          <w:rFonts w:ascii="Arial" w:cs="Arial" w:eastAsia="Arial" w:hAnsi="Arial"/>
          <w:sz w:val="18"/>
          <w:szCs w:val="18"/>
          <w:i w:val="1"/>
          <w:iCs w:val="1"/>
          <w:color w:val="auto"/>
        </w:rPr>
        <w:t xml:space="preserve">4.375% Notes due 2028. </w:t>
      </w:r>
      <w:r>
        <w:rPr>
          <w:rFonts w:ascii="Arial" w:cs="Arial" w:eastAsia="Arial" w:hAnsi="Arial"/>
          <w:sz w:val="18"/>
          <w:szCs w:val="18"/>
          <w:color w:val="auto"/>
        </w:rPr>
        <w:t>We had $800 million aggregate principal amount of senior notes (the “4.375% Notes”) outstanding as of</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2023, which are due June 15, 2028, unless earlier redeemed. Interest, at a rate of 4.375% per annum, is payable semiannually in arrears on June 15 and December 15.</w:t>
      </w:r>
    </w:p>
    <w:p>
      <w:pPr>
        <w:spacing w:after="0" w:line="68"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i w:val="1"/>
          <w:iCs w:val="1"/>
          <w:color w:val="auto"/>
        </w:rPr>
        <w:t xml:space="preserve">3.875% Notes due 2030. </w:t>
      </w:r>
      <w:r>
        <w:rPr>
          <w:rFonts w:ascii="Arial" w:cs="Arial" w:eastAsia="Arial" w:hAnsi="Arial"/>
          <w:sz w:val="18"/>
          <w:szCs w:val="18"/>
          <w:color w:val="auto"/>
        </w:rPr>
        <w:t>We had $650 million aggregate principal amount of senior notes (the “3.875% Notes due 2030”) outstanding as of</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2023, which are due November 15, 2030, unless earlier redeemed. Interest, at a rate of 3.875% per annum, is payable semiannually in arrears on May 15 and November 15.</w:t>
      </w:r>
    </w:p>
    <w:p>
      <w:pPr>
        <w:spacing w:after="0" w:line="68"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i w:val="1"/>
          <w:iCs w:val="1"/>
          <w:color w:val="auto"/>
        </w:rPr>
        <w:t xml:space="preserve">3.875% Notes due 2032. </w:t>
      </w:r>
      <w:r>
        <w:rPr>
          <w:rFonts w:ascii="Arial" w:cs="Arial" w:eastAsia="Arial" w:hAnsi="Arial"/>
          <w:sz w:val="18"/>
          <w:szCs w:val="18"/>
          <w:color w:val="auto"/>
        </w:rPr>
        <w:t>We had $750 million aggregate principal amount of senior notes (the “3.875% Notes due 2032”) outstanding as of</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2023, which are due May 15, 2032, unless earlier redeemed. Interest, at a rate of 3.875% per annum, is payable semiannually in arrears on May 15 and November 15.</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9. Stockholders' Equity</w:t>
      </w:r>
    </w:p>
    <w:p>
      <w:pPr>
        <w:spacing w:after="0" w:line="12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 September 2023, our board of directors authorized the purchase of up to $ 750 million of our common stock. This new program supersedes the stock purchase program previously approved by our board of directors in November 2022 and extends through December 31, 2024. The exact timing and amount of any repurchase is determined by management based on market conditions and share price, in addition to other factors, and subject to the restrictions relating to volume, price, and timing under applicable law.</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10. Segments</w:t>
      </w:r>
    </w:p>
    <w:p>
      <w:pPr>
        <w:spacing w:after="0" w:line="127"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We currently have four reportable segments consisting of: 1) Medicaid; 2) Medicare; 3) Marketplace; and 4) Other. Our reportable segments are consistent with how we currently manage the business and view the markets we serve.</w:t>
      </w:r>
    </w:p>
    <w:p>
      <w:pPr>
        <w:spacing w:after="0" w:line="66" w:lineRule="exact"/>
        <w:rPr>
          <w:sz w:val="20"/>
          <w:szCs w:val="20"/>
          <w:color w:val="auto"/>
        </w:rPr>
      </w:pPr>
    </w:p>
    <w:p>
      <w:pPr>
        <w:jc w:val="both"/>
        <w:ind w:right="700"/>
        <w:spacing w:after="0" w:line="263" w:lineRule="auto"/>
        <w:rPr>
          <w:sz w:val="20"/>
          <w:szCs w:val="20"/>
          <w:color w:val="auto"/>
        </w:rPr>
      </w:pPr>
      <w:r>
        <w:rPr>
          <w:rFonts w:ascii="Arial" w:cs="Arial" w:eastAsia="Arial" w:hAnsi="Arial"/>
          <w:sz w:val="18"/>
          <w:szCs w:val="18"/>
          <w:color w:val="auto"/>
        </w:rPr>
        <w:t>The Medicaid, Medicare, and Marketplace segments represent the government-funded or sponsored programs under which we offer managed healthcare services. The Other segment, which is insignificant to our consolidated results of operations, includes long-term services and supports consultative services in Wisconsin.</w:t>
      </w:r>
    </w:p>
    <w:p>
      <w:pPr>
        <w:spacing w:after="0" w:line="7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key metrics used to assess the performance of our Medicaid, Medicare, and Marketplace segments are premium revenue, medical margin and medical care ratio (“MCR”). MCR represents the amount of medical care costs as a percentage of premium revenue. Therefore, the underlying medical margin, or the amount earned by the Medicaid, Medicare, and Marketplace segments after medical costs are deducted from premium revenue, represents the most important measure of earnings reviewed by management, and is used by our chief executive officer to review results, assess performance, and allocate resources. The key metric used to assess the performance of our Other segment is service margin. The service margin is equal to service revenue minus cost of service revenue. We do not report total assets by segment because this is not a metric used to assess segment performance or allocate resources.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2023 Form 10-Q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total revenue by segment. Inter-segment revenue was insignificant for all periods presented.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820" w:type="dxa"/>
            <w:vAlign w:val="bottom"/>
          </w:tcPr>
          <w:p>
            <w:pPr>
              <w:spacing w:after="0"/>
              <w:rPr>
                <w:sz w:val="17"/>
                <w:szCs w:val="17"/>
                <w:color w:val="auto"/>
              </w:rPr>
            </w:pPr>
          </w:p>
        </w:tc>
        <w:tc>
          <w:tcPr>
            <w:tcW w:w="324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Pr>
          <w:p>
            <w:pPr>
              <w:spacing w:after="0"/>
              <w:rPr>
                <w:sz w:val="17"/>
                <w:szCs w:val="17"/>
                <w:color w:val="auto"/>
              </w:rPr>
            </w:pPr>
          </w:p>
        </w:tc>
        <w:tc>
          <w:tcPr>
            <w:tcW w:w="2780" w:type="dxa"/>
            <w:vAlign w:val="bottom"/>
            <w:gridSpan w:val="4"/>
          </w:tcPr>
          <w:p>
            <w:pPr>
              <w:jc w:val="right"/>
              <w:ind w:right="321"/>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82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2022</w:t>
            </w:r>
          </w:p>
        </w:tc>
      </w:tr>
      <w:tr>
        <w:trPr>
          <w:trHeight w:val="236"/>
        </w:trPr>
        <w:tc>
          <w:tcPr>
            <w:tcW w:w="4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17"/>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3"/>
        </w:trPr>
        <w:tc>
          <w:tcPr>
            <w:tcW w:w="4820" w:type="dxa"/>
            <w:vAlign w:val="bottom"/>
          </w:tcPr>
          <w:p>
            <w:pPr>
              <w:ind w:left="220"/>
              <w:spacing w:after="0"/>
              <w:rPr>
                <w:sz w:val="20"/>
                <w:szCs w:val="20"/>
                <w:color w:val="auto"/>
              </w:rPr>
            </w:pPr>
            <w:r>
              <w:rPr>
                <w:rFonts w:ascii="Arial" w:cs="Arial" w:eastAsia="Arial" w:hAnsi="Arial"/>
                <w:sz w:val="16"/>
                <w:szCs w:val="16"/>
                <w:color w:val="auto"/>
              </w:rPr>
              <w:t>Medicaid</w:t>
            </w:r>
          </w:p>
        </w:tc>
        <w:tc>
          <w:tcPr>
            <w:tcW w:w="980" w:type="dxa"/>
            <w:vAlign w:val="bottom"/>
          </w:tcPr>
          <w:p>
            <w:pPr>
              <w:jc w:val="right"/>
              <w:ind w:right="804"/>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6,976</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6,380</w:t>
            </w:r>
          </w:p>
        </w:tc>
        <w:tc>
          <w:tcPr>
            <w:tcW w:w="8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20,282</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19,091</w:t>
            </w:r>
          </w:p>
        </w:tc>
      </w:tr>
      <w:tr>
        <w:trPr>
          <w:trHeight w:val="219"/>
        </w:trPr>
        <w:tc>
          <w:tcPr>
            <w:tcW w:w="4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Medicare</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955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3,157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2,867</w:t>
            </w:r>
          </w:p>
        </w:tc>
      </w:tr>
      <w:tr>
        <w:trPr>
          <w:trHeight w:val="213"/>
        </w:trPr>
        <w:tc>
          <w:tcPr>
            <w:tcW w:w="4820" w:type="dxa"/>
            <w:vAlign w:val="bottom"/>
          </w:tcPr>
          <w:p>
            <w:pPr>
              <w:ind w:left="220"/>
              <w:spacing w:after="0"/>
              <w:rPr>
                <w:sz w:val="20"/>
                <w:szCs w:val="20"/>
                <w:color w:val="auto"/>
              </w:rPr>
            </w:pPr>
            <w:r>
              <w:rPr>
                <w:rFonts w:ascii="Arial" w:cs="Arial" w:eastAsia="Arial" w:hAnsi="Arial"/>
                <w:sz w:val="16"/>
                <w:szCs w:val="16"/>
                <w:color w:val="auto"/>
              </w:rPr>
              <w:t>Marketplace</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507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575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1,528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1,740</w:t>
            </w:r>
          </w:p>
        </w:tc>
      </w:tr>
      <w:tr>
        <w:trPr>
          <w:trHeight w:val="216"/>
        </w:trPr>
        <w:tc>
          <w:tcPr>
            <w:tcW w:w="4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53</w:t>
            </w:r>
          </w:p>
        </w:tc>
      </w:tr>
      <w:tr>
        <w:trPr>
          <w:trHeight w:val="213"/>
        </w:trPr>
        <w:tc>
          <w:tcPr>
            <w:tcW w:w="4820" w:type="dxa"/>
            <w:vAlign w:val="bottom"/>
          </w:tcPr>
          <w:p>
            <w:pPr>
              <w:ind w:left="480"/>
              <w:spacing w:after="0"/>
              <w:rPr>
                <w:sz w:val="20"/>
                <w:szCs w:val="20"/>
                <w:color w:val="auto"/>
              </w:rPr>
            </w:pPr>
            <w:r>
              <w:rPr>
                <w:rFonts w:ascii="Arial" w:cs="Arial" w:eastAsia="Arial" w:hAnsi="Arial"/>
                <w:sz w:val="16"/>
                <w:szCs w:val="16"/>
                <w:color w:val="auto"/>
              </w:rPr>
              <w:t>Total</w:t>
            </w:r>
          </w:p>
        </w:tc>
        <w:tc>
          <w:tcPr>
            <w:tcW w:w="980" w:type="dxa"/>
            <w:vAlign w:val="bottom"/>
            <w:tcBorders>
              <w:bottom w:val="single" w:sz="8" w:color="auto"/>
            </w:tcBorders>
          </w:tcPr>
          <w:p>
            <w:pPr>
              <w:jc w:val="right"/>
              <w:ind w:right="804"/>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8,548</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7,927</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25,024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23,751</w:t>
            </w:r>
          </w:p>
        </w:tc>
      </w:tr>
      <w:tr>
        <w:trPr>
          <w:trHeight w:val="21"/>
        </w:trPr>
        <w:tc>
          <w:tcPr>
            <w:tcW w:w="48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margin by segment to consolidated income before income taxes.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800" w:type="dxa"/>
            <w:vAlign w:val="bottom"/>
          </w:tcPr>
          <w:p>
            <w:pPr>
              <w:spacing w:after="0"/>
              <w:rPr>
                <w:sz w:val="17"/>
                <w:szCs w:val="17"/>
                <w:color w:val="auto"/>
              </w:rPr>
            </w:pPr>
          </w:p>
        </w:tc>
        <w:tc>
          <w:tcPr>
            <w:tcW w:w="326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7"/>
                <w:szCs w:val="17"/>
                <w:color w:val="auto"/>
              </w:rPr>
            </w:pPr>
          </w:p>
        </w:tc>
        <w:tc>
          <w:tcPr>
            <w:tcW w:w="280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80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2022</w:t>
            </w:r>
          </w:p>
        </w:tc>
      </w:tr>
      <w:tr>
        <w:trPr>
          <w:trHeight w:val="236"/>
        </w:trPr>
        <w:tc>
          <w:tcPr>
            <w:tcW w:w="4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Margin:</w:t>
            </w: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3"/>
        </w:trPr>
        <w:tc>
          <w:tcPr>
            <w:tcW w:w="4800" w:type="dxa"/>
            <w:vAlign w:val="bottom"/>
          </w:tcPr>
          <w:p>
            <w:pPr>
              <w:ind w:left="220"/>
              <w:spacing w:after="0"/>
              <w:rPr>
                <w:sz w:val="20"/>
                <w:szCs w:val="20"/>
                <w:color w:val="auto"/>
              </w:rPr>
            </w:pPr>
            <w:r>
              <w:rPr>
                <w:rFonts w:ascii="Arial" w:cs="Arial" w:eastAsia="Arial" w:hAnsi="Arial"/>
                <w:sz w:val="16"/>
                <w:szCs w:val="16"/>
                <w:color w:val="auto"/>
              </w:rPr>
              <w:t>Medicaid</w:t>
            </w:r>
          </w:p>
        </w:tc>
        <w:tc>
          <w:tcPr>
            <w:tcW w:w="1020" w:type="dxa"/>
            <w:vAlign w:val="bottom"/>
          </w:tcPr>
          <w:p>
            <w:pPr>
              <w:jc w:val="right"/>
              <w:ind w:right="844"/>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752</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703</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2,242</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2,168</w:t>
            </w:r>
          </w:p>
        </w:tc>
      </w:tr>
      <w:tr>
        <w:trPr>
          <w:trHeight w:val="219"/>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Medicare</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w:t>
            </w:r>
          </w:p>
        </w:tc>
      </w:tr>
      <w:tr>
        <w:trPr>
          <w:trHeight w:val="213"/>
        </w:trPr>
        <w:tc>
          <w:tcPr>
            <w:tcW w:w="4800" w:type="dxa"/>
            <w:vAlign w:val="bottom"/>
          </w:tcPr>
          <w:p>
            <w:pPr>
              <w:ind w:left="220"/>
              <w:spacing w:after="0"/>
              <w:rPr>
                <w:sz w:val="20"/>
                <w:szCs w:val="20"/>
                <w:color w:val="auto"/>
              </w:rPr>
            </w:pPr>
            <w:r>
              <w:rPr>
                <w:rFonts w:ascii="Arial" w:cs="Arial" w:eastAsia="Arial" w:hAnsi="Arial"/>
                <w:sz w:val="16"/>
                <w:szCs w:val="16"/>
                <w:color w:val="auto"/>
              </w:rPr>
              <w:t>Marketplace</w:t>
            </w: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393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255</w:t>
            </w:r>
          </w:p>
        </w:tc>
      </w:tr>
      <w:tr>
        <w:trPr>
          <w:trHeight w:val="219"/>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10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06"/>
        </w:trPr>
        <w:tc>
          <w:tcPr>
            <w:tcW w:w="4800" w:type="dxa"/>
            <w:vAlign w:val="bottom"/>
          </w:tcPr>
          <w:p>
            <w:pPr>
              <w:ind w:left="360"/>
              <w:spacing w:after="0"/>
              <w:rPr>
                <w:sz w:val="20"/>
                <w:szCs w:val="20"/>
                <w:color w:val="auto"/>
              </w:rPr>
            </w:pPr>
            <w:r>
              <w:rPr>
                <w:rFonts w:ascii="Arial" w:cs="Arial" w:eastAsia="Arial" w:hAnsi="Arial"/>
                <w:sz w:val="16"/>
                <w:szCs w:val="16"/>
                <w:color w:val="auto"/>
              </w:rPr>
              <w:t>Total margin</w:t>
            </w:r>
          </w:p>
        </w:tc>
        <w:tc>
          <w:tcPr>
            <w:tcW w:w="10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936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890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2,959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2,791</w:t>
            </w:r>
          </w:p>
        </w:tc>
      </w:tr>
      <w:tr>
        <w:trPr>
          <w:trHeight w:val="219"/>
        </w:trPr>
        <w:tc>
          <w:tcPr>
            <w:tcW w:w="480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Add: other operating revenues </w:t>
            </w:r>
            <w:r>
              <w:rPr>
                <w:rFonts w:ascii="Arial" w:cs="Arial" w:eastAsia="Arial" w:hAnsi="Arial"/>
                <w:sz w:val="21"/>
                <w:szCs w:val="21"/>
                <w:color w:val="auto"/>
                <w:vertAlign w:val="superscript"/>
              </w:rPr>
              <w:t>(1)</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w:t>
            </w:r>
          </w:p>
        </w:tc>
      </w:tr>
      <w:tr>
        <w:trPr>
          <w:trHeight w:val="216"/>
        </w:trPr>
        <w:tc>
          <w:tcPr>
            <w:tcW w:w="480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Less: other operating expenses </w:t>
            </w:r>
            <w:r>
              <w:rPr>
                <w:rFonts w:ascii="Arial" w:cs="Arial" w:eastAsia="Arial" w:hAnsi="Arial"/>
                <w:sz w:val="21"/>
                <w:szCs w:val="21"/>
                <w:color w:val="auto"/>
                <w:vertAlign w:val="superscript"/>
              </w:rPr>
              <w:t>(2)</w:t>
            </w:r>
          </w:p>
        </w:tc>
        <w:tc>
          <w:tcPr>
            <w:tcW w:w="10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(2,455)</w:t>
            </w:r>
          </w:p>
        </w:tc>
      </w:tr>
      <w:tr>
        <w:trPr>
          <w:trHeight w:val="210"/>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income</w:t>
            </w: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1,257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1,068</w:t>
            </w:r>
          </w:p>
        </w:tc>
      </w:tr>
      <w:tr>
        <w:trPr>
          <w:trHeight w:val="213"/>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expenses, net</w:t>
            </w:r>
          </w:p>
        </w:tc>
        <w:tc>
          <w:tcPr>
            <w:tcW w:w="10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r>
      <w:tr>
        <w:trPr>
          <w:trHeight w:val="238"/>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 expense</w:t>
            </w:r>
          </w:p>
        </w:tc>
        <w:tc>
          <w:tcPr>
            <w:tcW w:w="1020" w:type="dxa"/>
            <w:vAlign w:val="bottom"/>
            <w:tcBorders>
              <w:bottom w:val="single" w:sz="8" w:color="auto"/>
            </w:tcBorders>
            <w:shd w:val="clear" w:color="auto" w:fill="CCEEFF"/>
          </w:tcPr>
          <w:p>
            <w:pPr>
              <w:jc w:val="right"/>
              <w:ind w:right="844"/>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1,175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985</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66"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Other operating revenues include premium tax revenue, investment income, and certain other revenue.</w:t>
      </w:r>
    </w:p>
    <w:p>
      <w:pPr>
        <w:spacing w:after="0" w:line="17" w:lineRule="exact"/>
        <w:rPr>
          <w:rFonts w:ascii="Arial" w:cs="Arial" w:eastAsia="Arial" w:hAnsi="Arial"/>
          <w:sz w:val="16"/>
          <w:szCs w:val="16"/>
          <w:color w:val="auto"/>
        </w:rPr>
      </w:pPr>
    </w:p>
    <w:p>
      <w:pPr>
        <w:ind w:left="340" w:right="560" w:hanging="332"/>
        <w:spacing w:after="0" w:line="260" w:lineRule="auto"/>
        <w:tabs>
          <w:tab w:leader="none" w:pos="335" w:val="left"/>
        </w:tabs>
        <w:numPr>
          <w:ilvl w:val="0"/>
          <w:numId w:val="7"/>
        </w:numPr>
        <w:rPr>
          <w:rFonts w:ascii="Arial" w:cs="Arial" w:eastAsia="Arial" w:hAnsi="Arial"/>
          <w:sz w:val="16"/>
          <w:szCs w:val="16"/>
          <w:color w:val="auto"/>
        </w:rPr>
      </w:pPr>
      <w:r>
        <w:rPr>
          <w:rFonts w:ascii="Arial" w:cs="Arial" w:eastAsia="Arial" w:hAnsi="Arial"/>
          <w:sz w:val="16"/>
          <w:szCs w:val="16"/>
          <w:color w:val="auto"/>
        </w:rPr>
        <w:t>Other operating expenses include general and administrative expenses, premium tax expenses, depreciation and amortization, and certain other operating expenses, including a credit loss charge of $41 million as described in Note 2.</w:t>
      </w:r>
    </w:p>
    <w:p>
      <w:pPr>
        <w:spacing w:after="0" w:line="76" w:lineRule="exact"/>
        <w:rPr>
          <w:sz w:val="20"/>
          <w:szCs w:val="20"/>
          <w:color w:val="auto"/>
        </w:rPr>
      </w:pPr>
    </w:p>
    <w:p>
      <w:pPr>
        <w:ind w:right="8080" w:firstLine="8"/>
        <w:spacing w:after="0" w:line="381" w:lineRule="auto"/>
        <w:tabs>
          <w:tab w:leader="none" w:pos="290" w:val="left"/>
        </w:tabs>
        <w:numPr>
          <w:ilvl w:val="0"/>
          <w:numId w:val="8"/>
        </w:numPr>
        <w:rPr>
          <w:rFonts w:ascii="Arial" w:cs="Arial" w:eastAsia="Arial" w:hAnsi="Arial"/>
          <w:sz w:val="18"/>
          <w:szCs w:val="18"/>
          <w:b w:val="1"/>
          <w:bCs w:val="1"/>
          <w:color w:val="828282"/>
        </w:rPr>
      </w:pPr>
      <w:r>
        <w:rPr>
          <w:rFonts w:ascii="Arial" w:cs="Arial" w:eastAsia="Arial" w:hAnsi="Arial"/>
          <w:sz w:val="18"/>
          <w:szCs w:val="18"/>
          <w:b w:val="1"/>
          <w:bCs w:val="1"/>
          <w:color w:val="828282"/>
        </w:rPr>
        <w:t xml:space="preserve">Commitments and Contingencies </w:t>
      </w:r>
      <w:r>
        <w:rPr>
          <w:rFonts w:ascii="Arial" w:cs="Arial" w:eastAsia="Arial" w:hAnsi="Arial"/>
          <w:sz w:val="18"/>
          <w:szCs w:val="18"/>
          <w:b w:val="1"/>
          <w:bCs w:val="1"/>
          <w:i w:val="1"/>
          <w:iCs w:val="1"/>
          <w:color w:val="000000"/>
        </w:rPr>
        <w:t>Overview</w:t>
      </w:r>
    </w:p>
    <w:p>
      <w:pPr>
        <w:spacing w:after="0" w:line="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healthcare industry is subject to numerous laws and regulations of federal, state, and local governments, as well as various contractual provisions, governing our operations. Compliance with these laws, regulations, and contractual provisions can be subject to government audit, review, and interpretation, as well as regulatory actions. Penalties associated with violations of these laws, regulations, and contractual provisions can include significant fines and penalties, temporary or permanent exclusion from participating in publicly funded programs, a limitation on our ability to market or sell products, the repayment of previously billed and collected revenues, and reputational damage.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are involved in legal actions in the ordinary course of business including, but not limited to, various employment claims, vendor disputes and provider claims. Some of these legal actions seek monetary damages, including claims for punitive damages, which may not be covered by insurance. We review legal matters and update our estimates of reasonably possible losses and related disclosures, as necessary. We have accrued liabilities for legal matters for which we deem the loss to be both probable and reasonably estimable. These liability estimates could change as a result of further developments of the matters. The outcome of legal actions is inherently uncertain. An adverse determination in one or more of these pending matters could have an adverse effect on our consolidated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2023 Form 10-Q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i w:val="1"/>
          <w:iCs w:val="1"/>
          <w:color w:val="auto"/>
        </w:rPr>
        <w:t>Kentucky RFP</w:t>
      </w:r>
      <w:r>
        <w:rPr>
          <w:rFonts w:ascii="Arial" w:cs="Arial" w:eastAsia="Arial" w:hAnsi="Arial"/>
          <w:sz w:val="18"/>
          <w:szCs w:val="18"/>
          <w:color w:val="auto"/>
        </w:rPr>
        <w:t>. On September 4, 2020, Anthem Kentucky Managed Care Plan, Inc. (“Anthem”) brought an action in Franklin County Circuit</w:t>
      </w:r>
      <w:r>
        <w:rPr>
          <w:rFonts w:ascii="Arial" w:cs="Arial" w:eastAsia="Arial" w:hAnsi="Arial"/>
          <w:sz w:val="18"/>
          <w:szCs w:val="18"/>
          <w:i w:val="1"/>
          <w:iCs w:val="1"/>
          <w:color w:val="auto"/>
        </w:rPr>
        <w:t xml:space="preserve"> </w:t>
      </w:r>
      <w:r>
        <w:rPr>
          <w:rFonts w:ascii="Arial" w:cs="Arial" w:eastAsia="Arial" w:hAnsi="Arial"/>
          <w:sz w:val="18"/>
          <w:szCs w:val="18"/>
          <w:color w:val="auto"/>
        </w:rPr>
        <w:t>Court against the Kentucky Finance and Administration Cabinet, the Kentucky Cabinet for Health and Family Services, and all of the five winning bidder health plans, including our Kentucky health plan. On September 9, 2022, the Kentucky Court of Appeals ruled that, with regard to the earlier Circuit Court ruling granting Anthem relief, the Circuit Court should not have invalidated the 2020 procurement and thus should not have awarded a contract to Anthem. Anthem sought discretionary review by the Kentucky Supreme Court (“KSC”) of the ruling by the Court of Appeals. On April 19, 2023, KSC granted Anthem’s request for discretionary review and ordered legal briefing, which the parties completed in September 2023. KSC is expected to schedule oral argument. Pending further KSC order, our Kentucky health plan will continue to operate for the foreseeable future under its current Medicaid contract. At this time, the Company cannot predict the outcome, or provide a reasonable estimate or range of estimates of the possible outcome or loss, if any, in this matter.</w:t>
      </w:r>
    </w:p>
    <w:p>
      <w:pPr>
        <w:spacing w:after="0" w:line="8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Puerto Rico. </w:t>
      </w:r>
      <w:r>
        <w:rPr>
          <w:rFonts w:ascii="Arial" w:cs="Arial" w:eastAsia="Arial" w:hAnsi="Arial"/>
          <w:sz w:val="18"/>
          <w:szCs w:val="18"/>
          <w:color w:val="auto"/>
        </w:rPr>
        <w:t>On August 13, 2021, Molina Healthcare of Puerto Rico, Inc. (“MHPR”) filed a complaint with the Commonwealth of Puerto Rico,</w:t>
      </w:r>
      <w:r>
        <w:rPr>
          <w:rFonts w:ascii="Arial" w:cs="Arial" w:eastAsia="Arial" w:hAnsi="Arial"/>
          <w:sz w:val="18"/>
          <w:szCs w:val="18"/>
          <w:i w:val="1"/>
          <w:iCs w:val="1"/>
          <w:color w:val="auto"/>
        </w:rPr>
        <w:t xml:space="preserve"> </w:t>
      </w:r>
      <w:r>
        <w:rPr>
          <w:rFonts w:ascii="Arial" w:cs="Arial" w:eastAsia="Arial" w:hAnsi="Arial"/>
          <w:sz w:val="18"/>
          <w:szCs w:val="18"/>
          <w:color w:val="auto"/>
        </w:rPr>
        <w:t>Court of First Instance, San Juan (State Court) asserting, among other claims, breach of contract against Puerto Rico Health Insurance Administration (“ASES”). On September 13, 2021, ASES filed a counterclaim and a third-party complaint against MHPR and the Company. The parties are engaged in settlement conversations. A status hearing was held on September 28, 2023, in which ASES and Molina informed the Court of the ongoing settlement conversations. The Court scheduled a status conference for January 17, 2024, to receive an update on settlement and at this time, the Company cannot predict the outcome, or provide a reasonable estimate or range of estimates of the possible outcome or loss, if any, in this matter.</w:t>
      </w: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2023 Form 10-Q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ind w:right="120"/>
        <w:spacing w:after="0" w:line="289" w:lineRule="auto"/>
        <w:rPr>
          <w:sz w:val="20"/>
          <w:szCs w:val="20"/>
          <w:color w:val="auto"/>
        </w:rPr>
      </w:pPr>
      <w:r>
        <w:rPr>
          <w:rFonts w:ascii="Arial" w:cs="Arial" w:eastAsia="Arial" w:hAnsi="Arial"/>
          <w:sz w:val="22"/>
          <w:szCs w:val="22"/>
          <w:b w:val="1"/>
          <w:bCs w:val="1"/>
          <w:color w:val="0F7C7F"/>
        </w:rPr>
        <w:t>MANAGEMENT’S DISCUSSION AND ANALYSIS OF FINANCIAL CONDITION AND RESULTS OF OPERATIONS (“MD&amp;A”)</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FORWARD-LOOKING STATEMENTS</w:t>
      </w:r>
    </w:p>
    <w:p>
      <w:pPr>
        <w:spacing w:after="0" w:line="12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This Quarterly Report on Form 10-Q contains forward-looking statements. We intend such forward-looking statements to be covered under the safe harbor provisions for forward-looking statements contained in Section 27A of the Securities Act of 1933, or Securities Act, and Section 21E of the Securities Exchange Act of 1934, or Securities Exchange Act. Many of the forward-looking statements are located under the heading “Management’s Discussion and Analysis of Financial Condition and Results of Operations.” Forward -looking statements provide current expectations of future events based on certain assumptions, and all statements other than statements of historical fact contained in this Quarterly Report on Form 10-Q may be forward-looking statements. In some cases, you can identify forward-looking statements by words such as “guidance,” “future,” “anticipates,” “believes,” “embedded,” “estimates,” “expects,” “growth,” “intends,” “plans,” “predicts,” “projects,” “will,” “would,” “could,” “can,” “may,” or the negative of these terms or other similar expressions. Forward-looking statements contained in this Quarterly Report on Form 10-Q include, but are not limited to, statements regarding our future results of operations and financial position, industry and business trends, regulatory developments, business strategy, strategic transactions and commercial arrangements, membership and market growth and our objectives for future operations.</w:t>
      </w:r>
    </w:p>
    <w:p>
      <w:pPr>
        <w:spacing w:after="0" w:line="93"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Readers are cautioned not to place undue reliance on any forward-looking statements, as forward-looking statements are not guarantees of future performance and the Company’s actual results may differ significantly due to numerous known and unknown risks and uncertainties. Those known risks and uncertainties include, but are not limited to, the risk factors identified in the section titled “Risk Factors” in our 2022 Annual Report on Form 10-K, including without limitation risks related to the following matters:</w:t>
      </w:r>
    </w:p>
    <w:p>
      <w:pPr>
        <w:spacing w:after="0" w:line="76" w:lineRule="exact"/>
        <w:rPr>
          <w:sz w:val="20"/>
          <w:szCs w:val="20"/>
          <w:color w:val="auto"/>
        </w:rPr>
      </w:pPr>
    </w:p>
    <w:p>
      <w:pPr>
        <w:ind w:left="340" w:right="100" w:hanging="332"/>
        <w:spacing w:after="0" w:line="255" w:lineRule="auto"/>
        <w:tabs>
          <w:tab w:leader="none" w:pos="335"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Medicaid redeterminations across the country following the ending of the Public Health Emergency (“PHE”) for the COVID-19 pandemic, including the accuracy of our projections regarding the number of members we expect to retain, their health acuity levels, and the scale of the transition of members out of the Medicaid program and the actuarially sound adjustment of rates with regard to the remaining population;</w:t>
      </w:r>
    </w:p>
    <w:p>
      <w:pPr>
        <w:spacing w:after="0" w:line="2" w:lineRule="exact"/>
        <w:rPr>
          <w:rFonts w:ascii="Arial" w:cs="Arial" w:eastAsia="Arial" w:hAnsi="Arial"/>
          <w:sz w:val="18"/>
          <w:szCs w:val="18"/>
          <w:i w:val="1"/>
          <w:iCs w:val="1"/>
          <w:color w:val="auto"/>
        </w:rPr>
      </w:pPr>
    </w:p>
    <w:p>
      <w:pPr>
        <w:ind w:left="340" w:right="540" w:hanging="332"/>
        <w:spacing w:after="0" w:line="250"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budget pressures on state governments following the ending of the PHE and reduced federal matching funds, and states’ efforts to reduce rates or limit rate increases;</w:t>
      </w:r>
    </w:p>
    <w:p>
      <w:pPr>
        <w:jc w:val="both"/>
        <w:ind w:left="340" w:right="780" w:hanging="332"/>
        <w:spacing w:after="0" w:line="250"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the constantly evolving market dynamics surrounding the Affordable Care Act (</w:t>
      </w:r>
      <w:r>
        <w:rPr>
          <w:rFonts w:ascii="Arial" w:cs="Arial" w:eastAsia="Arial" w:hAnsi="Arial"/>
          <w:sz w:val="18"/>
          <w:szCs w:val="18"/>
          <w:color w:val="auto"/>
        </w:rPr>
        <w:t>“</w:t>
      </w:r>
      <w:r>
        <w:rPr>
          <w:rFonts w:ascii="Arial" w:cs="Arial" w:eastAsia="Arial" w:hAnsi="Arial"/>
          <w:sz w:val="18"/>
          <w:szCs w:val="18"/>
          <w:i w:val="1"/>
          <w:iCs w:val="1"/>
          <w:color w:val="auto"/>
        </w:rPr>
        <w:t>ACA”) Marketplaces, including issues impacting enrollment, special enrollment periods, member choice, risk adjustment estimates and results, Marketplace plan insolvencies or receiverships, and the potential for disproportionate enrollment of higher acuity members;</w:t>
      </w:r>
    </w:p>
    <w:p>
      <w:pPr>
        <w:spacing w:after="0" w:line="1" w:lineRule="exact"/>
        <w:rPr>
          <w:rFonts w:ascii="Arial" w:cs="Arial" w:eastAsia="Arial" w:hAnsi="Arial"/>
          <w:sz w:val="18"/>
          <w:szCs w:val="18"/>
          <w:color w:val="auto"/>
        </w:rPr>
      </w:pPr>
    </w:p>
    <w:p>
      <w:pPr>
        <w:ind w:left="340" w:right="740" w:hanging="332"/>
        <w:spacing w:after="0" w:line="250"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the success of our efforts to retain existing or awarded government contracts, the success of our bid submissions in response to requests for proposal, and our ability to identify merger and acquisition targets to support our continued growth over time;</w:t>
      </w:r>
    </w:p>
    <w:p>
      <w:pPr>
        <w:ind w:left="340" w:right="700" w:hanging="332"/>
        <w:spacing w:after="0" w:line="250"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the success of the scaling up of our operations in California, New Mexico and Nebraska in connection with our recent request for proposal (“RFP”) wins, and the satisfaction of all readiness review requirements under the new Medicaid contracts;</w:t>
      </w:r>
    </w:p>
    <w:p>
      <w:pPr>
        <w:ind w:left="340" w:right="820" w:hanging="332"/>
        <w:spacing w:after="0" w:line="250" w:lineRule="auto"/>
        <w:tabs>
          <w:tab w:leader="none" w:pos="335"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close, integrate, and realize benefits from acquisitions, including the acquisitions of AgeWell New York, My Choice Wisconsin, Brand New Day and Central Health Plan of California;</w:t>
      </w:r>
    </w:p>
    <w:p>
      <w:pPr>
        <w:ind w:left="340" w:right="180" w:hanging="332"/>
        <w:spacing w:after="0" w:line="250"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subsequent adjustments to reported premium revenue based upon subsequent developments or new information, including changes to estimated amounts payable or receivable related to Marketplace risk adjustment;</w:t>
      </w: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effective management of our medical costs;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our ability to predict with a reasonable degree of accuracy utilization rates;</w:t>
      </w:r>
    </w:p>
    <w:p>
      <w:pPr>
        <w:spacing w:after="0" w:line="9" w:lineRule="exact"/>
        <w:rPr>
          <w:rFonts w:ascii="Arial" w:cs="Arial" w:eastAsia="Arial" w:hAnsi="Arial"/>
          <w:sz w:val="18"/>
          <w:szCs w:val="18"/>
          <w:color w:val="auto"/>
        </w:rPr>
      </w:pPr>
    </w:p>
    <w:p>
      <w:pPr>
        <w:ind w:left="340" w:right="240" w:hanging="332"/>
        <w:spacing w:after="0" w:line="250"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cyber-attacks, ransomware attacks, or other privacy or data security incidents involving either ourselves or our contracted vendors that result in an inadvertent unauthorized disclosure of protected information, and the extent to which our working in a remote work environment heightens our exposure to these risks;</w:t>
      </w:r>
    </w:p>
    <w:p>
      <w:pPr>
        <w:spacing w:after="0" w:line="1" w:lineRule="exact"/>
        <w:rPr>
          <w:rFonts w:ascii="Arial" w:cs="Arial" w:eastAsia="Arial" w:hAnsi="Arial"/>
          <w:sz w:val="18"/>
          <w:szCs w:val="18"/>
          <w:color w:val="auto"/>
        </w:rPr>
      </w:pPr>
    </w:p>
    <w:p>
      <w:pPr>
        <w:ind w:left="340" w:right="1220" w:hanging="332"/>
        <w:spacing w:after="0" w:line="250"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the ability to manage our operations, including maintaining and creating adequate internal systems and controls relating to authorizations, approvals, provider payments, and the overall success of our care management initiatives;</w:t>
      </w:r>
    </w:p>
    <w:p>
      <w:pPr>
        <w:ind w:left="340" w:right="860" w:hanging="332"/>
        <w:spacing w:after="0" w:line="261"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the impact of our transition to a permanent remote work environment, including any associated impairment charges or contract termination costs;</w:t>
      </w: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2023 Form 10-Q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ind w:left="340" w:right="200" w:hanging="332"/>
        <w:spacing w:after="0" w:line="260"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our receipt of adequate premium rates to support increasing pharmacy costs, including costs associated with specialty drugs and costs resulting from formulary changes that allow the option of higher-priced non-generic drugs;</w:t>
      </w:r>
    </w:p>
    <w:p>
      <w:pPr>
        <w:spacing w:after="0" w:line="1" w:lineRule="exact"/>
        <w:rPr>
          <w:rFonts w:ascii="Arial" w:cs="Arial" w:eastAsia="Arial" w:hAnsi="Arial"/>
          <w:sz w:val="18"/>
          <w:szCs w:val="18"/>
          <w:color w:val="auto"/>
        </w:rPr>
      </w:pPr>
    </w:p>
    <w:p>
      <w:pPr>
        <w:ind w:left="340" w:right="140" w:hanging="332"/>
        <w:spacing w:after="0" w:line="250"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our ability to operate profitably in an environment where the trend in premium rate increases lags behind the trend in increasing medical costs;</w:t>
      </w:r>
    </w:p>
    <w:p>
      <w:pPr>
        <w:ind w:left="340" w:right="120" w:hanging="332"/>
        <w:spacing w:after="0" w:line="250"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the interpretation and implementation of federal or state medical cost expenditure floors, administrative cost and profit ceilings, premium stabilization programs, profit-sharing arrangements, and risk adjustment provisions and requirements;</w:t>
      </w:r>
    </w:p>
    <w:p>
      <w:pPr>
        <w:ind w:left="340" w:right="380" w:hanging="332"/>
        <w:spacing w:after="0" w:line="250"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our estimates of amounts owed for such minimum annual medical loss ratio (“Minimum MLR”), administrative cost and profit ceilings, premium stabilization programs, profit-sharing arrangements, and risk adjustment provisions and requirements;</w:t>
      </w:r>
    </w:p>
    <w:p>
      <w:pPr>
        <w:ind w:left="340" w:right="40" w:hanging="332"/>
        <w:spacing w:after="0" w:line="250"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the Medicaid expansion medical cost corridor, and any other retroactive adjustment to revenue where methodologies and procedures are subject to interpretation or dependent upon information about the health status of participants other than Molina members;</w:t>
      </w:r>
    </w:p>
    <w:p>
      <w:pPr>
        <w:ind w:left="340" w:right="200" w:hanging="332"/>
        <w:spacing w:after="0" w:line="250"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the interpretation and implementation of at-risk premium rules and state contract performance requirements regarding the achievement of certain quality measures, and our ability to recognize revenue amounts associated therewith;</w:t>
      </w:r>
    </w:p>
    <w:p>
      <w:pPr>
        <w:ind w:left="340" w:right="220" w:hanging="332"/>
        <w:spacing w:after="0" w:line="250"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the success and continuance of programs in California, Illinois, Michigan, Ohio, South Carolina, and Texas serving those dually eligible for both Medicaid and Medicare;</w:t>
      </w:r>
    </w:p>
    <w:p>
      <w:pPr>
        <w:ind w:left="340" w:right="220" w:hanging="332"/>
        <w:spacing w:after="0" w:line="250" w:lineRule="auto"/>
        <w:tabs>
          <w:tab w:leader="none" w:pos="335"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the increasing integration of Medicare and Medicaid programmatic and compliance requirements, and the extension or incorporation of federal Medicare requirements developed by CMS into state-administered Medicaid programs;</w:t>
      </w:r>
    </w:p>
    <w:p>
      <w:pPr>
        <w:ind w:left="320" w:hanging="312"/>
        <w:spacing w:after="0"/>
        <w:tabs>
          <w:tab w:leader="none" w:pos="32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the accurate estimation of incurred but not reported or paid medical costs across our health plans;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efforts by states to recoup previously paid and recognized premium amounts;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changes in our annual effective tax rate, due to federal and/or state legislation, or changes in our mix of earnings and other factors;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the efficient and effective operations of the vendors on whom our business relies;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complications, member confusion, eligibility redeterminations, or enrollment backlogs related to the renewal of Medicaid coverage;</w:t>
      </w:r>
    </w:p>
    <w:p>
      <w:pPr>
        <w:spacing w:after="0" w:line="9" w:lineRule="exact"/>
        <w:rPr>
          <w:rFonts w:ascii="Arial" w:cs="Arial" w:eastAsia="Arial" w:hAnsi="Arial"/>
          <w:sz w:val="18"/>
          <w:szCs w:val="18"/>
          <w:color w:val="auto"/>
        </w:rPr>
      </w:pPr>
    </w:p>
    <w:p>
      <w:pPr>
        <w:ind w:left="340" w:right="540" w:hanging="332"/>
        <w:spacing w:after="0" w:line="250"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fraud, waste and abuse matters, government audits or reviews, comment letters, or potential investigations, and any fine, sanction, enrollment freeze, corrective action plan, monitoring program, or premium recovery that may result therefrom;</w:t>
      </w:r>
    </w:p>
    <w:p>
      <w:pPr>
        <w:ind w:left="340" w:right="540" w:hanging="332"/>
        <w:spacing w:after="0" w:line="250"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the success of our providers, including delegated providers, the adequacy of our provider networks, the successful maintenance of relations with our providers, and the potential loss of providers;</w:t>
      </w: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approval by state regulators of dividends and distributions by our health plan subsidiaries;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changes in funding under our contracts as a result of regulatory changes, programmatic adjustments, or other reforms;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high dollar claims related to catastrophic illness;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the resolution of litigation, arbitration, or administrative proceedings;</w:t>
      </w:r>
    </w:p>
    <w:p>
      <w:pPr>
        <w:spacing w:after="0" w:line="9" w:lineRule="exact"/>
        <w:rPr>
          <w:rFonts w:ascii="Arial" w:cs="Arial" w:eastAsia="Arial" w:hAnsi="Arial"/>
          <w:sz w:val="18"/>
          <w:szCs w:val="18"/>
          <w:color w:val="auto"/>
        </w:rPr>
      </w:pPr>
    </w:p>
    <w:p>
      <w:pPr>
        <w:ind w:left="340" w:right="660" w:hanging="332"/>
        <w:spacing w:after="0" w:line="250"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the greater scale and revenues of our health plans in California, New York, Ohio, Texas, and Washington, and risks related to the concentration of our business in those states;</w:t>
      </w:r>
    </w:p>
    <w:p>
      <w:pPr>
        <w:ind w:left="340" w:right="420" w:hanging="332"/>
        <w:spacing w:after="0" w:line="250"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the failure to comply with the financial or other covenants in our credit agreement or the indentures governing our outstanding senior notes;</w:t>
      </w:r>
    </w:p>
    <w:p>
      <w:pPr>
        <w:ind w:left="340" w:hanging="332"/>
        <w:spacing w:after="0" w:line="250"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the availability of adequate financing on acceptable terms to fund and capitalize our expansion and growth, repay our outstanding indebtedness at maturity, and meet our general liquidity needs;</w:t>
      </w: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the failure of a state in which we operate to renew its federal Medicaid waiver;</w:t>
      </w:r>
    </w:p>
    <w:p>
      <w:pPr>
        <w:spacing w:after="0" w:line="9" w:lineRule="exact"/>
        <w:rPr>
          <w:rFonts w:ascii="Arial" w:cs="Arial" w:eastAsia="Arial" w:hAnsi="Arial"/>
          <w:sz w:val="18"/>
          <w:szCs w:val="18"/>
          <w:color w:val="auto"/>
        </w:rPr>
      </w:pPr>
    </w:p>
    <w:p>
      <w:pPr>
        <w:ind w:left="340" w:right="120" w:hanging="332"/>
        <w:spacing w:after="0" w:line="250"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changes generally affecting the managed care industry, including any new federal or state legislation that impacts the business space in which we operate;</w:t>
      </w: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increases in government surcharges, taxes, and assessments;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the impact of inflation on our medical costs and the cost of refinancing our outstanding indebtedness;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the unexpected loss of the leadership of one or more of our senior executives; and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increasing competition and consolidation in the Medicaid industry.</w:t>
      </w:r>
    </w:p>
    <w:p>
      <w:pPr>
        <w:spacing w:after="0" w:line="10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Each of the terms “Molina Healthcare, Inc.” “Molina Healthcare,” “Company,” “we,” “our,” and “us,” as used herein, refers collectively to Molina Healthcare, Inc. and its wholly owned subsidiaries, unless otherwise stated.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We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2023 Form 10-Q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qualify all of our forward-looking statements by these cautionary statements. These forward-looking statements speak only as of the date of this Quarterly Report on Form 10-Q. The Company assumes no obligation to revise or update any forward-looking statements for any reason, except as required by law.</w:t>
      </w:r>
    </w:p>
    <w:p>
      <w:pPr>
        <w:spacing w:after="0" w:line="7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This Quarterly Report on Form 10-Q and the following discussion of our financial condition and results of operations should be read in conjunction with the accompanying consolidated financial statements and the notes to those statements appearing elsewhere in this report, and the audited financial statements and Management’s Discussion and Analysis appearing in our 2022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2023 Form 10-Q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OVERVIEW</w:t>
      </w:r>
    </w:p>
    <w:p>
      <w:pPr>
        <w:spacing w:after="0" w:line="11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Molina Healthcare, Inc., a FORTUNE 500 company, provides managed healthcare services under the Medicaid and Medicare programs, and through the state insurance marketplaces (the “Marketplace”). We served approximately 5.2 million members as of September 30, 2023, located across 20 states.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THIRD QUARTER 2023 HIGHLIGHTS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We reported net income of $245 million, or $4.21 per diluted share, for the third quarter of 2023, which reflected the following:</w:t>
      </w:r>
    </w:p>
    <w:p>
      <w:pPr>
        <w:spacing w:after="0" w:line="117" w:lineRule="exact"/>
        <w:rPr>
          <w:sz w:val="20"/>
          <w:szCs w:val="20"/>
          <w:color w:val="auto"/>
        </w:rPr>
      </w:pPr>
    </w:p>
    <w:p>
      <w:pPr>
        <w:ind w:left="660" w:right="20" w:hanging="328"/>
        <w:spacing w:after="0" w:line="255"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Membership of 5.2 million at September 30, 2023, which increased 31,000, or 1%, compared with September 30, 2022, primarily due to the commencement of the Iowa Medicaid contract in July 2023 and closing of the My Choice Wisconsin acquisition in September 2023, which offset the impact of Medicaid redeterminations;</w:t>
      </w:r>
    </w:p>
    <w:p>
      <w:pPr>
        <w:ind w:left="660" w:right="26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Premium revenue of $8.2 billion, which increased 8% compared with the third quarter of 2022 due to the increased membership in Medicaid and Medicare, partially offset by the impact of expected attrition in Marketplace membership;</w:t>
      </w:r>
    </w:p>
    <w:p>
      <w:pPr>
        <w:jc w:val="both"/>
        <w:ind w:left="66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Consolidated medical care ratio (“MCR”) of 88.7%, compared with 88.4% for the third quarter of 2022. Our year-to-date consolidated MCR of 87.8% is squarely in line with our long-term target range, reflecting continued strong operating performance and medical cost management;</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Investment income of $112 million, which increased 129% compared with the third quarter of 2022, and continues to bolster our year-over-year increase in net income;</w:t>
      </w:r>
    </w:p>
    <w:p>
      <w:pPr>
        <w:ind w:left="660" w:right="8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and administrative expense (“G&amp;A”) ratio of 7.1%, which was consistent with the third quarter of 2022 despite new business implementation spending for new contract wins that started in July 2023 and expected to begin in 2024, due to the benefits of disciplined cost management;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After-tax margin of 2.9%, which was in line with our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2023 Form 10-Q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FINANCIAL SUMMARY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consolidated results of operations and other financial information for the periods indicated: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500" w:type="dxa"/>
            <w:vAlign w:val="bottom"/>
          </w:tcPr>
          <w:p>
            <w:pPr>
              <w:spacing w:after="0"/>
              <w:rPr>
                <w:sz w:val="17"/>
                <w:szCs w:val="17"/>
                <w:color w:val="auto"/>
              </w:rPr>
            </w:pPr>
          </w:p>
        </w:tc>
        <w:tc>
          <w:tcPr>
            <w:tcW w:w="340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7"/>
                <w:szCs w:val="17"/>
                <w:color w:val="auto"/>
              </w:rPr>
            </w:pPr>
          </w:p>
        </w:tc>
        <w:tc>
          <w:tcPr>
            <w:tcW w:w="3040" w:type="dxa"/>
            <w:vAlign w:val="bottom"/>
            <w:gridSpan w:val="4"/>
          </w:tcPr>
          <w:p>
            <w:pPr>
              <w:jc w:val="right"/>
              <w:ind w:right="399"/>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50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2022</w:t>
            </w:r>
          </w:p>
        </w:tc>
      </w:tr>
      <w:tr>
        <w:trPr>
          <w:trHeight w:val="250"/>
        </w:trPr>
        <w:tc>
          <w:tcPr>
            <w:tcW w:w="4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0" w:type="dxa"/>
            <w:vAlign w:val="bottom"/>
            <w:gridSpan w:val="5"/>
          </w:tcPr>
          <w:p>
            <w:pPr>
              <w:ind w:left="120"/>
              <w:spacing w:after="0"/>
              <w:rPr>
                <w:sz w:val="20"/>
                <w:szCs w:val="20"/>
                <w:color w:val="auto"/>
              </w:rPr>
            </w:pPr>
            <w:r>
              <w:rPr>
                <w:rFonts w:ascii="Arial" w:cs="Arial" w:eastAsia="Arial" w:hAnsi="Arial"/>
                <w:sz w:val="14"/>
                <w:szCs w:val="14"/>
                <w:b w:val="1"/>
                <w:bCs w:val="1"/>
                <w:color w:val="auto"/>
              </w:rPr>
              <w:t>(In millions, except per-share amounts)</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17"/>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 revenue</w:t>
            </w:r>
          </w:p>
        </w:tc>
        <w:tc>
          <w:tcPr>
            <w:tcW w:w="980" w:type="dxa"/>
            <w:vAlign w:val="bottom"/>
            <w:shd w:val="clear" w:color="auto" w:fill="CCEEFF"/>
          </w:tcPr>
          <w:p>
            <w:pPr>
              <w:jc w:val="right"/>
              <w:ind w:right="783"/>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94"/>
              </w:rPr>
              <w:t>8,240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7,636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24,167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22,966</w:t>
            </w:r>
          </w:p>
        </w:tc>
      </w:tr>
      <w:tr>
        <w:trPr>
          <w:trHeight w:val="213"/>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medical care costs</w:t>
            </w: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4"/>
              </w:rPr>
              <w:t>7,306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6,748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21,215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20,183</w:t>
            </w:r>
          </w:p>
        </w:tc>
      </w:tr>
      <w:tr>
        <w:trPr>
          <w:trHeight w:val="213"/>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Medical margin</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888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2,952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2,783</w:t>
            </w:r>
          </w:p>
        </w:tc>
      </w:tr>
      <w:tr>
        <w:trPr>
          <w:trHeight w:val="216"/>
        </w:trPr>
        <w:tc>
          <w:tcPr>
            <w:tcW w:w="4500" w:type="dxa"/>
            <w:vAlign w:val="bottom"/>
          </w:tcPr>
          <w:p>
            <w:pPr>
              <w:ind w:left="140"/>
              <w:spacing w:after="0" w:line="216" w:lineRule="exact"/>
              <w:rPr>
                <w:sz w:val="20"/>
                <w:szCs w:val="20"/>
                <w:color w:val="auto"/>
              </w:rPr>
            </w:pPr>
            <w:r>
              <w:rPr>
                <w:rFonts w:ascii="Arial" w:cs="Arial" w:eastAsia="Arial" w:hAnsi="Arial"/>
                <w:sz w:val="25"/>
                <w:szCs w:val="25"/>
                <w:i w:val="1"/>
                <w:iCs w:val="1"/>
                <w:color w:val="auto"/>
                <w:vertAlign w:val="subscript"/>
              </w:rPr>
              <w:t>MCR</w:t>
            </w:r>
            <w:r>
              <w:rPr>
                <w:rFonts w:ascii="Arial" w:cs="Arial" w:eastAsia="Arial" w:hAnsi="Arial"/>
                <w:sz w:val="9"/>
                <w:szCs w:val="9"/>
                <w:i w:val="1"/>
                <w:iCs w:val="1"/>
                <w:color w:val="auto"/>
              </w:rPr>
              <w:t xml:space="preserve"> (1)</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i w:val="1"/>
                <w:iCs w:val="1"/>
                <w:color w:val="auto"/>
              </w:rPr>
              <w:t>88.7 %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i w:val="1"/>
                <w:iCs w:val="1"/>
                <w:color w:val="auto"/>
              </w:rPr>
              <w:t>88.4 %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i w:val="1"/>
                <w:iCs w:val="1"/>
                <w:color w:val="auto"/>
              </w:rPr>
              <w:t>87.8 %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i w:val="1"/>
                <w:iCs w:val="1"/>
                <w:color w:val="auto"/>
              </w:rPr>
              <w:t>87.9 %</w:t>
            </w:r>
          </w:p>
        </w:tc>
      </w:tr>
      <w:tr>
        <w:trPr>
          <w:trHeight w:val="216"/>
        </w:trPr>
        <w:tc>
          <w:tcPr>
            <w:tcW w:w="4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3"/>
        </w:trPr>
        <w:tc>
          <w:tcPr>
            <w:tcW w:w="4500" w:type="dxa"/>
            <w:vAlign w:val="bottom"/>
          </w:tcPr>
          <w:p>
            <w:pPr>
              <w:ind w:left="20"/>
              <w:spacing w:after="0"/>
              <w:rPr>
                <w:sz w:val="20"/>
                <w:szCs w:val="20"/>
                <w:color w:val="auto"/>
              </w:rPr>
            </w:pPr>
            <w:r>
              <w:rPr>
                <w:rFonts w:ascii="Arial" w:cs="Arial" w:eastAsia="Arial" w:hAnsi="Arial"/>
                <w:sz w:val="16"/>
                <w:szCs w:val="16"/>
                <w:color w:val="auto"/>
              </w:rPr>
              <w:t>Other revenues:</w:t>
            </w: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9"/>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 tax revenue</w:t>
            </w: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517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646</w:t>
            </w:r>
          </w:p>
        </w:tc>
      </w:tr>
      <w:tr>
        <w:trPr>
          <w:trHeight w:val="213"/>
        </w:trPr>
        <w:tc>
          <w:tcPr>
            <w:tcW w:w="4500" w:type="dxa"/>
            <w:vAlign w:val="bottom"/>
          </w:tcPr>
          <w:p>
            <w:pPr>
              <w:ind w:left="20"/>
              <w:spacing w:after="0"/>
              <w:rPr>
                <w:sz w:val="20"/>
                <w:szCs w:val="20"/>
                <w:color w:val="auto"/>
              </w:rPr>
            </w:pPr>
            <w:r>
              <w:rPr>
                <w:rFonts w:ascii="Arial" w:cs="Arial" w:eastAsia="Arial" w:hAnsi="Arial"/>
                <w:sz w:val="16"/>
                <w:szCs w:val="16"/>
                <w:color w:val="auto"/>
              </w:rPr>
              <w:t>Investment income</w:t>
            </w:r>
          </w:p>
        </w:tc>
        <w:tc>
          <w:tcPr>
            <w:tcW w:w="980" w:type="dxa"/>
            <w:vAlign w:val="bottom"/>
          </w:tcPr>
          <w:p>
            <w:pPr>
              <w:spacing w:after="0"/>
              <w:rPr>
                <w:sz w:val="18"/>
                <w:szCs w:val="18"/>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120"/>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ind w:right="140"/>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82</w:t>
            </w:r>
          </w:p>
        </w:tc>
      </w:tr>
      <w:tr>
        <w:trPr>
          <w:trHeight w:val="219"/>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revenue</w:t>
            </w: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57</w:t>
            </w:r>
          </w:p>
        </w:tc>
      </w:tr>
      <w:tr>
        <w:trPr>
          <w:trHeight w:val="216"/>
        </w:trPr>
        <w:tc>
          <w:tcPr>
            <w:tcW w:w="4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 expenses</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560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1,817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1,682</w:t>
            </w:r>
          </w:p>
        </w:tc>
      </w:tr>
      <w:tr>
        <w:trPr>
          <w:trHeight w:val="216"/>
        </w:trPr>
        <w:tc>
          <w:tcPr>
            <w:tcW w:w="4500" w:type="dxa"/>
            <w:vAlign w:val="bottom"/>
          </w:tcPr>
          <w:p>
            <w:pPr>
              <w:ind w:left="140"/>
              <w:spacing w:after="0" w:line="216" w:lineRule="exact"/>
              <w:rPr>
                <w:sz w:val="20"/>
                <w:szCs w:val="20"/>
                <w:color w:val="auto"/>
              </w:rPr>
            </w:pPr>
            <w:r>
              <w:rPr>
                <w:rFonts w:ascii="Arial" w:cs="Arial" w:eastAsia="Arial" w:hAnsi="Arial"/>
                <w:sz w:val="16"/>
                <w:szCs w:val="16"/>
                <w:i w:val="1"/>
                <w:iCs w:val="1"/>
                <w:color w:val="auto"/>
              </w:rPr>
              <w:t xml:space="preserve">G&amp;A ratio </w:t>
            </w:r>
            <w:r>
              <w:rPr>
                <w:rFonts w:ascii="Arial" w:cs="Arial" w:eastAsia="Arial" w:hAnsi="Arial"/>
                <w:sz w:val="21"/>
                <w:szCs w:val="21"/>
                <w:i w:val="1"/>
                <w:iCs w:val="1"/>
                <w:color w:val="auto"/>
                <w:vertAlign w:val="superscript"/>
              </w:rPr>
              <w:t>(2)</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i w:val="1"/>
                <w:iCs w:val="1"/>
                <w:color w:val="auto"/>
              </w:rPr>
              <w:t>7.1 %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i w:val="1"/>
                <w:iCs w:val="1"/>
                <w:color w:val="auto"/>
              </w:rPr>
              <w:t>7.1 %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i w:val="1"/>
                <w:iCs w:val="1"/>
                <w:color w:val="auto"/>
              </w:rPr>
              <w:t>7.3 %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i w:val="1"/>
                <w:iCs w:val="1"/>
                <w:color w:val="auto"/>
              </w:rPr>
              <w:t>7.1 %</w:t>
            </w:r>
          </w:p>
        </w:tc>
      </w:tr>
      <w:tr>
        <w:trPr>
          <w:trHeight w:val="216"/>
        </w:trPr>
        <w:tc>
          <w:tcPr>
            <w:tcW w:w="4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3"/>
        </w:trPr>
        <w:tc>
          <w:tcPr>
            <w:tcW w:w="4500" w:type="dxa"/>
            <w:vAlign w:val="bottom"/>
          </w:tcPr>
          <w:p>
            <w:pPr>
              <w:ind w:left="20"/>
              <w:spacing w:after="0"/>
              <w:rPr>
                <w:sz w:val="20"/>
                <w:szCs w:val="20"/>
                <w:color w:val="auto"/>
              </w:rPr>
            </w:pPr>
            <w:r>
              <w:rPr>
                <w:rFonts w:ascii="Arial" w:cs="Arial" w:eastAsia="Arial" w:hAnsi="Arial"/>
                <w:sz w:val="16"/>
                <w:szCs w:val="16"/>
                <w:color w:val="auto"/>
              </w:rPr>
              <w:t>Premium tax expenses</w:t>
            </w:r>
          </w:p>
        </w:tc>
        <w:tc>
          <w:tcPr>
            <w:tcW w:w="980" w:type="dxa"/>
            <w:vAlign w:val="bottom"/>
          </w:tcPr>
          <w:p>
            <w:pPr>
              <w:spacing w:after="0"/>
              <w:rPr>
                <w:sz w:val="18"/>
                <w:szCs w:val="18"/>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120"/>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ind w:right="140"/>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646</w:t>
            </w:r>
          </w:p>
        </w:tc>
      </w:tr>
      <w:tr>
        <w:trPr>
          <w:trHeight w:val="219"/>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129</w:t>
            </w:r>
          </w:p>
        </w:tc>
      </w:tr>
      <w:tr>
        <w:trPr>
          <w:trHeight w:val="213"/>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43</w:t>
            </w:r>
          </w:p>
        </w:tc>
      </w:tr>
      <w:tr>
        <w:trPr>
          <w:trHeight w:val="213"/>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9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359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335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1,257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1,068</w:t>
            </w:r>
          </w:p>
        </w:tc>
      </w:tr>
      <w:tr>
        <w:trPr>
          <w:trHeight w:val="207"/>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expense</w:t>
            </w:r>
          </w:p>
        </w:tc>
        <w:tc>
          <w:tcPr>
            <w:tcW w:w="9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83</w:t>
            </w:r>
          </w:p>
        </w:tc>
      </w:tr>
      <w:tr>
        <w:trPr>
          <w:trHeight w:val="212"/>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 expense</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307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1,175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985</w:t>
            </w:r>
          </w:p>
        </w:tc>
      </w:tr>
      <w:tr>
        <w:trPr>
          <w:trHeight w:val="213"/>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249</w:t>
            </w:r>
          </w:p>
        </w:tc>
      </w:tr>
      <w:tr>
        <w:trPr>
          <w:trHeight w:val="238"/>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980" w:type="dxa"/>
            <w:vAlign w:val="bottom"/>
            <w:tcBorders>
              <w:bottom w:val="single" w:sz="8" w:color="auto"/>
            </w:tcBorders>
            <w:shd w:val="clear" w:color="auto" w:fill="CCEEFF"/>
          </w:tcPr>
          <w:p>
            <w:pPr>
              <w:jc w:val="right"/>
              <w:ind w:right="783"/>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245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230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875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736</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41"/>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per share – Diluted</w:t>
            </w:r>
          </w:p>
        </w:tc>
        <w:tc>
          <w:tcPr>
            <w:tcW w:w="980" w:type="dxa"/>
            <w:vAlign w:val="bottom"/>
            <w:tcBorders>
              <w:bottom w:val="single" w:sz="8" w:color="auto"/>
            </w:tcBorders>
            <w:shd w:val="clear" w:color="auto" w:fill="CCEEFF"/>
          </w:tcPr>
          <w:p>
            <w:pPr>
              <w:jc w:val="right"/>
              <w:ind w:right="783"/>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4.21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3.95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15.08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12.58</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41"/>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weighted average shares outstanding</w:t>
            </w:r>
          </w:p>
        </w:tc>
        <w:tc>
          <w:tcPr>
            <w:tcW w:w="9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58.1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58.3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58.1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58.5</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16"/>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Key Statistics</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3"/>
        </w:trPr>
        <w:tc>
          <w:tcPr>
            <w:tcW w:w="4500" w:type="dxa"/>
            <w:vAlign w:val="bottom"/>
          </w:tcPr>
          <w:p>
            <w:pPr>
              <w:ind w:left="20"/>
              <w:spacing w:after="0"/>
              <w:rPr>
                <w:sz w:val="20"/>
                <w:szCs w:val="20"/>
                <w:color w:val="auto"/>
              </w:rPr>
            </w:pPr>
            <w:r>
              <w:rPr>
                <w:rFonts w:ascii="Arial" w:cs="Arial" w:eastAsia="Arial" w:hAnsi="Arial"/>
                <w:sz w:val="16"/>
                <w:szCs w:val="16"/>
                <w:color w:val="auto"/>
              </w:rPr>
              <w:t>Ending membership</w:t>
            </w:r>
          </w:p>
        </w:tc>
        <w:tc>
          <w:tcPr>
            <w:tcW w:w="980" w:type="dxa"/>
            <w:vAlign w:val="bottom"/>
          </w:tcPr>
          <w:p>
            <w:pPr>
              <w:spacing w:after="0"/>
              <w:rPr>
                <w:sz w:val="18"/>
                <w:szCs w:val="18"/>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120"/>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ind w:right="140"/>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5.2</w:t>
            </w:r>
          </w:p>
        </w:tc>
      </w:tr>
      <w:tr>
        <w:trPr>
          <w:trHeight w:val="219"/>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income tax rate</w:t>
            </w: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25.2 %</w:t>
            </w:r>
          </w:p>
        </w:tc>
      </w:tr>
      <w:tr>
        <w:trPr>
          <w:trHeight w:val="281"/>
        </w:trPr>
        <w:tc>
          <w:tcPr>
            <w:tcW w:w="4500" w:type="dxa"/>
            <w:vAlign w:val="bottom"/>
          </w:tcPr>
          <w:p>
            <w:pPr>
              <w:ind w:left="20"/>
              <w:spacing w:after="0"/>
              <w:rPr>
                <w:sz w:val="20"/>
                <w:szCs w:val="20"/>
                <w:color w:val="auto"/>
              </w:rPr>
            </w:pPr>
            <w:r>
              <w:rPr>
                <w:rFonts w:ascii="Arial" w:cs="Arial" w:eastAsia="Arial" w:hAnsi="Arial"/>
                <w:sz w:val="16"/>
                <w:szCs w:val="16"/>
                <w:color w:val="auto"/>
              </w:rPr>
              <w:t xml:space="preserve">After-tax margin </w:t>
            </w:r>
            <w:r>
              <w:rPr>
                <w:rFonts w:ascii="Arial" w:cs="Arial" w:eastAsia="Arial" w:hAnsi="Arial"/>
                <w:sz w:val="21"/>
                <w:szCs w:val="21"/>
                <w:color w:val="auto"/>
                <w:vertAlign w:val="superscript"/>
              </w:rPr>
              <w:t>(3)</w:t>
            </w:r>
          </w:p>
        </w:tc>
        <w:tc>
          <w:tcPr>
            <w:tcW w:w="9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2.9 %</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2.9 %</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3.5 %</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3.1 %</w:t>
            </w:r>
          </w:p>
        </w:tc>
      </w:tr>
    </w:tbl>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66" w:lineRule="exact"/>
        <w:rPr>
          <w:sz w:val="20"/>
          <w:szCs w:val="20"/>
          <w:color w:val="auto"/>
        </w:rPr>
      </w:pPr>
    </w:p>
    <w:p>
      <w:pPr>
        <w:ind w:left="380" w:hanging="372"/>
        <w:spacing w:after="0"/>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MCR represents medical care costs as a percentage of premium revenue.</w:t>
      </w:r>
    </w:p>
    <w:p>
      <w:pPr>
        <w:spacing w:after="0" w:line="17" w:lineRule="exact"/>
        <w:rPr>
          <w:rFonts w:ascii="Arial" w:cs="Arial" w:eastAsia="Arial" w:hAnsi="Arial"/>
          <w:sz w:val="16"/>
          <w:szCs w:val="16"/>
          <w:color w:val="auto"/>
        </w:rPr>
      </w:pPr>
    </w:p>
    <w:p>
      <w:pPr>
        <w:ind w:left="380" w:hanging="372"/>
        <w:spacing w:after="0"/>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G&amp;A ratio represents general and administrative expenses as a percentage of total revenue.</w:t>
      </w:r>
    </w:p>
    <w:p>
      <w:pPr>
        <w:spacing w:after="0" w:line="10" w:lineRule="exact"/>
        <w:rPr>
          <w:rFonts w:ascii="Arial" w:cs="Arial" w:eastAsia="Arial" w:hAnsi="Arial"/>
          <w:sz w:val="16"/>
          <w:szCs w:val="16"/>
          <w:color w:val="auto"/>
        </w:rPr>
      </w:pPr>
    </w:p>
    <w:p>
      <w:pPr>
        <w:ind w:left="380" w:hanging="372"/>
        <w:spacing w:after="0"/>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After-tax margin represents net income as a percentage of total revenue.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RESULTS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NET INCOME AND OPERATING INCOME</w:t>
      </w:r>
    </w:p>
    <w:p>
      <w:pPr>
        <w:spacing w:after="0" w:line="12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Net income in the third quarter of 2023 amounted to $245 million, or $4.21 per diluted share, compared with $230 million, or $3.95 per diluted share, in the third quarter of 2022. The 7% increase in net income is consistent with the improvement in operating income, which increased to $359 million in the third quarter of 2023, compared with $335 million in the third quarter of 2022.</w:t>
      </w:r>
    </w:p>
    <w:p>
      <w:pPr>
        <w:spacing w:after="0" w:line="76"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Net income in the nine months ended September 30, 2023 amounted to $875 million, or $15.08 per diluted share, compared with $736 million, or $12.58 per diluted share, in the nine months ended September 30, 2022. The 19% increase in net income is consistent with the improvement in operating income of $1,257 million in the nine months ended September 30, 2023, compared with $1,068 million in the nine months ended September 30, 2022.</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Molina Healthcare, Inc. September 30, 2023 Form 10-Q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color w:val="auto"/>
        </w:rPr>
        <w:t>The improvement in operating income for both periods was mainly due to membership growth that drove higher premium revenues, and medical margin, and increased investment income.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PREMIUM REVENUE</w:t>
      </w:r>
    </w:p>
    <w:p>
      <w:pPr>
        <w:spacing w:after="0" w:line="127"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Premium revenue increased $ 604 million, or 8%, in the third quarter of 2023, when compared with the third quarter of 2022, and increased $1.2 billion, or 5%, in the nine months ended September 30, 2023, when compared with the nine months ended September 30, 2022. The higher premium revenue reflects increased organic membership in the Medicaid and Medicare segments and the impact from the AgeWell acquisition that closed in the fourth quarter of 2022, the start of the Iowa Medicaid contract on July 1, 2023, and the My Choice Wisconsin acquisition that closed on September 1, 2023, partially offset by the expected decline in the Marketplace segment.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MEDICAL CARE RATIO</w:t>
      </w:r>
    </w:p>
    <w:p>
      <w:pPr>
        <w:spacing w:after="0" w:line="1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consolidated MCR in the third quarter of 2023 increased to 88.7%, compared with 88.4% in the third quarter of 2022, or 30 basis points. The increase is driven by the Medicaid and Medicare segments, partially offset by an improvement in the Marketplace segment. The consolidated MCR in the nine months ended September 30, 2023 decreased to 87.8%, compared with 87.9% MCR for the nine months ended September 30, 2022, or 10 basis points. The improvement reflects a decrease in the Marketplace MCR and continued strong operating performance and medical cost management. See further discussion in “Reportable Segments—Segment Financial Performance,” below.</w:t>
      </w:r>
    </w:p>
    <w:p>
      <w:pPr>
        <w:spacing w:after="0" w:line="84"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color w:val="auto"/>
        </w:rPr>
        <w:t>Prior year reserve development has been favorable for the nine months ended September 30, 2023, but its impact on earnings has been mostly absorbed by minimum MLRs and medical cost corridors.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PREMIUM TAX REVENUE AND EXPENSES</w:t>
      </w:r>
    </w:p>
    <w:p>
      <w:pPr>
        <w:spacing w:after="0" w:line="12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premium tax ratio (premium tax expense as a percentage of premium revenue plus premium tax revenue) was 2.1% and 2.8% for the third quarter of 2023 and 2022, respectively, and 2.1% and 2.7% for the nine months ended September 30, 2023 and 2022, respectively. The current year ratio decrease was mainly due to the expiration of the California managed care organization tax on December 31, 2022.</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INVESTMENT INCOME</w:t>
      </w:r>
    </w:p>
    <w:p>
      <w:pPr>
        <w:spacing w:after="0" w:line="12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Investment income increased to $112 million in the third quarter of 2023, compared with $49 million in the third quarter of 2022, and increased to $280 million in the nine months ended September 30, 2023, compared with $82 million in the nine months ended September 30, 2022. The increase in both periods was mainly driven by higher levels of invested assets and an increase in interest rates.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OTHER REVENUE</w:t>
      </w:r>
    </w:p>
    <w:p>
      <w:pPr>
        <w:spacing w:after="0" w:line="127"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Other revenue increased slightly to $20 million in the third quarter of 2023, compared with $ 19 million in the third quarter of 2022, and increased to $60 million in the nine months ended September 30, 2023, compared with $ 57 million in the nine months ended September 30, 2022. Other revenue mainly includes service revenue associated with long-term services and supports consultative services we provide in Wisconsin.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G&amp;A EXPENSES</w:t>
      </w:r>
    </w:p>
    <w:p>
      <w:pPr>
        <w:spacing w:after="0" w:line="12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G&amp;A expense ratio was consistent at 7.1% in the third quarter of 2023 and 2022. The G&amp;A expense ratio was 7.3% in the nine months ended September 30, 2023, compared with 7.1% in the nine months ended September 30, 2022. The increase during the nine months ended September 30, 2023 resulted primarily from deployment costs for new business implementation associated with the Iowa and California Medicaid contract wins that started in July and expected to begin in 2024, respectively, and was partially offset by the benefits of scale and continued disciplined cost management.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DEPRECIATION AND AMORTIZATION</w:t>
      </w:r>
    </w:p>
    <w:p>
      <w:pPr>
        <w:spacing w:after="0" w:line="127"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Depreciation and amortization was $42 million in the third quarter of 2023, compared with $45 million in the third quarter of 2022, and decreased slightly to $128 million in the nine months ended September 30, 2023, compared with $129 million in the nine months ended September 30, 2022.</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OTHER OPERATING EXPENSES</w:t>
      </w:r>
    </w:p>
    <w:p>
      <w:pPr>
        <w:spacing w:after="0" w:line="127"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Other operating expenses increased to $57 million in the third quarter of 2023, compared with $16 million in the third quarter of 2022, and increased to $90 million in the nine months ended September 30, 2023, compared with $43 million in the nine months ended September 30, 2022. The increases in both periods reflect a $41 million credit loss, or $0.54 per diluted share, on 2022 Marketplace risk adjustment receivables due to the insolvency of an issuer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2023 Form 10-Q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color w:val="auto"/>
        </w:rPr>
        <w:t>in the Texas risk pool. Other operating expenses also include service costs associated with long-term services and supports consultative services we provide in Wisconsin, as noted above.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INTEREST EXPENSE</w:t>
      </w:r>
    </w:p>
    <w:p>
      <w:pPr>
        <w:spacing w:after="0" w:line="127"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color w:val="auto"/>
        </w:rPr>
        <w:t>Interest expense was $27 million and $28 million in the third quarter of 2023 and 2022, respectively, and $82 million and $83 million in the nine months ended September 30, 2023 and 2022, respectively.</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INCOME TAXES</w:t>
      </w:r>
    </w:p>
    <w:p>
      <w:pPr>
        <w:spacing w:after="0" w:line="127"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Income tax expense amounted to $87 million in the third quarter of 2023, or 26.3% of pretax income, compared with income tax expense of $77 million, or 24.9% of pretax income, in the third quarter of 2022. Income tax expense amounted to $300 million in the nine months ended September 30, 2023, or 25.5% of pretax income, compared with income tax expense of $249 million, or 25.2% of pretax income, in the nine months ended September 30, 2022. The difference in the effective tax rate is primarily due to state income taxes and differences in discrete tax benefits recorded in the respective periods.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TRENDS AND UNCERTAINTIES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REGULATORY DEVELOPMENTS AND RELATED TRENDS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Economic Stabilization and Other Programs</w:t>
      </w:r>
    </w:p>
    <w:p>
      <w:pPr>
        <w:spacing w:after="0" w:line="127"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The PHE officially ended on May 11, 2023. There are several healthcare programs tied to the PHE which are impacted by this change in policy. These include coverage of COVID-19 testing and vaccines, changes to the Medicare fee schedule for COVID-related treatments, and free coverage of at-home COVID-19 diagnostic tests. Per federal statutory and regulatory requirements, some of these programs concluded with the end of the PHE, while some will continue for the rest of 2023 or through 2024, and some will remain in place permanently.</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Enrollment and Premium Revenue</w:t>
      </w:r>
    </w:p>
    <w:p>
      <w:pPr>
        <w:spacing w:after="0" w:line="11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Excluding acquisitions and our exit from Puerto Rico, we added approximately 800,000 new Medicaid members since March 31, 2020, when we first began to report on the impacts of the pandemic. We believe this membership increase was mainly due to the suspension of redeterminations for Medicaid eligibility. The Consolidated Appropriations Act of 2023 authorized states to resume redeterminations and terminate coverage for ineligible enrollees starting on April 1, 2023, irrespective of the status of the PHE. Consequently, during the third quarter of 2023, all states in which we operate had begun disenrolling members. In the third quarter, we estimate we lost approximately 200,000 members due to the net effect of redeterminations, offset by new enrollment, bringing the year-to-date figure to approximately 300,000. Given the high number of procedural terminations and increasing interventions by CMS and various states, we expect reconnects will likely continue, decreasing currently reported losses. Although the medical cost profile of members who have been disenrolled is more favorable than the Medicaid segment average, when combined with the beneficial impact of corridor offsets in several states, our Medicaid MCR for the nine months ended September 30, 2023 was within our expectations. We are still in the early stages of the Medicaid redetermination process, but based on the experience to date, we expect that we will retain approximately 40% of the membership gained since March 31, 2020.</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OTHER RECENT DEVELOPMENTS</w:t>
      </w:r>
    </w:p>
    <w:p>
      <w:pPr>
        <w:spacing w:after="0" w:line="121"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i w:val="1"/>
          <w:iCs w:val="1"/>
          <w:color w:val="auto"/>
        </w:rPr>
        <w:t xml:space="preserve">Wisconsin Acquisition—Medicaid and Medicare. </w:t>
      </w:r>
      <w:r>
        <w:rPr>
          <w:rFonts w:ascii="Arial" w:cs="Arial" w:eastAsia="Arial" w:hAnsi="Arial"/>
          <w:sz w:val="18"/>
          <w:szCs w:val="18"/>
          <w:color w:val="auto"/>
        </w:rPr>
        <w:t>On September 1, 2023, we closed on our acquisition of substantially all the assets of My</w:t>
      </w:r>
      <w:r>
        <w:rPr>
          <w:rFonts w:ascii="Arial" w:cs="Arial" w:eastAsia="Arial" w:hAnsi="Arial"/>
          <w:sz w:val="18"/>
          <w:szCs w:val="18"/>
          <w:i w:val="1"/>
          <w:iCs w:val="1"/>
          <w:color w:val="auto"/>
        </w:rPr>
        <w:t xml:space="preserve"> </w:t>
      </w:r>
      <w:r>
        <w:rPr>
          <w:rFonts w:ascii="Arial" w:cs="Arial" w:eastAsia="Arial" w:hAnsi="Arial"/>
          <w:sz w:val="18"/>
          <w:szCs w:val="18"/>
          <w:color w:val="auto"/>
        </w:rPr>
        <w:t>Choice Wisconsin. As a result, we added approximately 40,000 members in Wisconsin.</w:t>
      </w:r>
    </w:p>
    <w:p>
      <w:pPr>
        <w:spacing w:after="0" w:line="54" w:lineRule="exact"/>
        <w:rPr>
          <w:sz w:val="20"/>
          <w:szCs w:val="20"/>
          <w:color w:val="auto"/>
        </w:rPr>
      </w:pPr>
    </w:p>
    <w:p>
      <w:pPr>
        <w:ind w:right="340"/>
        <w:spacing w:after="0" w:line="258" w:lineRule="auto"/>
        <w:rPr>
          <w:sz w:val="20"/>
          <w:szCs w:val="20"/>
          <w:color w:val="auto"/>
        </w:rPr>
      </w:pPr>
      <w:r>
        <w:rPr>
          <w:rFonts w:ascii="Arial" w:cs="Arial" w:eastAsia="Arial" w:hAnsi="Arial"/>
          <w:sz w:val="18"/>
          <w:szCs w:val="18"/>
          <w:i w:val="1"/>
          <w:iCs w:val="1"/>
          <w:color w:val="auto"/>
        </w:rPr>
        <w:t xml:space="preserve">New Mexico Procurement—Medicaid. </w:t>
      </w:r>
      <w:r>
        <w:rPr>
          <w:rFonts w:ascii="Arial" w:cs="Arial" w:eastAsia="Arial" w:hAnsi="Arial"/>
          <w:sz w:val="18"/>
          <w:szCs w:val="18"/>
          <w:color w:val="auto"/>
        </w:rPr>
        <w:t>In August 2023, we confirmed that the New Mexico Human Services Department (“HSD”) has</w:t>
      </w:r>
      <w:r>
        <w:rPr>
          <w:rFonts w:ascii="Arial" w:cs="Arial" w:eastAsia="Arial" w:hAnsi="Arial"/>
          <w:sz w:val="18"/>
          <w:szCs w:val="18"/>
          <w:i w:val="1"/>
          <w:iCs w:val="1"/>
          <w:color w:val="auto"/>
        </w:rPr>
        <w:t xml:space="preserve"> </w:t>
      </w:r>
      <w:r>
        <w:rPr>
          <w:rFonts w:ascii="Arial" w:cs="Arial" w:eastAsia="Arial" w:hAnsi="Arial"/>
          <w:sz w:val="18"/>
          <w:szCs w:val="18"/>
          <w:color w:val="auto"/>
        </w:rPr>
        <w:t>announced its intention to award a Medicaid managed care contract to Molina Healthcare of New Mexico. The announcement by HSD follows its rescission of the cancellation of the Turquoise Care Request for Proposals made on January 30, 2023. The go-live date for the new Medicaid contract is expected to be July 1, 2024. The new contract is expected to have a duration of three years, with potential extensions adding a further five years to the term.</w:t>
      </w:r>
    </w:p>
    <w:p>
      <w:pPr>
        <w:spacing w:after="0" w:line="75"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i w:val="1"/>
          <w:iCs w:val="1"/>
          <w:color w:val="auto"/>
        </w:rPr>
        <w:t xml:space="preserve">Texas Procurement—Medicaid. </w:t>
      </w:r>
      <w:r>
        <w:rPr>
          <w:rFonts w:ascii="Arial" w:cs="Arial" w:eastAsia="Arial" w:hAnsi="Arial"/>
          <w:sz w:val="18"/>
          <w:szCs w:val="18"/>
          <w:color w:val="auto"/>
        </w:rPr>
        <w:t>In July 2023, we finalized our contract for the Texas STAR+PLUS program, retaining our entire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footprint. The start of operations for the new contract is expected to begin in September 2024.</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2023 Form 10-Q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i w:val="1"/>
          <w:iCs w:val="1"/>
          <w:color w:val="auto"/>
        </w:rPr>
        <w:t xml:space="preserve">Iowa Procurement—Medicaid. </w:t>
      </w:r>
      <w:r>
        <w:rPr>
          <w:rFonts w:ascii="Arial" w:cs="Arial" w:eastAsia="Arial" w:hAnsi="Arial"/>
          <w:sz w:val="18"/>
          <w:szCs w:val="18"/>
          <w:color w:val="auto"/>
        </w:rPr>
        <w:t>Our new contract with the Iowa Department of Health and Human Services commenced on July 1, 2023, and</w:t>
      </w:r>
      <w:r>
        <w:rPr>
          <w:rFonts w:ascii="Arial" w:cs="Arial" w:eastAsia="Arial" w:hAnsi="Arial"/>
          <w:sz w:val="18"/>
          <w:szCs w:val="18"/>
          <w:i w:val="1"/>
          <w:iCs w:val="1"/>
          <w:color w:val="auto"/>
        </w:rPr>
        <w:t xml:space="preserve"> </w:t>
      </w:r>
      <w:r>
        <w:rPr>
          <w:rFonts w:ascii="Arial" w:cs="Arial" w:eastAsia="Arial" w:hAnsi="Arial"/>
          <w:sz w:val="18"/>
          <w:szCs w:val="18"/>
          <w:color w:val="auto"/>
        </w:rPr>
        <w:t>offers health coverage to TANF, CHIP, ABD, LTSS and Medicaid Expansion beneficiaries. As of September 30, 2023, we served approximately 180,000 members. This new contract has a term of four years, with a potential for two, two-year extensions.</w:t>
      </w:r>
    </w:p>
    <w:p>
      <w:pPr>
        <w:spacing w:after="0" w:line="6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 xml:space="preserve">Mississippi Procurement—Medicaid. </w:t>
      </w:r>
      <w:r>
        <w:rPr>
          <w:rFonts w:ascii="Arial" w:cs="Arial" w:eastAsia="Arial" w:hAnsi="Arial"/>
          <w:sz w:val="18"/>
          <w:szCs w:val="18"/>
          <w:color w:val="auto"/>
        </w:rPr>
        <w:t>In August 2022, we announced that our Mississippi health plan had been notified by the Mississippi</w:t>
      </w:r>
      <w:r>
        <w:rPr>
          <w:rFonts w:ascii="Arial" w:cs="Arial" w:eastAsia="Arial" w:hAnsi="Arial"/>
          <w:sz w:val="18"/>
          <w:szCs w:val="18"/>
          <w:i w:val="1"/>
          <w:iCs w:val="1"/>
          <w:color w:val="auto"/>
        </w:rPr>
        <w:t xml:space="preserve"> </w:t>
      </w:r>
      <w:r>
        <w:rPr>
          <w:rFonts w:ascii="Arial" w:cs="Arial" w:eastAsia="Arial" w:hAnsi="Arial"/>
          <w:sz w:val="18"/>
          <w:szCs w:val="18"/>
          <w:color w:val="auto"/>
        </w:rPr>
        <w:t>Division of Medicaid (“DOM”) of its intent to award a Medicaid Coordinated Care Contract for its Mississippi Coordinated Access Program and Mississippi Children’s Health Insurance Program pursuant to the Request for Qualifications issued by DOM in December 2021. The four-year contract was expected to begin on July 1, 2023, but in the second quarter of 2023, DOM extended the existing contracts by an additional year. We now expect the four-year contract to commence July 1, 2024, and DOM has discretion to extend the new awards for an additional two years. The award enables us to continue serving Medicaid members across the state.</w:t>
      </w:r>
    </w:p>
    <w:p>
      <w:pPr>
        <w:spacing w:after="0" w:line="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California Acquisition—Medicare. </w:t>
      </w:r>
      <w:r>
        <w:rPr>
          <w:rFonts w:ascii="Arial" w:cs="Arial" w:eastAsia="Arial" w:hAnsi="Arial"/>
          <w:sz w:val="18"/>
          <w:szCs w:val="18"/>
          <w:color w:val="auto"/>
        </w:rPr>
        <w:t>On June 30, 2023, we announced a definitive agreement to acquire 100% of the issued and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stock of Brand New Day and Central Health Plan of California, each of which is a wholly owned subsidiary of Bright Health Company of California, Inc. The purchase price for the transaction is approximately $510 million, net of certain tax benefits, which we intend to fund with available funds including cash on hand. The transaction is subject to federal and state regulatory approvals, the solvency and continued operation as a going concern of Bright Health Group throughout the pre-closing period, and other closing conditions. The regulatory approval process is proceeding as planned. We continue to work with Bright management on satisfying the remaining closing conditions and continue to expect to close by the first quarter of 2024.</w:t>
      </w:r>
    </w:p>
    <w:p>
      <w:pPr>
        <w:spacing w:after="0" w:line="81"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i w:val="1"/>
          <w:iCs w:val="1"/>
          <w:color w:val="auto"/>
        </w:rPr>
        <w:t xml:space="preserve">Indiana Procurement—Medicaid. </w:t>
      </w:r>
      <w:r>
        <w:rPr>
          <w:rFonts w:ascii="Arial" w:cs="Arial" w:eastAsia="Arial" w:hAnsi="Arial"/>
          <w:sz w:val="18"/>
          <w:szCs w:val="18"/>
          <w:color w:val="auto"/>
        </w:rPr>
        <w:t>In September 2023, the Indiana Family and Social Services Administration notified us that the state does</w:t>
      </w:r>
      <w:r>
        <w:rPr>
          <w:rFonts w:ascii="Arial" w:cs="Arial" w:eastAsia="Arial" w:hAnsi="Arial"/>
          <w:sz w:val="18"/>
          <w:szCs w:val="18"/>
          <w:i w:val="1"/>
          <w:iCs w:val="1"/>
          <w:color w:val="auto"/>
        </w:rPr>
        <w:t xml:space="preserve"> </w:t>
      </w:r>
      <w:r>
        <w:rPr>
          <w:rFonts w:ascii="Arial" w:cs="Arial" w:eastAsia="Arial" w:hAnsi="Arial"/>
          <w:sz w:val="18"/>
          <w:szCs w:val="18"/>
          <w:color w:val="auto"/>
        </w:rPr>
        <w:t>not intend to offer a long-term services and supports contract to Molina to serve in the state’s Pathways for Aging program effective July 1, 2024. The state deemed Molina not to have met the readiness review requirements. Molina was required to have a dual eligible special needs plan (“D-SNP) product available in Indiana by January 1, 2024, but was unable to do so due to an administrative requirement of the Centers for Medicare &amp; Medicaid Services (“CMS”). Molina would have had a D-SNP in Indiana on January 1, 2025 through the normal course of action with CMS.</w:t>
      </w:r>
    </w:p>
    <w:p>
      <w:pPr>
        <w:spacing w:after="0" w:line="85"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For a discussion of additional segment trends, uncertainties and other developments, refer to our 2022 Annual Report on Form 10-K, “Item 1. Business—Our Business,” and “—Legislative and Political Environment.”</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REPORTABLE SEGMENTS</w:t>
      </w:r>
    </w:p>
    <w:p>
      <w:pPr>
        <w:spacing w:after="0" w:line="118"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As of September 30, 2023, we served approximately 5.2 million members eligible for Medicaid, Medicare, and other government-sponsored healthcare programs for low-income families and individuals, including Marketplace members, most of whom receive government premium subsidies.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We currently have four reportable segments consisting of: 1) Medicaid; 2) Medicare; 3) Marketplace; and 4) Other.</w:t>
      </w:r>
    </w:p>
    <w:p>
      <w:pPr>
        <w:spacing w:after="0" w:line="117" w:lineRule="exact"/>
        <w:rPr>
          <w:sz w:val="20"/>
          <w:szCs w:val="20"/>
          <w:color w:val="auto"/>
        </w:rPr>
      </w:pPr>
    </w:p>
    <w:p>
      <w:pPr>
        <w:jc w:val="both"/>
        <w:ind w:right="700"/>
        <w:spacing w:after="0" w:line="263" w:lineRule="auto"/>
        <w:rPr>
          <w:sz w:val="20"/>
          <w:szCs w:val="20"/>
          <w:color w:val="auto"/>
        </w:rPr>
      </w:pPr>
      <w:r>
        <w:rPr>
          <w:rFonts w:ascii="Arial" w:cs="Arial" w:eastAsia="Arial" w:hAnsi="Arial"/>
          <w:sz w:val="18"/>
          <w:szCs w:val="18"/>
          <w:color w:val="auto"/>
        </w:rPr>
        <w:t>The Medicaid, Medicare, and Marketplace segments represent the government-funded or sponsored programs under which we offer managed healthcare services. The Other segment, which is insignificant to our consolidated results of operations, includes long-term services and supports consultative services in Wisconsin.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HOW WE ASSESS PERFORMANCE</w:t>
      </w:r>
    </w:p>
    <w:p>
      <w:pPr>
        <w:spacing w:after="0" w:line="127"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color w:val="auto"/>
        </w:rPr>
        <w:t>We derive our revenues primarily from health insurance premiums. Our primary customers are state Medicaid agencies and the federal government.</w:t>
      </w:r>
    </w:p>
    <w:p>
      <w:pPr>
        <w:spacing w:after="0" w:line="6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key metrics used to assess the performance of our Medicaid, Medicare, and Marketplace segments are premium revenue, medical margin and medical care ratio (“MCR”). MCR represents the amount of medical care costs as a percentage of premium revenue. Therefore, the underlying medical margin, or the amount earned by the Medicaid, Medicare, and Marketplace segments after medical costs are deducted from premium revenue, represents the most important measure of earnings reviewed by management, and is used by our chief executive officer to review results, assess performance, and allocate resources. The key metric used to assess the performance of our Other segment is service margin. The service margin is equal to service revenue minus cost of service revenue.</w:t>
      </w:r>
    </w:p>
    <w:p>
      <w:pPr>
        <w:spacing w:after="0" w:line="84"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color w:val="auto"/>
        </w:rPr>
        <w:t>Management’s discussion and analysis of the change in medical margin is discussed below under “Segment Financial Performance.” For more information, see Notes to Consolidated Financial Statements, Note 10, “Segments.”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2023 Form 10-Q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SEGMENT MEMBERSHIP</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membership by segment as of the dates indicated: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700" w:type="dxa"/>
            <w:vAlign w:val="bottom"/>
          </w:tcPr>
          <w:p>
            <w:pPr>
              <w:spacing w:after="0"/>
              <w:rPr>
                <w:sz w:val="17"/>
                <w:szCs w:val="17"/>
                <w:color w:val="auto"/>
              </w:rPr>
            </w:pPr>
          </w:p>
        </w:tc>
        <w:tc>
          <w:tcPr>
            <w:tcW w:w="1540" w:type="dxa"/>
            <w:vAlign w:val="bottom"/>
            <w:gridSpan w:val="2"/>
          </w:tcPr>
          <w:p>
            <w:pPr>
              <w:ind w:left="220"/>
              <w:spacing w:after="0"/>
              <w:rPr>
                <w:sz w:val="20"/>
                <w:szCs w:val="20"/>
                <w:color w:val="auto"/>
              </w:rPr>
            </w:pPr>
            <w:r>
              <w:rPr>
                <w:rFonts w:ascii="Arial" w:cs="Arial" w:eastAsia="Arial" w:hAnsi="Arial"/>
                <w:sz w:val="14"/>
                <w:szCs w:val="14"/>
                <w:b w:val="1"/>
                <w:bCs w:val="1"/>
                <w:color w:val="auto"/>
              </w:rPr>
              <w:t>September 30,</w:t>
            </w: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December 31,</w:t>
            </w:r>
          </w:p>
        </w:tc>
        <w:tc>
          <w:tcPr>
            <w:tcW w:w="1440" w:type="dxa"/>
            <w:vAlign w:val="bottom"/>
          </w:tcPr>
          <w:p>
            <w:pPr>
              <w:jc w:val="right"/>
              <w:ind w:right="162"/>
              <w:spacing w:after="0"/>
              <w:rPr>
                <w:sz w:val="20"/>
                <w:szCs w:val="20"/>
                <w:color w:val="auto"/>
              </w:rPr>
            </w:pPr>
            <w:r>
              <w:rPr>
                <w:rFonts w:ascii="Arial" w:cs="Arial" w:eastAsia="Arial" w:hAnsi="Arial"/>
                <w:sz w:val="14"/>
                <w:szCs w:val="14"/>
                <w:b w:val="1"/>
                <w:bCs w:val="1"/>
                <w:color w:val="auto"/>
              </w:rPr>
              <w:t>September 30,</w:t>
            </w:r>
          </w:p>
        </w:tc>
      </w:tr>
      <w:tr>
        <w:trPr>
          <w:trHeight w:val="204"/>
        </w:trPr>
        <w:tc>
          <w:tcPr>
            <w:tcW w:w="67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2022</w:t>
            </w:r>
          </w:p>
        </w:tc>
      </w:tr>
      <w:tr>
        <w:trPr>
          <w:trHeight w:val="210"/>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Medicaid</w:t>
            </w: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4,757,000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4,754,000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4,667,000</w:t>
            </w: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Medicare</w:t>
            </w:r>
          </w:p>
        </w:tc>
        <w:tc>
          <w:tcPr>
            <w:tcW w:w="1440" w:type="dxa"/>
            <w:vAlign w:val="bottom"/>
          </w:tcPr>
          <w:p>
            <w:pPr>
              <w:jc w:val="right"/>
              <w:ind w:right="2"/>
              <w:spacing w:after="0"/>
              <w:rPr>
                <w:sz w:val="20"/>
                <w:szCs w:val="20"/>
                <w:color w:val="auto"/>
              </w:rPr>
            </w:pPr>
            <w:r>
              <w:rPr>
                <w:rFonts w:ascii="Arial" w:cs="Arial" w:eastAsia="Arial" w:hAnsi="Arial"/>
                <w:sz w:val="16"/>
                <w:szCs w:val="16"/>
                <w:color w:val="auto"/>
              </w:rPr>
              <w:t>173,000</w:t>
            </w:r>
          </w:p>
        </w:tc>
        <w:tc>
          <w:tcPr>
            <w:tcW w:w="100" w:type="dxa"/>
            <w:vAlign w:val="bottom"/>
          </w:tcPr>
          <w:p>
            <w:pPr>
              <w:spacing w:after="0"/>
              <w:rPr>
                <w:sz w:val="18"/>
                <w:szCs w:val="18"/>
                <w:color w:val="auto"/>
              </w:rPr>
            </w:pPr>
          </w:p>
        </w:tc>
        <w:tc>
          <w:tcPr>
            <w:tcW w:w="1440" w:type="dxa"/>
            <w:vAlign w:val="bottom"/>
          </w:tcPr>
          <w:p>
            <w:pPr>
              <w:jc w:val="right"/>
              <w:ind w:right="2"/>
              <w:spacing w:after="0"/>
              <w:rPr>
                <w:sz w:val="20"/>
                <w:szCs w:val="20"/>
                <w:color w:val="auto"/>
              </w:rPr>
            </w:pPr>
            <w:r>
              <w:rPr>
                <w:rFonts w:ascii="Arial" w:cs="Arial" w:eastAsia="Arial" w:hAnsi="Arial"/>
                <w:sz w:val="16"/>
                <w:szCs w:val="16"/>
                <w:color w:val="auto"/>
              </w:rPr>
              <w:t>156,000</w:t>
            </w:r>
          </w:p>
        </w:tc>
        <w:tc>
          <w:tcPr>
            <w:tcW w:w="100" w:type="dxa"/>
            <w:vAlign w:val="bottom"/>
          </w:tcPr>
          <w:p>
            <w:pPr>
              <w:spacing w:after="0"/>
              <w:rPr>
                <w:sz w:val="18"/>
                <w:szCs w:val="18"/>
                <w:color w:val="auto"/>
              </w:rPr>
            </w:pPr>
          </w:p>
        </w:tc>
        <w:tc>
          <w:tcPr>
            <w:tcW w:w="1440" w:type="dxa"/>
            <w:vAlign w:val="bottom"/>
          </w:tcPr>
          <w:p>
            <w:pPr>
              <w:jc w:val="right"/>
              <w:ind w:right="2"/>
              <w:spacing w:after="0"/>
              <w:rPr>
                <w:sz w:val="20"/>
                <w:szCs w:val="20"/>
                <w:color w:val="auto"/>
              </w:rPr>
            </w:pPr>
            <w:r>
              <w:rPr>
                <w:rFonts w:ascii="Arial" w:cs="Arial" w:eastAsia="Arial" w:hAnsi="Arial"/>
                <w:sz w:val="16"/>
                <w:szCs w:val="16"/>
                <w:color w:val="auto"/>
              </w:rPr>
              <w:t>155,000</w:t>
            </w: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Marketplace</w:t>
            </w: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276,000</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348,000</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353,000</w:t>
            </w:r>
          </w:p>
        </w:tc>
      </w:tr>
      <w:tr>
        <w:trPr>
          <w:trHeight w:val="213"/>
        </w:trPr>
        <w:tc>
          <w:tcPr>
            <w:tcW w:w="6700" w:type="dxa"/>
            <w:vAlign w:val="bottom"/>
          </w:tcPr>
          <w:p>
            <w:pPr>
              <w:ind w:left="140"/>
              <w:spacing w:after="0"/>
              <w:rPr>
                <w:sz w:val="20"/>
                <w:szCs w:val="20"/>
                <w:color w:val="auto"/>
              </w:rPr>
            </w:pPr>
            <w:r>
              <w:rPr>
                <w:rFonts w:ascii="Arial" w:cs="Arial" w:eastAsia="Arial" w:hAnsi="Arial"/>
                <w:sz w:val="16"/>
                <w:szCs w:val="16"/>
                <w:color w:val="auto"/>
              </w:rPr>
              <w:t>Total</w:t>
            </w:r>
          </w:p>
        </w:tc>
        <w:tc>
          <w:tcPr>
            <w:tcW w:w="14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5,206,000</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5,258,000</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5,175,000</w:t>
            </w:r>
          </w:p>
        </w:tc>
      </w:tr>
      <w:tr>
        <w:trPr>
          <w:trHeight w:val="21"/>
        </w:trPr>
        <w:tc>
          <w:tcPr>
            <w:tcW w:w="67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SEGMENT FINANCIAL PERFORMANCE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premium revenue, medical margin, and MCR by segment for the periods indicated (dollars 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rPr>
              <w:t>Three Months Ended September 30,</w:t>
            </w: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4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ind w:left="60"/>
              <w:spacing w:after="0" w:line="157" w:lineRule="exact"/>
              <w:rPr>
                <w:sz w:val="20"/>
                <w:szCs w:val="20"/>
                <w:color w:val="auto"/>
              </w:rPr>
            </w:pPr>
            <w:r>
              <w:rPr>
                <w:rFonts w:ascii="Arial" w:cs="Arial" w:eastAsia="Arial" w:hAnsi="Arial"/>
                <w:sz w:val="14"/>
                <w:szCs w:val="14"/>
                <w:b w:val="1"/>
                <w:bCs w:val="1"/>
                <w:color w:val="auto"/>
              </w:rPr>
              <w:t>Premium</w:t>
            </w:r>
          </w:p>
        </w:tc>
        <w:tc>
          <w:tcPr>
            <w:tcW w:w="180" w:type="dxa"/>
            <w:vAlign w:val="bottom"/>
          </w:tcPr>
          <w:p>
            <w:pPr>
              <w:spacing w:after="0"/>
              <w:rPr>
                <w:sz w:val="13"/>
                <w:szCs w:val="13"/>
                <w:color w:val="auto"/>
              </w:rPr>
            </w:pPr>
          </w:p>
        </w:tc>
        <w:tc>
          <w:tcPr>
            <w:tcW w:w="840" w:type="dxa"/>
            <w:vAlign w:val="bottom"/>
          </w:tcPr>
          <w:p>
            <w:pPr>
              <w:jc w:val="center"/>
              <w:ind w:right="83"/>
              <w:spacing w:after="0" w:line="157" w:lineRule="exact"/>
              <w:rPr>
                <w:sz w:val="20"/>
                <w:szCs w:val="20"/>
                <w:color w:val="auto"/>
              </w:rPr>
            </w:pPr>
            <w:r>
              <w:rPr>
                <w:rFonts w:ascii="Arial" w:cs="Arial" w:eastAsia="Arial" w:hAnsi="Arial"/>
                <w:sz w:val="14"/>
                <w:szCs w:val="14"/>
                <w:b w:val="1"/>
                <w:bCs w:val="1"/>
                <w:color w:val="auto"/>
              </w:rPr>
              <w:t>Medical</w:t>
            </w:r>
          </w:p>
        </w:tc>
        <w:tc>
          <w:tcPr>
            <w:tcW w:w="120" w:type="dxa"/>
            <w:vAlign w:val="bottom"/>
          </w:tcPr>
          <w:p>
            <w:pPr>
              <w:spacing w:after="0"/>
              <w:rPr>
                <w:sz w:val="13"/>
                <w:szCs w:val="13"/>
                <w:color w:val="auto"/>
              </w:rPr>
            </w:pPr>
          </w:p>
        </w:tc>
        <w:tc>
          <w:tcPr>
            <w:tcW w:w="112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MCR</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ind w:left="60"/>
              <w:spacing w:after="0" w:line="157" w:lineRule="exact"/>
              <w:rPr>
                <w:sz w:val="20"/>
                <w:szCs w:val="20"/>
                <w:color w:val="auto"/>
              </w:rPr>
            </w:pPr>
            <w:r>
              <w:rPr>
                <w:rFonts w:ascii="Arial" w:cs="Arial" w:eastAsia="Arial" w:hAnsi="Arial"/>
                <w:sz w:val="14"/>
                <w:szCs w:val="14"/>
                <w:b w:val="1"/>
                <w:bCs w:val="1"/>
                <w:color w:val="auto"/>
              </w:rPr>
              <w:t>Premium</w:t>
            </w:r>
          </w:p>
        </w:tc>
        <w:tc>
          <w:tcPr>
            <w:tcW w:w="180" w:type="dxa"/>
            <w:vAlign w:val="bottom"/>
          </w:tcPr>
          <w:p>
            <w:pPr>
              <w:spacing w:after="0"/>
              <w:rPr>
                <w:sz w:val="13"/>
                <w:szCs w:val="13"/>
                <w:color w:val="auto"/>
              </w:rPr>
            </w:pPr>
          </w:p>
        </w:tc>
        <w:tc>
          <w:tcPr>
            <w:tcW w:w="840" w:type="dxa"/>
            <w:vAlign w:val="bottom"/>
          </w:tcPr>
          <w:p>
            <w:pPr>
              <w:jc w:val="center"/>
              <w:ind w:right="123"/>
              <w:spacing w:after="0" w:line="157" w:lineRule="exact"/>
              <w:rPr>
                <w:sz w:val="20"/>
                <w:szCs w:val="20"/>
                <w:color w:val="auto"/>
              </w:rPr>
            </w:pPr>
            <w:r>
              <w:rPr>
                <w:rFonts w:ascii="Arial" w:cs="Arial" w:eastAsia="Arial" w:hAnsi="Arial"/>
                <w:sz w:val="14"/>
                <w:szCs w:val="14"/>
                <w:b w:val="1"/>
                <w:bCs w:val="1"/>
                <w:color w:val="auto"/>
              </w:rPr>
              <w:t>Medical</w:t>
            </w:r>
          </w:p>
        </w:tc>
        <w:tc>
          <w:tcPr>
            <w:tcW w:w="100" w:type="dxa"/>
            <w:vAlign w:val="bottom"/>
          </w:tcPr>
          <w:p>
            <w:pPr>
              <w:spacing w:after="0"/>
              <w:rPr>
                <w:sz w:val="13"/>
                <w:szCs w:val="13"/>
                <w:color w:val="auto"/>
              </w:rPr>
            </w:pPr>
          </w:p>
        </w:tc>
        <w:tc>
          <w:tcPr>
            <w:tcW w:w="114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MCR</w:t>
            </w:r>
          </w:p>
        </w:tc>
        <w:tc>
          <w:tcPr>
            <w:tcW w:w="0" w:type="dxa"/>
            <w:vAlign w:val="bottom"/>
          </w:tcPr>
          <w:p>
            <w:pPr>
              <w:spacing w:after="0"/>
              <w:rPr>
                <w:sz w:val="1"/>
                <w:szCs w:val="1"/>
                <w:color w:val="auto"/>
              </w:rPr>
            </w:pPr>
          </w:p>
        </w:tc>
      </w:tr>
      <w:tr>
        <w:trPr>
          <w:trHeight w:val="189"/>
        </w:trPr>
        <w:tc>
          <w:tcPr>
            <w:tcW w:w="43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Margin</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rPr>
              <w:t>Margin</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Medicaid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6,711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w:t>
            </w: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88.8 %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6,125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703</w:t>
            </w: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88.5 %</w:t>
            </w:r>
          </w:p>
        </w:tc>
        <w:tc>
          <w:tcPr>
            <w:tcW w:w="0" w:type="dxa"/>
            <w:vAlign w:val="bottom"/>
          </w:tcPr>
          <w:p>
            <w:pPr>
              <w:spacing w:after="0"/>
              <w:rPr>
                <w:sz w:val="1"/>
                <w:szCs w:val="1"/>
                <w:color w:val="auto"/>
              </w:rPr>
            </w:pPr>
          </w:p>
        </w:tc>
      </w:tr>
      <w:tr>
        <w:trPr>
          <w:trHeight w:val="213"/>
        </w:trPr>
        <w:tc>
          <w:tcPr>
            <w:tcW w:w="4320" w:type="dxa"/>
            <w:vAlign w:val="bottom"/>
          </w:tcPr>
          <w:p>
            <w:pPr>
              <w:ind w:left="20"/>
              <w:spacing w:after="0"/>
              <w:rPr>
                <w:sz w:val="20"/>
                <w:szCs w:val="20"/>
                <w:color w:val="auto"/>
              </w:rPr>
            </w:pPr>
            <w:r>
              <w:rPr>
                <w:rFonts w:ascii="Arial" w:cs="Arial" w:eastAsia="Arial" w:hAnsi="Arial"/>
                <w:sz w:val="16"/>
                <w:szCs w:val="16"/>
                <w:color w:val="auto"/>
              </w:rPr>
              <w:t>Medicare</w:t>
            </w:r>
          </w:p>
        </w:tc>
        <w:tc>
          <w:tcPr>
            <w:tcW w:w="16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1,032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78</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92.4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947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108</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88.7</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Marketplace</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497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78.9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564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77</w:t>
            </w: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86.3</w:t>
            </w:r>
          </w:p>
        </w:tc>
        <w:tc>
          <w:tcPr>
            <w:tcW w:w="0" w:type="dxa"/>
            <w:vAlign w:val="bottom"/>
          </w:tcPr>
          <w:p>
            <w:pPr>
              <w:spacing w:after="0"/>
              <w:rPr>
                <w:sz w:val="1"/>
                <w:szCs w:val="1"/>
                <w:color w:val="auto"/>
              </w:rPr>
            </w:pPr>
          </w:p>
        </w:tc>
      </w:tr>
      <w:tr>
        <w:trPr>
          <w:trHeight w:val="213"/>
        </w:trPr>
        <w:tc>
          <w:tcPr>
            <w:tcW w:w="4320" w:type="dxa"/>
            <w:vAlign w:val="bottom"/>
          </w:tcPr>
          <w:p>
            <w:pPr>
              <w:ind w:left="1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8,240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934</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88.7 %</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7,636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888</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88.4 %</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8"/>
        </w:trPr>
        <w:tc>
          <w:tcPr>
            <w:tcW w:w="4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rPr>
              <w:t>Nine Months Ended September 30,</w:t>
            </w: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4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ind w:left="60"/>
              <w:spacing w:after="0" w:line="157" w:lineRule="exact"/>
              <w:rPr>
                <w:sz w:val="20"/>
                <w:szCs w:val="20"/>
                <w:color w:val="auto"/>
              </w:rPr>
            </w:pPr>
            <w:r>
              <w:rPr>
                <w:rFonts w:ascii="Arial" w:cs="Arial" w:eastAsia="Arial" w:hAnsi="Arial"/>
                <w:sz w:val="14"/>
                <w:szCs w:val="14"/>
                <w:b w:val="1"/>
                <w:bCs w:val="1"/>
                <w:color w:val="auto"/>
              </w:rPr>
              <w:t>Premium</w:t>
            </w:r>
          </w:p>
        </w:tc>
        <w:tc>
          <w:tcPr>
            <w:tcW w:w="180" w:type="dxa"/>
            <w:vAlign w:val="bottom"/>
          </w:tcPr>
          <w:p>
            <w:pPr>
              <w:spacing w:after="0"/>
              <w:rPr>
                <w:sz w:val="13"/>
                <w:szCs w:val="13"/>
                <w:color w:val="auto"/>
              </w:rPr>
            </w:pPr>
          </w:p>
        </w:tc>
        <w:tc>
          <w:tcPr>
            <w:tcW w:w="840" w:type="dxa"/>
            <w:vAlign w:val="bottom"/>
          </w:tcPr>
          <w:p>
            <w:pPr>
              <w:jc w:val="center"/>
              <w:ind w:right="83"/>
              <w:spacing w:after="0" w:line="157" w:lineRule="exact"/>
              <w:rPr>
                <w:sz w:val="20"/>
                <w:szCs w:val="20"/>
                <w:color w:val="auto"/>
              </w:rPr>
            </w:pPr>
            <w:r>
              <w:rPr>
                <w:rFonts w:ascii="Arial" w:cs="Arial" w:eastAsia="Arial" w:hAnsi="Arial"/>
                <w:sz w:val="14"/>
                <w:szCs w:val="14"/>
                <w:b w:val="1"/>
                <w:bCs w:val="1"/>
                <w:color w:val="auto"/>
              </w:rPr>
              <w:t>Medical</w:t>
            </w:r>
          </w:p>
        </w:tc>
        <w:tc>
          <w:tcPr>
            <w:tcW w:w="120" w:type="dxa"/>
            <w:vAlign w:val="bottom"/>
          </w:tcPr>
          <w:p>
            <w:pPr>
              <w:spacing w:after="0"/>
              <w:rPr>
                <w:sz w:val="13"/>
                <w:szCs w:val="13"/>
                <w:color w:val="auto"/>
              </w:rPr>
            </w:pPr>
          </w:p>
        </w:tc>
        <w:tc>
          <w:tcPr>
            <w:tcW w:w="112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MCR</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ind w:left="60"/>
              <w:spacing w:after="0" w:line="157" w:lineRule="exact"/>
              <w:rPr>
                <w:sz w:val="20"/>
                <w:szCs w:val="20"/>
                <w:color w:val="auto"/>
              </w:rPr>
            </w:pPr>
            <w:r>
              <w:rPr>
                <w:rFonts w:ascii="Arial" w:cs="Arial" w:eastAsia="Arial" w:hAnsi="Arial"/>
                <w:sz w:val="14"/>
                <w:szCs w:val="14"/>
                <w:b w:val="1"/>
                <w:bCs w:val="1"/>
                <w:color w:val="auto"/>
              </w:rPr>
              <w:t>Premium</w:t>
            </w:r>
          </w:p>
        </w:tc>
        <w:tc>
          <w:tcPr>
            <w:tcW w:w="180" w:type="dxa"/>
            <w:vAlign w:val="bottom"/>
          </w:tcPr>
          <w:p>
            <w:pPr>
              <w:spacing w:after="0"/>
              <w:rPr>
                <w:sz w:val="13"/>
                <w:szCs w:val="13"/>
                <w:color w:val="auto"/>
              </w:rPr>
            </w:pPr>
          </w:p>
        </w:tc>
        <w:tc>
          <w:tcPr>
            <w:tcW w:w="840" w:type="dxa"/>
            <w:vAlign w:val="bottom"/>
          </w:tcPr>
          <w:p>
            <w:pPr>
              <w:jc w:val="center"/>
              <w:ind w:right="123"/>
              <w:spacing w:after="0" w:line="157" w:lineRule="exact"/>
              <w:rPr>
                <w:sz w:val="20"/>
                <w:szCs w:val="20"/>
                <w:color w:val="auto"/>
              </w:rPr>
            </w:pPr>
            <w:r>
              <w:rPr>
                <w:rFonts w:ascii="Arial" w:cs="Arial" w:eastAsia="Arial" w:hAnsi="Arial"/>
                <w:sz w:val="14"/>
                <w:szCs w:val="14"/>
                <w:b w:val="1"/>
                <w:bCs w:val="1"/>
                <w:color w:val="auto"/>
              </w:rPr>
              <w:t>Medical</w:t>
            </w:r>
          </w:p>
        </w:tc>
        <w:tc>
          <w:tcPr>
            <w:tcW w:w="100" w:type="dxa"/>
            <w:vAlign w:val="bottom"/>
          </w:tcPr>
          <w:p>
            <w:pPr>
              <w:spacing w:after="0"/>
              <w:rPr>
                <w:sz w:val="13"/>
                <w:szCs w:val="13"/>
                <w:color w:val="auto"/>
              </w:rPr>
            </w:pPr>
          </w:p>
        </w:tc>
        <w:tc>
          <w:tcPr>
            <w:tcW w:w="114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MCR</w:t>
            </w:r>
          </w:p>
        </w:tc>
        <w:tc>
          <w:tcPr>
            <w:tcW w:w="0" w:type="dxa"/>
            <w:vAlign w:val="bottom"/>
          </w:tcPr>
          <w:p>
            <w:pPr>
              <w:spacing w:after="0"/>
              <w:rPr>
                <w:sz w:val="1"/>
                <w:szCs w:val="1"/>
                <w:color w:val="auto"/>
              </w:rPr>
            </w:pPr>
          </w:p>
        </w:tc>
      </w:tr>
      <w:tr>
        <w:trPr>
          <w:trHeight w:val="189"/>
        </w:trPr>
        <w:tc>
          <w:tcPr>
            <w:tcW w:w="43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Margin</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rPr>
              <w:t>Margin</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Medicaid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19,545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2,242</w:t>
            </w: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88.5 %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18,406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2,168</w:t>
            </w: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88.2 %</w:t>
            </w:r>
          </w:p>
        </w:tc>
        <w:tc>
          <w:tcPr>
            <w:tcW w:w="0" w:type="dxa"/>
            <w:vAlign w:val="bottom"/>
          </w:tcPr>
          <w:p>
            <w:pPr>
              <w:spacing w:after="0"/>
              <w:rPr>
                <w:sz w:val="1"/>
                <w:szCs w:val="1"/>
                <w:color w:val="auto"/>
              </w:rPr>
            </w:pPr>
          </w:p>
        </w:tc>
      </w:tr>
      <w:tr>
        <w:trPr>
          <w:trHeight w:val="213"/>
        </w:trPr>
        <w:tc>
          <w:tcPr>
            <w:tcW w:w="4320" w:type="dxa"/>
            <w:vAlign w:val="bottom"/>
          </w:tcPr>
          <w:p>
            <w:pPr>
              <w:ind w:left="20"/>
              <w:spacing w:after="0"/>
              <w:rPr>
                <w:sz w:val="20"/>
                <w:szCs w:val="20"/>
                <w:color w:val="auto"/>
              </w:rPr>
            </w:pPr>
            <w:r>
              <w:rPr>
                <w:rFonts w:ascii="Arial" w:cs="Arial" w:eastAsia="Arial" w:hAnsi="Arial"/>
                <w:sz w:val="16"/>
                <w:szCs w:val="16"/>
                <w:color w:val="auto"/>
              </w:rPr>
              <w:t>Medicare</w:t>
            </w:r>
          </w:p>
        </w:tc>
        <w:tc>
          <w:tcPr>
            <w:tcW w:w="16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3,122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317</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89.8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2,847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360</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87.4</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Marketplace</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1,500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73.8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1,713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255</w:t>
            </w: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85.1</w:t>
            </w:r>
          </w:p>
        </w:tc>
        <w:tc>
          <w:tcPr>
            <w:tcW w:w="0" w:type="dxa"/>
            <w:vAlign w:val="bottom"/>
          </w:tcPr>
          <w:p>
            <w:pPr>
              <w:spacing w:after="0"/>
              <w:rPr>
                <w:sz w:val="1"/>
                <w:szCs w:val="1"/>
                <w:color w:val="auto"/>
              </w:rPr>
            </w:pPr>
          </w:p>
        </w:tc>
      </w:tr>
      <w:tr>
        <w:trPr>
          <w:trHeight w:val="213"/>
        </w:trPr>
        <w:tc>
          <w:tcPr>
            <w:tcW w:w="4320" w:type="dxa"/>
            <w:vAlign w:val="bottom"/>
          </w:tcPr>
          <w:p>
            <w:pPr>
              <w:ind w:left="1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24,167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2,952</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87.8 %</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22,966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2,783</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87.9 %</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Medicaid</w:t>
      </w:r>
    </w:p>
    <w:p>
      <w:pPr>
        <w:spacing w:after="0" w:line="127"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color w:val="auto"/>
        </w:rPr>
        <w:t>Medicaid premium revenue increased $586 million, or 10%, in the third quarter of 2023, when compared with the third quarter of 2022. Medicaid premium revenue increased $1.1 billion, or 6%, in the nine months ended September 30, 2023, when compared with the nine months ended September 30, 2022. The increases were mainly due to the increase in membership, changes in business mix and the beneficial impact of risk corridors in several states. We continued to benefit from membership growth related to the suspension of redeterminations through the end of the first quarter of 2023. Additionally, membership increased due to the commencement of the Iowa Medicaid contract in July 2023 and the impact from the AgeWell acquisition that closed in the fourth quarter of 2022 and the My Choice Wisconsin acquisition that closed on September 1, 2023. These increases were partially offset by the net membership impact of redetermination. By the end of the third quarter of 2023, all states within our Medicaid footprint had begun disenrolling members.</w:t>
      </w:r>
    </w:p>
    <w:p>
      <w:pPr>
        <w:spacing w:after="0" w:line="84"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The medical margin in our Medicaid program increased $49 million, or 7%, in the third quarter of 2023 when compared with the third quarter of 2022, and increased $74 million, or 3%, in the nine months ended September 30, 2023 when compared with the nine months ended September 30, 2022. The year-over-year changes for both periods were driven by increased premium revenues discussed above, partially offset by an increase in MCR.</w:t>
      </w:r>
    </w:p>
    <w:p>
      <w:pPr>
        <w:spacing w:after="0" w:line="82"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The Medicaid MCR increased 30 basis points to 88.8% in the third quarter of 2023, from 88.5% in the third quarter of 2022, and increased 30 basis points to 88.5% in the nine months ended September 30, 2023, from 88.2% in the nine months ended September 30, 2022. The increase for both periods was mainly attributable to changes in business and membership mix, including a modest acuity impact from redetermination, partially offset by the beneficial impact of risk corridor offsets in several states, improved operating performance and medical cost management. The MCR increase in the third quarter of 2023 also reflects a provisional retroactive rate adjustment</w:t>
      </w: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2023 Form 10-Q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in New York state. The Medicaid MCR for nine months ended September 30, 2023 is consistent with our long-term target range.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Medicare premium revenue increased $85 million, or 9%, in the third quarter of 2023 compared to the third quarter of 2022, and increased</w:t>
      </w:r>
    </w:p>
    <w:p>
      <w:pPr>
        <w:spacing w:after="0" w:line="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$275 million, or 10%, in the nine months ended September 30, 2023 compared to the nine months ended September 30, 2022. The increase was primarily due to the impact of MAPD and D-SNP membership expansion, including organic membership growth in existing states and the closing of My Choice Wisconsin on September 1, 2023.</w:t>
      </w:r>
    </w:p>
    <w:p>
      <w:pPr>
        <w:spacing w:after="0" w:line="82"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The medical margin for Medicare decreased $30 million in the third quarter of 2023, and decreased $43 million in the nine months ended September 30, 2023, when compared to the same periods in 2022. The decrease in both periods was mainly due to the increase in MCR discussed below, partially offset by the increase in premium revenues.</w:t>
      </w:r>
    </w:p>
    <w:p>
      <w:pPr>
        <w:spacing w:after="0" w:line="7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Medicare MCR increased to 92.4% in the third quarter of 2023, from 88.7% in the third quarter of 2022, or 370 basis points. The Medicare MCR increased to 89.8% in the nine months ended September 30, 2023, compared to 87.4% in the nine months ended September 30, 2022, or 240 basis points. The increases were primarily driven by increased utilization in professional, outpatient, and in-home services, and the impact of lower risk-adjusted premiums associated with new MAPD and D-SNP members, partially offset by higher risk scores on renewing members that more closely reflect the acuity of our membership. The Medicare MCR for the nine months ended September 30, 2023 is above our long-term target range.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Marketplace</w:t>
      </w:r>
    </w:p>
    <w:p>
      <w:pPr>
        <w:spacing w:after="0" w:line="12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Marketplace premium revenue decreased $67 million in the third quarter of 2023 compared to the third quarter of 2022, and decreased $213 million in the nine months ended September 30, 2023 compared to the nine months ended September 30, 2022. The decrease in both periods was mainly due to an expected reduction in membership, partially offset by an increase in premium revenue PMPM. Our Marketplace membership as of September 30, 2023, amounted to 276,000 members, representing a decline of 77,000 members compared to September 30, 2022, which is in line with our product and pricing strategy to achieve our target margins in this segment. The increase in premium revenue PMPM was due to higher silver metal tier product mix consistent with the product and pricing strategy and higher risk adjustment premiums.</w:t>
      </w:r>
    </w:p>
    <w:p>
      <w:pPr>
        <w:spacing w:after="0" w:line="8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The Marketplace medical margin increased $27 million in the third quarter of 2023 when compared with the third quarter of 2022, and increased $138 million in the nine months ended September 30, 2023 when compared with the nine months ended September 30, 2022. The improvement in the third quarter of 2023 was due mainly to the decrease in MCR discussed below, partially offset by the decrease in membership and premiums.</w:t>
      </w:r>
    </w:p>
    <w:p>
      <w:pPr>
        <w:spacing w:after="0" w:line="8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Marketplace MCR decreased to 78.9% in the third quarter of 2023, compared to 86.3% in the third quarter of 2022, or 740 basis points, and decreased to 73.8% in the nine months ended September 30, 2023, compared to 85.1% in the nine months ended September 30, 2022, or 1,130 basis points. The decreases in both periods resulted mainly from our product and pricing strategy to achieve our target margins, including higher risk adjustment premium on silver metal tier and renewal members, commensurate with the acuity profile of those members. In addition, the comparison for the nine-month periods reflects a favorable change in the 2022 risk adjustment payable recognized in the second quarter of 2023, compared to an unfavorable change in the 2021 risk adjustment payable recognized in the second quarter of 2022. Silver metal tier products incur less MCR seasonality than bronze metal tier products due to lower deductibles. These impacts were partially offset by changes in membership mix discussed above. Our 2023 Marketplace MCR was within full year expectations to achieve single digit margins for this business.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2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Other segment includes service revenues and costs associated with long-term services and supports consultative services we provide in Wisconsin, and also includes certain corporate amounts not allocated to the Medicaid, Medicare, or Marketplace segments. Such amounts were immaterial to our consolidated results of operations for the three and nine months ended September 30,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2023 Form 10-Q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LIQUIDITY, FINANCIAL CONDITION AND CAPITAL RESOURCES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LIQUIDITY</w:t>
      </w:r>
    </w:p>
    <w:p>
      <w:pPr>
        <w:spacing w:after="0" w:line="12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manage our cash, investments, and capital structure to meet the short- and long-term obligations of our business while maintaining liquidity and financial flexibility. We forecast, analyze, and monitor our cash flows to enable prudent investment management and financing within the confines of our financial strategy.</w:t>
      </w:r>
    </w:p>
    <w:p>
      <w:pPr>
        <w:spacing w:after="0" w:line="76"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We maintain liquidity at two levels: 1) the regulated health plan subsidiaries; and 2) the parent company. Our regulated subsidiaries generate significant cash flows from premium revenue, which is generally received a short time before related healthcare services are paid. Premium revenue is our primary source of liquidity. Thus, any decline in the receipt of premium revenue, and our profitability, could have a negative impact on our liquidity.</w:t>
      </w:r>
    </w:p>
    <w:p>
      <w:pPr>
        <w:spacing w:after="0" w:line="8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 majority of the assets held by our regulated health plan subsidiaries is in the form of cash, cash equivalents, and investments. When available and as permitted by applicable regulations, cash in excess of the capital needs of our regulated health plan subsidiaries is generally paid in the form of dividends to our parent company to be used for general corporate purposes. In the third quarter and nine months ended September 30, 2023, the parent company received $175 million and $423 million, respectively, in dividends and return of capital from the regulated health plan subsidiaries. See further discussion of dividends below in “Future Sources and Uses of Liquidity—Future Sources.”</w:t>
      </w:r>
    </w:p>
    <w:p>
      <w:pPr>
        <w:spacing w:after="0" w:line="84"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The parent company may also contribute capital to the regulated health plan subsidiaries to satisfy minimum statutory net worth requirements, including funding for newer health plans and acquisitions. In the third quarter and nine months ended September 30, 2023, the parent company contributed capital in the aggregate amount of $152 million and $185 million, respectively, to certain of the regulated health plan subsidiaries.</w:t>
      </w:r>
    </w:p>
    <w:p>
      <w:pPr>
        <w:spacing w:after="0" w:line="82"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Cash, cash equivalents and investments at the parent company amounted to $481 million and $ 375 million as of September 30, 2023, and December 31, 2022, respectively. The increase as of September 30, 2023, was primarily due to dividends received from regulated health plan subsidiaries, partially offset by the timing of corporate payments, capital contributions to regulated health plan subsidiaries and net cash paid for acquisitions.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2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After considering expected cash flows from operating activities, we generally invest cash of regulated subsidiaries that exceeds our expected short-term obligations in longer term, investment-grade, and marketable debt securities to improve our overall investment return. These investments are made pursuant to board-approved investment policies which conform to applicable state laws and regulations.</w:t>
      </w:r>
    </w:p>
    <w:p>
      <w:pPr>
        <w:spacing w:after="0" w:line="7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investment policies are designed to provide liquidity, preserve capital, and maximize total return on invested assets, all in a manner consistent with state requirements that prescribe the types of instruments in which our subsidiaries may invest. These investment policies require that our investments have final maturities of less than 15 years, or less than 15 years average life for structured securities. Professional portfolio managers operating under documented guidelines manage our investments and a portion of our cash equivalents. Our portfolio managers must obtain our prior approval before selling investments where the loss position of those investments exceeds certain levels.</w:t>
      </w:r>
    </w:p>
    <w:p>
      <w:pPr>
        <w:spacing w:after="0" w:line="84" w:lineRule="exact"/>
        <w:rPr>
          <w:sz w:val="20"/>
          <w:szCs w:val="20"/>
          <w:color w:val="auto"/>
        </w:rPr>
      </w:pPr>
    </w:p>
    <w:p>
      <w:pPr>
        <w:jc w:val="both"/>
        <w:ind w:right="140"/>
        <w:spacing w:after="0" w:line="306" w:lineRule="auto"/>
        <w:rPr>
          <w:sz w:val="20"/>
          <w:szCs w:val="20"/>
          <w:color w:val="auto"/>
        </w:rPr>
      </w:pPr>
      <w:r>
        <w:rPr>
          <w:rFonts w:ascii="Arial" w:cs="Arial" w:eastAsia="Arial" w:hAnsi="Arial"/>
          <w:sz w:val="17"/>
          <w:szCs w:val="17"/>
          <w:color w:val="auto"/>
        </w:rPr>
        <w:t>The overall rating of our portfolio remains strong and is rated A+. Our investment policy has directives in conjunction with state guidelines to minimize risks and exposures in volatile markets. Additionally, our portfolio managers assist us in navigating volatility in the capital markets.</w:t>
      </w:r>
    </w:p>
    <w:p>
      <w:pPr>
        <w:spacing w:after="0" w:line="42"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color w:val="auto"/>
        </w:rPr>
        <w:t>Our restricted investments are invested principally in cash, cash equivalents, U.S. Treasury securities, and corporate debt securities; we have the ability to hold such restricted investments until maturity. All of our unrestricted investments are classified as current assets.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2023 Form 10-Q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Activities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Our cash flows are summarized as follows:</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668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6"/>
          </w:tcPr>
          <w:p>
            <w:pPr>
              <w:jc w:val="center"/>
              <w:ind w:left="21"/>
              <w:spacing w:after="0"/>
              <w:rPr>
                <w:sz w:val="20"/>
                <w:szCs w:val="20"/>
                <w:color w:val="auto"/>
              </w:rPr>
            </w:pPr>
            <w:r>
              <w:rPr>
                <w:rFonts w:ascii="Arial" w:cs="Arial" w:eastAsia="Arial" w:hAnsi="Arial"/>
                <w:sz w:val="14"/>
                <w:szCs w:val="14"/>
                <w:b w:val="1"/>
                <w:bCs w:val="1"/>
                <w:color w:val="auto"/>
              </w:rPr>
              <w:t>Nine Months Ended September 30,</w:t>
            </w: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8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6"/>
        </w:trPr>
        <w:tc>
          <w:tcPr>
            <w:tcW w:w="6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920" w:type="dxa"/>
            <w:vAlign w:val="bottom"/>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985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1,367</w:t>
            </w:r>
          </w:p>
        </w:tc>
        <w:tc>
          <w:tcPr>
            <w:tcW w:w="0" w:type="dxa"/>
            <w:vAlign w:val="bottom"/>
          </w:tcPr>
          <w:p>
            <w:pPr>
              <w:spacing w:after="0"/>
              <w:rPr>
                <w:sz w:val="1"/>
                <w:szCs w:val="1"/>
                <w:color w:val="auto"/>
              </w:rPr>
            </w:pPr>
          </w:p>
        </w:tc>
      </w:tr>
      <w:tr>
        <w:trPr>
          <w:trHeight w:val="213"/>
        </w:trPr>
        <w:tc>
          <w:tcPr>
            <w:tcW w:w="668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(938)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19"/>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145"/>
        </w:trPr>
        <w:tc>
          <w:tcPr>
            <w:tcW w:w="6680" w:type="dxa"/>
            <w:vAlign w:val="bottom"/>
          </w:tcPr>
          <w:p>
            <w:pPr>
              <w:ind w:left="140"/>
              <w:spacing w:after="0" w:line="145" w:lineRule="exact"/>
              <w:rPr>
                <w:sz w:val="20"/>
                <w:szCs w:val="20"/>
                <w:color w:val="auto"/>
              </w:rPr>
            </w:pPr>
            <w:r>
              <w:rPr>
                <w:rFonts w:ascii="Arial" w:cs="Arial" w:eastAsia="Arial" w:hAnsi="Arial"/>
                <w:sz w:val="16"/>
                <w:szCs w:val="16"/>
                <w:color w:val="auto"/>
              </w:rPr>
              <w:t>Net increase (decrease) in cash, cash equivalents, and restricted cash and cash</w:t>
            </w:r>
          </w:p>
        </w:tc>
        <w:tc>
          <w:tcPr>
            <w:tcW w:w="920" w:type="dxa"/>
            <w:vAlign w:val="bottom"/>
            <w:vMerge w:val="restart"/>
          </w:tcPr>
          <w:p>
            <w:pPr>
              <w:jc w:val="right"/>
              <w:ind w:right="742"/>
              <w:spacing w:after="0"/>
              <w:rPr>
                <w:sz w:val="20"/>
                <w:szCs w:val="20"/>
                <w:color w:val="auto"/>
              </w:rPr>
            </w:pPr>
            <w:r>
              <w:rPr>
                <w:rFonts w:ascii="Arial" w:cs="Arial" w:eastAsia="Arial" w:hAnsi="Arial"/>
                <w:sz w:val="16"/>
                <w:szCs w:val="16"/>
                <w:color w:val="auto"/>
                <w:w w:val="89"/>
              </w:rPr>
              <w:t>$</w:t>
            </w:r>
          </w:p>
        </w:tc>
        <w:tc>
          <w:tcPr>
            <w:tcW w:w="520" w:type="dxa"/>
            <w:vAlign w:val="bottom"/>
            <w:vMerge w:val="restart"/>
          </w:tcPr>
          <w:p>
            <w:pPr>
              <w:jc w:val="right"/>
              <w:ind w:right="1"/>
              <w:spacing w:after="0"/>
              <w:rPr>
                <w:sz w:val="20"/>
                <w:szCs w:val="20"/>
                <w:color w:val="auto"/>
              </w:rPr>
            </w:pPr>
            <w:r>
              <w:rPr>
                <w:rFonts w:ascii="Arial" w:cs="Arial" w:eastAsia="Arial" w:hAnsi="Arial"/>
                <w:sz w:val="16"/>
                <w:szCs w:val="16"/>
                <w:color w:val="auto"/>
              </w:rPr>
              <w:t>1,572</w:t>
            </w:r>
          </w:p>
        </w:tc>
        <w:tc>
          <w:tcPr>
            <w:tcW w:w="100" w:type="dxa"/>
            <w:vAlign w:val="bottom"/>
          </w:tcPr>
          <w:p>
            <w:pPr>
              <w:spacing w:after="0"/>
              <w:rPr>
                <w:sz w:val="12"/>
                <w:szCs w:val="12"/>
                <w:color w:val="auto"/>
              </w:rPr>
            </w:pP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2"/>
                <w:szCs w:val="12"/>
                <w:color w:val="auto"/>
              </w:rPr>
            </w:pPr>
          </w:p>
        </w:tc>
        <w:tc>
          <w:tcPr>
            <w:tcW w:w="420" w:type="dxa"/>
            <w:vAlign w:val="bottom"/>
            <w:vMerge w:val="restart"/>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1,783</w:t>
            </w:r>
          </w:p>
        </w:tc>
        <w:tc>
          <w:tcPr>
            <w:tcW w:w="0" w:type="dxa"/>
            <w:vAlign w:val="bottom"/>
          </w:tcPr>
          <w:p>
            <w:pPr>
              <w:spacing w:after="0"/>
              <w:rPr>
                <w:sz w:val="1"/>
                <w:szCs w:val="1"/>
                <w:color w:val="auto"/>
              </w:rPr>
            </w:pPr>
          </w:p>
        </w:tc>
      </w:tr>
      <w:tr>
        <w:trPr>
          <w:trHeight w:val="191"/>
        </w:trPr>
        <w:tc>
          <w:tcPr>
            <w:tcW w:w="6680" w:type="dxa"/>
            <w:vAlign w:val="bottom"/>
          </w:tcPr>
          <w:p>
            <w:pPr>
              <w:ind w:left="300"/>
              <w:spacing w:after="0"/>
              <w:rPr>
                <w:sz w:val="20"/>
                <w:szCs w:val="20"/>
                <w:color w:val="auto"/>
              </w:rPr>
            </w:pPr>
            <w:r>
              <w:rPr>
                <w:rFonts w:ascii="Arial" w:cs="Arial" w:eastAsia="Arial" w:hAnsi="Arial"/>
                <w:sz w:val="16"/>
                <w:szCs w:val="16"/>
                <w:color w:val="auto"/>
              </w:rPr>
              <w:t>equivalents</w:t>
            </w:r>
          </w:p>
        </w:tc>
        <w:tc>
          <w:tcPr>
            <w:tcW w:w="92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Activities</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typically receive capitation payments monthly, in advance of payments for medical claims; however, government payors may adjust their payment schedules, positively or negatively impacting our reported cash flows from operating activities in any given period. For example, government payors may delay our premium payments, or they may prepay the following month’s premium payment.</w:t>
      </w:r>
    </w:p>
    <w:p>
      <w:pPr>
        <w:spacing w:after="0" w:line="7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Net cash provided by operations for the nine months ended September 30, 2023 was $2,352 million, compared with $985 million in the nine months ended September 30, 2022. The $1,367 million increase in cash flow was due to the growth in operations and net earnings from organic and new RFP starts and acquisitions accompanied by the net impact of timing differences in government receivables and payables.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Investing Activities</w:t>
      </w:r>
    </w:p>
    <w:p>
      <w:pPr>
        <w:spacing w:after="0" w:line="117"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Net cash used in investing activities was $719 million in the nine months ended September 30, 2023, compared with $938 million used in the nine months ended September 30, 2022, an increase in cash flow of $219 million. This increase in cash flow was primarily due to the net activity of proceeds and purchases of investments in the nine months ended September 30, 2023. In the nine months ended September 30, 2023 and 2022, net cash outflow related to acquisitions was $3 million and $134 million, respectively.</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Net cash used in financing activities was $61 million in the nine months ended September 30, 2023, compared with $258 million used in the nine months ended September 30, 2022, an increase in cash flow of $ 197 million. In the nine months ended September 30, 2023, financing cash outflows included $60 million for common stock withheld to settle employee tax obligations. In the nine months ended September 30, 2022, financing cash outflows included common stock purchases of $ 200 million and $53 million for common stock withheld to settle employee tax obligations. Additionally, we paid $20 million in the nine months ended September 30, 2022, to settle contingent consideration liabilities.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FINANCIAL CONDITION</w:t>
      </w:r>
    </w:p>
    <w:p>
      <w:pPr>
        <w:spacing w:after="0" w:line="12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We believe that our cash resources, borrowing capacity available under the Credit Agreement as discussed further below in “Future Sources and Uses of Liquidity—Future Sources,” and internally generated funds will be sufficient to support our operations, regulatory requirements, debt repayment obligations and capital expenditures for at least the next 12 months.</w:t>
      </w:r>
    </w:p>
    <w:p>
      <w:pPr>
        <w:spacing w:after="0" w:line="7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a consolidated basis, at September 30, 2023, our working capital was $4.0 billion, compared with $ 3.2 billion at December 31, 2022. At September 30, 2023, our cash and investments amounted to $9.9 billion, compared with $7.7 billion at December 31, 2022. A significant portion of our portfolio is held in cash and cash equivalents and we do not anticipate the fluctuations in the aggregate fair value of our financial assets to have a material impact on our liquidity or capital position since we intend to hold our securities to maturity. Net unrealized losses on our investments classified as current and available for sale was $ 217 million at September 30, 2023 and $210 million at December 31, 2022. We have determined that the unrealized losses primarily resulted from fluctuating interest rates, rather than a deterioration of the creditworthiness of the issuers.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Capital and Dividend Restrictions</w:t>
      </w:r>
    </w:p>
    <w:p>
      <w:pPr>
        <w:spacing w:after="0" w:line="12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Each of our regulated, wholly owned subsidiaries must maintain a minimum amount of statutory capital determined by statute or regulations. Such statutes, regulations and capital requirements also restrict the timing, payment and amount of dividends and other distributions, loans or advances that may be paid to us as the sole stockholder. To</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2023 Form 10-Q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the extent our subsidiaries must comply with these regulations, they may not have the financial flexibility to transfer funds to us. Based upon current statutes and regulations, the minimum capital and surplus requirement for these subsidiaries was estimated to be approximately $2.4 billion at September 30, 2023 and $ 2.3 billion at December 31, 2022. The aggregate capital and surplus of our regulated, wholly owned subsidiaries was in excess of these minimum capital requirements as of both dates.</w:t>
      </w:r>
    </w:p>
    <w:p>
      <w:pPr>
        <w:spacing w:after="0" w:line="8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Under applicable regulatory requirements, the amount of dividends that may be paid by our regulated, wholly owned subsidiaries without prior approval by regulatory authorities as of September 30, 2023, was approximately $250 million in the aggregate. These subsidiaries may pay dividends over this amount, but only after approval is granted by the regulatory authorities.</w:t>
      </w:r>
    </w:p>
    <w:p>
      <w:pPr>
        <w:spacing w:after="0" w:line="7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Based on our cash and investments balances as of September 30, 2023, management believes that our regulated, wholly owned subsidiaries remain well capitalized and exceed their regulatory minimum requirements. We have the ability, and have committed to provide, additional capital to each of our health plans as necessary to ensure compliance with statutory capital and surplus requirements.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Ratings</w:t>
      </w:r>
    </w:p>
    <w:p>
      <w:pPr>
        <w:spacing w:after="0" w:line="127"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Each of our senior notes is rated “BB-” by Standard &amp; Poor’s, and “Ba3” by Moody’s Investor Service, Inc. A downgrade in our ratings could adversely affect our borrowing capacity and increase our future borrowing costs.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Covenants</w:t>
      </w:r>
    </w:p>
    <w:p>
      <w:pPr>
        <w:spacing w:after="0" w:line="127"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color w:val="auto"/>
        </w:rPr>
        <w:t>The Credit Agreement contains customary non-financial and financial covenants, including a net leverage ratio and an interest coverage ratio. Such ratios are computed as defined by the terms of the Credit Agreement.</w:t>
      </w:r>
    </w:p>
    <w:p>
      <w:pPr>
        <w:spacing w:after="0" w:line="66"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In addition, the indentures governing each of our outstanding senior notes contain cross-default provisions that are triggered upon default by us or any of our subsidiaries on any indebtedness in excess of the amount specified in the applicable indenture. As of September 30, 2023, we were in compliance with all financial and non-financial covenants under the Credit Agreement and the indentures governing our senior notes.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FUTURE SOURCES AND USES OF LIQUIDITY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Sources</w:t>
      </w:r>
    </w:p>
    <w:p>
      <w:pPr>
        <w:spacing w:after="0" w:line="12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Our regulated subsidiaries generate significant cash flows from premium revenue, which is generally received a short time before related healthcare services are paid. Premium revenue is our primary source of liquidity. Thus, any decline in the receipt of premium revenue, and our profitability, could have a negative impact on our liquidity.</w:t>
      </w:r>
    </w:p>
    <w:p>
      <w:pPr>
        <w:spacing w:after="0" w:line="70"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Regulatory Developments</w:t>
      </w:r>
      <w:r>
        <w:rPr>
          <w:rFonts w:ascii="Arial" w:cs="Arial" w:eastAsia="Arial" w:hAnsi="Arial"/>
          <w:sz w:val="18"/>
          <w:szCs w:val="18"/>
          <w:color w:val="auto"/>
        </w:rPr>
        <w:t>. Excluding acquisitions and our exit from Puerto Rico, we added approximately 800,000 new Medicaid members</w:t>
      </w:r>
      <w:r>
        <w:rPr>
          <w:rFonts w:ascii="Arial" w:cs="Arial" w:eastAsia="Arial" w:hAnsi="Arial"/>
          <w:sz w:val="18"/>
          <w:szCs w:val="18"/>
          <w:i w:val="1"/>
          <w:iCs w:val="1"/>
          <w:color w:val="auto"/>
        </w:rPr>
        <w:t xml:space="preserve"> </w:t>
      </w:r>
      <w:r>
        <w:rPr>
          <w:rFonts w:ascii="Arial" w:cs="Arial" w:eastAsia="Arial" w:hAnsi="Arial"/>
          <w:sz w:val="18"/>
          <w:szCs w:val="18"/>
          <w:color w:val="auto"/>
        </w:rPr>
        <w:t>since March 31, 2020, when we first began to report on the impacts of the pandemic. We believe this membership increase was mainly due to the suspension of redeterminations for Medicaid eligibility. The Consolidated Appropriations Act of 2023 authorized states to resume redeterminations and terminate coverage for ineligible enrollees starting on April 1, 2023, irrespective of the status of the PHE. Consequently, during the third quarter of 2023, all states in which we operate had begun disenrolling members. In the third quarter, we estimate we lost approximately 200,000 members due to the net effect of redeterminations, offset by new enrollment, bringing the year-to-date figure to approximately 300,000. Given the high number of procedural terminations and increasing interventions by CMS and various states, we expect reconnects will likely continue, decreasing currently reported losses. Although the medical cost profile of members who have been disenrolled is more favorable than the Medicaid segment average, when combined with the beneficial impact of corridor offsets in several states, our Medicaid MCR for the nine months ended September 30, 2023 was within our expectations. We are still in the early stages of the Medicaid redetermination process, but based on the experience to date, we expect that we will retain approximately 40% of the membership gained since March 31, 2020.</w:t>
      </w:r>
    </w:p>
    <w:p>
      <w:pPr>
        <w:spacing w:after="0" w:line="82"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i w:val="1"/>
          <w:iCs w:val="1"/>
          <w:color w:val="auto"/>
        </w:rPr>
        <w:t xml:space="preserve">Dividends from Subsidiaries. </w:t>
      </w:r>
      <w:r>
        <w:rPr>
          <w:rFonts w:ascii="Arial" w:cs="Arial" w:eastAsia="Arial" w:hAnsi="Arial"/>
          <w:sz w:val="18"/>
          <w:szCs w:val="18"/>
          <w:color w:val="auto"/>
        </w:rPr>
        <w:t>When available and as permitted by applicable regulations, cash in excess of the capital needs of our regulated</w:t>
      </w:r>
      <w:r>
        <w:rPr>
          <w:rFonts w:ascii="Arial" w:cs="Arial" w:eastAsia="Arial" w:hAnsi="Arial"/>
          <w:sz w:val="18"/>
          <w:szCs w:val="18"/>
          <w:i w:val="1"/>
          <w:iCs w:val="1"/>
          <w:color w:val="auto"/>
        </w:rPr>
        <w:t xml:space="preserve"> </w:t>
      </w:r>
      <w:r>
        <w:rPr>
          <w:rFonts w:ascii="Arial" w:cs="Arial" w:eastAsia="Arial" w:hAnsi="Arial"/>
          <w:sz w:val="18"/>
          <w:szCs w:val="18"/>
          <w:color w:val="auto"/>
        </w:rPr>
        <w:t>health plans is generally paid in the form of dividends to our unregulated parent company to be used for general corporate purposes.</w:t>
      </w:r>
    </w:p>
    <w:p>
      <w:pPr>
        <w:spacing w:after="0" w:line="54"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 xml:space="preserve">Credit Agreement Borrowing Capacity. </w:t>
      </w:r>
      <w:r>
        <w:rPr>
          <w:rFonts w:ascii="Arial" w:cs="Arial" w:eastAsia="Arial" w:hAnsi="Arial"/>
          <w:sz w:val="18"/>
          <w:szCs w:val="18"/>
          <w:color w:val="auto"/>
        </w:rPr>
        <w:t>As of September 30, 2023, we had available borrowing capacity of $1 billion under the revolving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of our Credit Agreement. In addition, the Credit Agreement provides for a $15 million swingline sub-facility and a $100 million letter of credit sub-facility, as well as incremental term loans available to finance certain acquisitions up to $500 million, plus an unlimited amount of such term loans as long as our consolidated net leverage ratio is not greater than a defined maximum. See further discussion in the Notes to Consolidated Financial Statements, Note 8, “Debt.”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2023 Form 10-Q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Uses</w:t>
      </w:r>
    </w:p>
    <w:p>
      <w:pPr>
        <w:spacing w:after="0" w:line="121"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 xml:space="preserve">Common Stock Purchases. </w:t>
      </w:r>
      <w:r>
        <w:rPr>
          <w:rFonts w:ascii="Arial" w:cs="Arial" w:eastAsia="Arial" w:hAnsi="Arial"/>
          <w:sz w:val="18"/>
          <w:szCs w:val="18"/>
          <w:color w:val="auto"/>
        </w:rPr>
        <w:t>In September 2023, our board of directors authorized the purchase of up to $750 million of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This new program supersedes the stock purchase program previously approved by our board of directors in November 2022 and extends through December 31, 2024. The exact timing and amount of any repurchase is determined by management based on market conditions and share price, in addition to other factors, and subject to the restrictions relating to volume, price, and timing under applicable law. As of September 30, 2023, $750 million remained available to purchase our common stock under this program.</w:t>
      </w:r>
    </w:p>
    <w:p>
      <w:pPr>
        <w:spacing w:after="0" w:line="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Acquisitions</w:t>
      </w:r>
      <w:r>
        <w:rPr>
          <w:rFonts w:ascii="Arial" w:cs="Arial" w:eastAsia="Arial" w:hAnsi="Arial"/>
          <w:sz w:val="18"/>
          <w:szCs w:val="18"/>
          <w:color w:val="auto"/>
        </w:rPr>
        <w:t>. On June 30, 2023, we announced a definitive agreement to acquire 100% of the issued and outstanding capital stock of Brand</w:t>
      </w:r>
      <w:r>
        <w:rPr>
          <w:rFonts w:ascii="Arial" w:cs="Arial" w:eastAsia="Arial" w:hAnsi="Arial"/>
          <w:sz w:val="18"/>
          <w:szCs w:val="18"/>
          <w:i w:val="1"/>
          <w:iCs w:val="1"/>
          <w:color w:val="auto"/>
        </w:rPr>
        <w:t xml:space="preserve"> </w:t>
      </w:r>
      <w:r>
        <w:rPr>
          <w:rFonts w:ascii="Arial" w:cs="Arial" w:eastAsia="Arial" w:hAnsi="Arial"/>
          <w:sz w:val="18"/>
          <w:szCs w:val="18"/>
          <w:color w:val="auto"/>
        </w:rPr>
        <w:t>New Day and Central Health Plan of California, each of which is a wholly owned subsidiary of Bright Health Company of California, Inc. The purchase price for the transaction is approximately $510 million, net of certain tax benefits, which we intend to fund with available funds including cash on hand. The transaction is subject to federal and state regulatory approvals, the solvency and continued operation as a going concern of Bright Health Group throughout the pre-closing period, and other closing conditions. The regulatory approval process is proceeding as planned. We continue to work with Bright management on satisfying the remaining closing conditions and continue to expect to close by the first quarter of 2024.</w:t>
      </w:r>
    </w:p>
    <w:p>
      <w:pPr>
        <w:spacing w:after="0" w:line="81"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i w:val="1"/>
          <w:iCs w:val="1"/>
          <w:color w:val="auto"/>
        </w:rPr>
        <w:t xml:space="preserve">Regulatory Capital Requirements. </w:t>
      </w:r>
      <w:r>
        <w:rPr>
          <w:rFonts w:ascii="Arial" w:cs="Arial" w:eastAsia="Arial" w:hAnsi="Arial"/>
          <w:sz w:val="18"/>
          <w:szCs w:val="18"/>
          <w:color w:val="auto"/>
        </w:rPr>
        <w:t>We have the ability, and have committed to provide, additional capital to each of our health plans as</w:t>
      </w:r>
      <w:r>
        <w:rPr>
          <w:rFonts w:ascii="Arial" w:cs="Arial" w:eastAsia="Arial" w:hAnsi="Arial"/>
          <w:sz w:val="18"/>
          <w:szCs w:val="18"/>
          <w:i w:val="1"/>
          <w:iCs w:val="1"/>
          <w:color w:val="auto"/>
        </w:rPr>
        <w:t xml:space="preserve"> </w:t>
      </w:r>
      <w:r>
        <w:rPr>
          <w:rFonts w:ascii="Arial" w:cs="Arial" w:eastAsia="Arial" w:hAnsi="Arial"/>
          <w:sz w:val="18"/>
          <w:szCs w:val="18"/>
          <w:color w:val="auto"/>
        </w:rPr>
        <w:t>necessary to ensure compliance with statutory capital and surplus requirements.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CONTRACTUAL OBLIGATIONS</w:t>
      </w:r>
    </w:p>
    <w:p>
      <w:pPr>
        <w:spacing w:after="0" w:line="118"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A summary of future obligations under our various contractual obligations and commitments as of December 31, 2022, was disclosed in our 2022 Annual Report on Form 10-K.</w:t>
      </w:r>
    </w:p>
    <w:p>
      <w:pPr>
        <w:spacing w:after="0" w:line="66"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color w:val="auto"/>
        </w:rPr>
        <w:t>There were no significant changes to our contractual obligations and commitments outside the ordinary course of business during the nine months ended September 30, 2023.</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CRITICAL ACCOUNTING ESTIMATES</w:t>
      </w:r>
    </w:p>
    <w:p>
      <w:pPr>
        <w:spacing w:after="0" w:line="118"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color w:val="auto"/>
        </w:rPr>
        <w:t>When we prepare our consolidated financial statements, we use estimates based on assumptions that may affect reported amounts and disclosures; actual results could differ from these estimates. Our critical accounting estimates relate to:</w:t>
      </w:r>
    </w:p>
    <w:p>
      <w:pPr>
        <w:spacing w:after="0" w:line="60" w:lineRule="exact"/>
        <w:rPr>
          <w:sz w:val="20"/>
          <w:szCs w:val="20"/>
          <w:color w:val="auto"/>
        </w:rPr>
      </w:pPr>
    </w:p>
    <w:p>
      <w:pPr>
        <w:ind w:left="660" w:right="240" w:hanging="328"/>
        <w:spacing w:after="0" w:line="277" w:lineRule="auto"/>
        <w:tabs>
          <w:tab w:leader="none" w:pos="655" w:val="left"/>
        </w:tabs>
        <w:numPr>
          <w:ilvl w:val="0"/>
          <w:numId w:val="13"/>
        </w:numPr>
        <w:rPr>
          <w:rFonts w:ascii="Arial" w:cs="Arial" w:eastAsia="Arial" w:hAnsi="Arial"/>
          <w:sz w:val="17"/>
          <w:szCs w:val="17"/>
          <w:i w:val="1"/>
          <w:iCs w:val="1"/>
          <w:color w:val="auto"/>
        </w:rPr>
      </w:pPr>
      <w:r>
        <w:rPr>
          <w:rFonts w:ascii="Arial" w:cs="Arial" w:eastAsia="Arial" w:hAnsi="Arial"/>
          <w:sz w:val="17"/>
          <w:szCs w:val="17"/>
          <w:i w:val="1"/>
          <w:iCs w:val="1"/>
          <w:color w:val="auto"/>
        </w:rPr>
        <w:t>Medical claims and benefits payable</w:t>
      </w:r>
      <w:r>
        <w:rPr>
          <w:rFonts w:ascii="Arial" w:cs="Arial" w:eastAsia="Arial" w:hAnsi="Arial"/>
          <w:sz w:val="17"/>
          <w:szCs w:val="17"/>
          <w:color w:val="auto"/>
        </w:rPr>
        <w:t>. Refer to Notes to Consolidated Financial Statements, Note 7, “Medical Claims and Benefits</w:t>
      </w:r>
      <w:r>
        <w:rPr>
          <w:rFonts w:ascii="Arial" w:cs="Arial" w:eastAsia="Arial" w:hAnsi="Arial"/>
          <w:sz w:val="17"/>
          <w:szCs w:val="17"/>
          <w:i w:val="1"/>
          <w:iCs w:val="1"/>
          <w:color w:val="auto"/>
        </w:rPr>
        <w:t xml:space="preserve"> </w:t>
      </w:r>
      <w:r>
        <w:rPr>
          <w:rFonts w:ascii="Arial" w:cs="Arial" w:eastAsia="Arial" w:hAnsi="Arial"/>
          <w:sz w:val="17"/>
          <w:szCs w:val="17"/>
          <w:color w:val="auto"/>
        </w:rPr>
        <w:t>Payable,” for a table that presents the components of the change in medical claims and benefits payable, and for additional information regarding the factors used to determine our changes in estimates for all periods presented in the accompanying consolidated financial statements. Other than the discussion as noted above, in the nine months ended September 30, 2023 there were no significant changes to our disclosure reported in “Critical Accounting Estimates” in our 2022 Annual Report on Form 10-K.</w:t>
      </w:r>
    </w:p>
    <w:p>
      <w:pPr>
        <w:spacing w:after="0" w:line="59" w:lineRule="exact"/>
        <w:rPr>
          <w:rFonts w:ascii="Arial" w:cs="Arial" w:eastAsia="Arial" w:hAnsi="Arial"/>
          <w:sz w:val="17"/>
          <w:szCs w:val="17"/>
          <w:i w:val="1"/>
          <w:iCs w:val="1"/>
          <w:color w:val="auto"/>
        </w:rPr>
      </w:pPr>
    </w:p>
    <w:p>
      <w:pPr>
        <w:jc w:val="both"/>
        <w:ind w:left="660" w:right="380" w:hanging="328"/>
        <w:spacing w:after="0" w:line="313"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Contractual provisions that may adjust or limit revenue or profit</w:t>
      </w:r>
      <w:r>
        <w:rPr>
          <w:rFonts w:ascii="Arial" w:cs="Arial" w:eastAsia="Arial" w:hAnsi="Arial"/>
          <w:sz w:val="17"/>
          <w:szCs w:val="17"/>
          <w:color w:val="auto"/>
        </w:rPr>
        <w:t>. For a discussion of this topic, including amounts recorded in our</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financial statements, refer to Notes to Consolidated Financial Statements, Note 2, “Significant Accounting Policies.”</w:t>
      </w:r>
    </w:p>
    <w:p>
      <w:pPr>
        <w:spacing w:after="0" w:line="30" w:lineRule="exact"/>
        <w:rPr>
          <w:rFonts w:ascii="Arial" w:cs="Arial" w:eastAsia="Arial" w:hAnsi="Arial"/>
          <w:sz w:val="17"/>
          <w:szCs w:val="17"/>
          <w:color w:val="auto"/>
        </w:rPr>
      </w:pPr>
    </w:p>
    <w:p>
      <w:pPr>
        <w:ind w:left="660" w:right="300" w:hanging="328"/>
        <w:spacing w:after="0" w:line="282" w:lineRule="auto"/>
        <w:tabs>
          <w:tab w:leader="none" w:pos="655"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Quality incentives</w:t>
      </w:r>
      <w:r>
        <w:rPr>
          <w:rFonts w:ascii="Arial" w:cs="Arial" w:eastAsia="Arial" w:hAnsi="Arial"/>
          <w:sz w:val="18"/>
          <w:szCs w:val="18"/>
          <w:color w:val="auto"/>
        </w:rPr>
        <w:t>. In the nine months ended September 30, 2023, there were no significant changes to our disclosure reported in</w:t>
      </w:r>
      <w:r>
        <w:rPr>
          <w:rFonts w:ascii="Arial" w:cs="Arial" w:eastAsia="Arial" w:hAnsi="Arial"/>
          <w:sz w:val="18"/>
          <w:szCs w:val="18"/>
          <w:i w:val="1"/>
          <w:iCs w:val="1"/>
          <w:color w:val="auto"/>
        </w:rPr>
        <w:t xml:space="preserve"> </w:t>
      </w:r>
      <w:r>
        <w:rPr>
          <w:rFonts w:ascii="Arial" w:cs="Arial" w:eastAsia="Arial" w:hAnsi="Arial"/>
          <w:sz w:val="18"/>
          <w:szCs w:val="18"/>
          <w:color w:val="auto"/>
        </w:rPr>
        <w:t>“Critical Accounting Estimates” in our 2022 Annual Report on Form 10-K.</w:t>
      </w:r>
    </w:p>
    <w:p>
      <w:pPr>
        <w:spacing w:after="0" w:line="53" w:lineRule="exact"/>
        <w:rPr>
          <w:rFonts w:ascii="Arial" w:cs="Arial" w:eastAsia="Arial" w:hAnsi="Arial"/>
          <w:sz w:val="18"/>
          <w:szCs w:val="18"/>
          <w:i w:val="1"/>
          <w:iCs w:val="1"/>
          <w:color w:val="auto"/>
        </w:rPr>
      </w:pPr>
    </w:p>
    <w:p>
      <w:pPr>
        <w:ind w:left="660" w:right="840" w:hanging="328"/>
        <w:spacing w:after="0" w:line="313" w:lineRule="auto"/>
        <w:tabs>
          <w:tab w:leader="none" w:pos="655" w:val="left"/>
        </w:tabs>
        <w:numPr>
          <w:ilvl w:val="0"/>
          <w:numId w:val="1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Business combinations, goodwill, and intangible assets, net. </w:t>
      </w:r>
      <w:r>
        <w:rPr>
          <w:rFonts w:ascii="Arial" w:cs="Arial" w:eastAsia="Arial" w:hAnsi="Arial"/>
          <w:sz w:val="17"/>
          <w:szCs w:val="17"/>
          <w:color w:val="auto"/>
        </w:rPr>
        <w:t>In the nine months ended September 30, 2023, there were no</w:t>
      </w:r>
      <w:r>
        <w:rPr>
          <w:rFonts w:ascii="Arial" w:cs="Arial" w:eastAsia="Arial" w:hAnsi="Arial"/>
          <w:sz w:val="17"/>
          <w:szCs w:val="17"/>
          <w:i w:val="1"/>
          <w:iCs w:val="1"/>
          <w:color w:val="auto"/>
        </w:rPr>
        <w:t xml:space="preserve"> </w:t>
      </w:r>
      <w:r>
        <w:rPr>
          <w:rFonts w:ascii="Arial" w:cs="Arial" w:eastAsia="Arial" w:hAnsi="Arial"/>
          <w:sz w:val="17"/>
          <w:szCs w:val="17"/>
          <w:color w:val="auto"/>
        </w:rPr>
        <w:t>significant changes to our disclosure reported in “Critical Accounting Estimates” in our 2022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2023 Form 10-Q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QUANTITATIVE AND QUALITATIVE DISCLOSURES ABOUT MARKET RISK</w:t>
      </w:r>
    </w:p>
    <w:p>
      <w:pPr>
        <w:spacing w:after="0" w:line="118"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color w:val="auto"/>
        </w:rPr>
        <w:t>Our earnings and financial position are exposed to financial market risk relating to changes in interest rates, and the resulting impact on investment income and interest expense.</w:t>
      </w:r>
    </w:p>
    <w:p>
      <w:pPr>
        <w:spacing w:after="0" w:line="66" w:lineRule="exact"/>
        <w:rPr>
          <w:sz w:val="20"/>
          <w:szCs w:val="20"/>
          <w:color w:val="auto"/>
        </w:rPr>
      </w:pPr>
    </w:p>
    <w:p>
      <w:pPr>
        <w:ind w:right="360"/>
        <w:spacing w:after="0" w:line="258" w:lineRule="auto"/>
        <w:rPr>
          <w:sz w:val="20"/>
          <w:szCs w:val="20"/>
          <w:color w:val="auto"/>
        </w:rPr>
      </w:pPr>
      <w:r>
        <w:rPr>
          <w:rFonts w:ascii="Arial" w:cs="Arial" w:eastAsia="Arial" w:hAnsi="Arial"/>
          <w:sz w:val="18"/>
          <w:szCs w:val="18"/>
          <w:color w:val="auto"/>
        </w:rPr>
        <w:t>Substantially all of our investments and restricted investments are subject to interest rate risk and will decrease in value if market interest rates increase. Assuming a hypothetical and immediate 1% increase in market interest rates at September 30, 2023, the fair value of our fixed income investments would decrease by approximately $104 million. Declines in interest rates over time will reduce our investment income.</w:t>
      </w:r>
    </w:p>
    <w:p>
      <w:pPr>
        <w:spacing w:after="0" w:line="82"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For further information on fair value measurements and our investment portfolio, please refer to Notes to Consolidated Financial Statements, Note 5, “Fair Value Measurements,” and Note 6, “Investments.”</w:t>
      </w:r>
    </w:p>
    <w:p>
      <w:pPr>
        <w:spacing w:after="0" w:line="66"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color w:val="auto"/>
        </w:rPr>
        <w:t>Borrowings under the Credit Agreement bear interest based, at our election, on a base rate or other defined rate, plus in each case, the applicable margin. For further information, see Notes to Consolidated Financial Statements, Note 8, “Debt.”</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CONTROLS AND PROCEDURES</w:t>
      </w:r>
    </w:p>
    <w:p>
      <w:pPr>
        <w:spacing w:after="0" w:line="112" w:lineRule="exact"/>
        <w:rPr>
          <w:sz w:val="20"/>
          <w:szCs w:val="20"/>
          <w:color w:val="auto"/>
        </w:rPr>
      </w:pPr>
    </w:p>
    <w:p>
      <w:pPr>
        <w:ind w:right="340"/>
        <w:spacing w:after="0" w:line="258" w:lineRule="auto"/>
        <w:rPr>
          <w:sz w:val="20"/>
          <w:szCs w:val="20"/>
          <w:color w:val="auto"/>
        </w:rPr>
      </w:pPr>
      <w:r>
        <w:rPr>
          <w:rFonts w:ascii="Arial" w:cs="Arial" w:eastAsia="Arial" w:hAnsi="Arial"/>
          <w:sz w:val="18"/>
          <w:szCs w:val="18"/>
          <w:i w:val="1"/>
          <w:iCs w:val="1"/>
          <w:color w:val="auto"/>
        </w:rPr>
        <w:t xml:space="preserve">Evaluation of Disclosure Controls and Procedures. </w:t>
      </w:r>
      <w:r>
        <w:rPr>
          <w:rFonts w:ascii="Arial" w:cs="Arial" w:eastAsia="Arial" w:hAnsi="Arial"/>
          <w:sz w:val="18"/>
          <w:szCs w:val="18"/>
          <w:color w:val="auto"/>
        </w:rPr>
        <w:t>Our management, with the participation of our chief executive officer and our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evaluated, as of the end of the period covered by this Quarterly Report on Form 10-Q, the effectiveness of our disclosure controls and procedures (as defined in Rules 13a-15(e) and 15d-15(e) under the Securities Exchange Act). Based on that evaluation, our chief executive officer and chief financial officer concluded that, as of September 30, 2023, our disclosure controls and procedures were effective at the reasonable assurance level.</w:t>
      </w:r>
    </w:p>
    <w:p>
      <w:pPr>
        <w:spacing w:after="0" w:line="75"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were no changes in our internal control over financial reporting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ended September 30, 2023, that materially affected, or are reasonably likely to materially affect, our internal controls over financial reporting.</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LEGAL PROCEEDINGS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regarding legal proceedings, see Notes to Consolidated Financial Statements, Note 11, “Commitments and Contingencies.”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RISK FACTORS</w:t>
      </w:r>
    </w:p>
    <w:p>
      <w:pPr>
        <w:spacing w:after="0" w:line="118" w:lineRule="exact"/>
        <w:rPr>
          <w:sz w:val="20"/>
          <w:szCs w:val="20"/>
          <w:color w:val="auto"/>
        </w:rPr>
      </w:pPr>
    </w:p>
    <w:p>
      <w:pPr>
        <w:jc w:val="both"/>
        <w:ind w:right="240"/>
        <w:spacing w:after="0" w:line="258" w:lineRule="auto"/>
        <w:rPr>
          <w:sz w:val="20"/>
          <w:szCs w:val="20"/>
          <w:color w:val="auto"/>
        </w:rPr>
      </w:pPr>
      <w:r>
        <w:rPr>
          <w:rFonts w:ascii="Arial" w:cs="Arial" w:eastAsia="Arial" w:hAnsi="Arial"/>
          <w:sz w:val="18"/>
          <w:szCs w:val="18"/>
          <w:color w:val="auto"/>
        </w:rPr>
        <w:t>Certain risks may have a material adverse effect on our business, financial condition, cash flows, results of operations, or stock price, and you should carefully consider them before making an investment decision with respect to our securities. In addition to the other information set forth in this report, you should carefully consider the risk factors discussed under the caption “Risk Factors,” in our 2022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2023 Form 10-Q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UNREGISTERED SALES OF EQUITY SECURITIES AND USE OF PROCEEDS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ISSUER PURCHASES OF EQUITY SECURITIES</w:t>
      </w:r>
    </w:p>
    <w:p>
      <w:pPr>
        <w:spacing w:after="0" w:line="127"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color w:val="auto"/>
        </w:rPr>
        <w:t>Purchases of common stock made by us, or on our behalf, during the third quarter of 2023, including shares withheld by us to satisfy our employees’ income tax obligations, are set forth below:</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Total Number of Shares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Purchased as Part of</w:t>
            </w:r>
          </w:p>
        </w:tc>
        <w:tc>
          <w:tcPr>
            <w:tcW w:w="100" w:type="dxa"/>
            <w:vAlign w:val="bottom"/>
          </w:tcPr>
          <w:p>
            <w:pPr>
              <w:spacing w:after="0"/>
              <w:rPr>
                <w:sz w:val="14"/>
                <w:szCs w:val="14"/>
                <w:color w:val="auto"/>
              </w:rPr>
            </w:pPr>
          </w:p>
        </w:tc>
        <w:tc>
          <w:tcPr>
            <w:tcW w:w="20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Approximate Dollar Value</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Total Number</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ind w:left="239"/>
              <w:spacing w:after="0" w:line="162" w:lineRule="exact"/>
              <w:rPr>
                <w:sz w:val="20"/>
                <w:szCs w:val="20"/>
                <w:color w:val="auto"/>
              </w:rPr>
            </w:pPr>
            <w:r>
              <w:rPr>
                <w:rFonts w:ascii="Arial" w:cs="Arial" w:eastAsia="Arial" w:hAnsi="Arial"/>
                <w:sz w:val="16"/>
                <w:szCs w:val="16"/>
                <w:b w:val="1"/>
                <w:bCs w:val="1"/>
                <w:color w:val="auto"/>
              </w:rPr>
              <w:t>Publicly</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Average Price Paid</w:t>
            </w:r>
          </w:p>
        </w:tc>
        <w:tc>
          <w:tcPr>
            <w:tcW w:w="1500" w:type="dxa"/>
            <w:vAlign w:val="bottom"/>
          </w:tcPr>
          <w:p>
            <w:pPr>
              <w:jc w:val="center"/>
              <w:ind w:left="259"/>
              <w:spacing w:after="0" w:line="162" w:lineRule="exact"/>
              <w:rPr>
                <w:sz w:val="20"/>
                <w:szCs w:val="20"/>
                <w:color w:val="auto"/>
              </w:rPr>
            </w:pPr>
            <w:r>
              <w:rPr>
                <w:rFonts w:ascii="Arial" w:cs="Arial" w:eastAsia="Arial" w:hAnsi="Arial"/>
                <w:sz w:val="16"/>
                <w:szCs w:val="16"/>
                <w:b w:val="1"/>
                <w:bCs w:val="1"/>
                <w:color w:val="auto"/>
                <w:w w:val="99"/>
              </w:rPr>
              <w:t>Announced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jc w:val="right"/>
              <w:ind w:right="59"/>
              <w:spacing w:after="0" w:line="162" w:lineRule="exact"/>
              <w:rPr>
                <w:sz w:val="20"/>
                <w:szCs w:val="20"/>
                <w:color w:val="auto"/>
              </w:rPr>
            </w:pPr>
            <w:r>
              <w:rPr>
                <w:rFonts w:ascii="Arial" w:cs="Arial" w:eastAsia="Arial" w:hAnsi="Arial"/>
                <w:sz w:val="16"/>
                <w:szCs w:val="16"/>
                <w:b w:val="1"/>
                <w:bCs w:val="1"/>
                <w:color w:val="auto"/>
              </w:rPr>
              <w:t>of Shares that May Yet</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3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of Shares</w:t>
            </w:r>
          </w:p>
        </w:tc>
        <w:tc>
          <w:tcPr>
            <w:tcW w:w="10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1500" w:type="dxa"/>
            <w:vAlign w:val="bottom"/>
          </w:tcPr>
          <w:p>
            <w:pPr>
              <w:jc w:val="center"/>
              <w:ind w:left="259"/>
              <w:spacing w:after="0" w:line="162" w:lineRule="exact"/>
              <w:rPr>
                <w:sz w:val="20"/>
                <w:szCs w:val="20"/>
                <w:color w:val="auto"/>
              </w:rPr>
            </w:pPr>
            <w:r>
              <w:rPr>
                <w:rFonts w:ascii="Arial" w:cs="Arial" w:eastAsia="Arial" w:hAnsi="Arial"/>
                <w:sz w:val="16"/>
                <w:szCs w:val="16"/>
                <w:b w:val="1"/>
                <w:bCs w:val="1"/>
                <w:color w:val="auto"/>
              </w:rPr>
              <w:t>Plans or</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rPr>
              <w:t>Be Purchased Under the</w:t>
            </w:r>
          </w:p>
        </w:tc>
        <w:tc>
          <w:tcPr>
            <w:tcW w:w="0" w:type="dxa"/>
            <w:vAlign w:val="bottom"/>
          </w:tcPr>
          <w:p>
            <w:pPr>
              <w:spacing w:after="0"/>
              <w:rPr>
                <w:sz w:val="1"/>
                <w:szCs w:val="1"/>
                <w:color w:val="auto"/>
              </w:rPr>
            </w:pPr>
          </w:p>
        </w:tc>
      </w:tr>
      <w:tr>
        <w:trPr>
          <w:trHeight w:val="216"/>
        </w:trPr>
        <w:tc>
          <w:tcPr>
            <w:tcW w:w="40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6"/>
              </w:rPr>
              <w:t xml:space="preserve">Purchased </w:t>
            </w:r>
            <w:r>
              <w:rPr>
                <w:rFonts w:ascii="Arial" w:cs="Arial" w:eastAsia="Arial" w:hAnsi="Arial"/>
                <w:sz w:val="21"/>
                <w:szCs w:val="21"/>
                <w:b w:val="1"/>
                <w:bCs w:val="1"/>
                <w:color w:val="auto"/>
                <w:w w:val="96"/>
                <w:vertAlign w:val="superscript"/>
              </w:rPr>
              <w:t>(1)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per Share</w:t>
            </w:r>
          </w:p>
        </w:tc>
        <w:tc>
          <w:tcPr>
            <w:tcW w:w="1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center"/>
              <w:ind w:left="299"/>
              <w:spacing w:after="0"/>
              <w:rPr>
                <w:sz w:val="20"/>
                <w:szCs w:val="20"/>
                <w:color w:val="auto"/>
              </w:rPr>
            </w:pPr>
            <w:r>
              <w:rPr>
                <w:rFonts w:ascii="Arial" w:cs="Arial" w:eastAsia="Arial" w:hAnsi="Arial"/>
                <w:sz w:val="16"/>
                <w:szCs w:val="16"/>
                <w:b w:val="1"/>
                <w:bCs w:val="1"/>
                <w:color w:val="auto"/>
              </w:rPr>
              <w:t>Programs</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119"/>
              <w:spacing w:after="0" w:line="216" w:lineRule="exact"/>
              <w:rPr>
                <w:sz w:val="20"/>
                <w:szCs w:val="20"/>
                <w:color w:val="auto"/>
              </w:rPr>
            </w:pPr>
            <w:r>
              <w:rPr>
                <w:rFonts w:ascii="Arial" w:cs="Arial" w:eastAsia="Arial" w:hAnsi="Arial"/>
                <w:sz w:val="16"/>
                <w:szCs w:val="16"/>
                <w:b w:val="1"/>
                <w:bCs w:val="1"/>
                <w:color w:val="auto"/>
              </w:rPr>
              <w:t xml:space="preserve">Plans or Programs </w:t>
            </w:r>
            <w:r>
              <w:rPr>
                <w:rFonts w:ascii="Arial" w:cs="Arial" w:eastAsia="Arial" w:hAnsi="Arial"/>
                <w:sz w:val="21"/>
                <w:szCs w:val="21"/>
                <w:b w:val="1"/>
                <w:bCs w:val="1"/>
                <w:color w:val="auto"/>
                <w:vertAlign w:val="superscript"/>
              </w:rPr>
              <w:t>(2)</w:t>
            </w: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July 1 - July 31</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2,100</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301.24</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300,000,000</w:t>
            </w:r>
          </w:p>
        </w:tc>
        <w:tc>
          <w:tcPr>
            <w:tcW w:w="0" w:type="dxa"/>
            <w:vAlign w:val="bottom"/>
          </w:tcPr>
          <w:p>
            <w:pPr>
              <w:spacing w:after="0"/>
              <w:rPr>
                <w:sz w:val="1"/>
                <w:szCs w:val="1"/>
                <w:color w:val="auto"/>
              </w:rPr>
            </w:pPr>
          </w:p>
        </w:tc>
      </w:tr>
      <w:tr>
        <w:trPr>
          <w:trHeight w:val="213"/>
        </w:trPr>
        <w:tc>
          <w:tcPr>
            <w:tcW w:w="4080" w:type="dxa"/>
            <w:vAlign w:val="bottom"/>
          </w:tcPr>
          <w:p>
            <w:pPr>
              <w:ind w:left="20"/>
              <w:spacing w:after="0"/>
              <w:rPr>
                <w:sz w:val="20"/>
                <w:szCs w:val="20"/>
                <w:color w:val="auto"/>
              </w:rPr>
            </w:pPr>
            <w:r>
              <w:rPr>
                <w:rFonts w:ascii="Arial" w:cs="Arial" w:eastAsia="Arial" w:hAnsi="Arial"/>
                <w:sz w:val="16"/>
                <w:szCs w:val="16"/>
                <w:color w:val="auto"/>
              </w:rPr>
              <w:t>August 1 - August 31</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00" w:type="dxa"/>
            <w:vAlign w:val="bottom"/>
          </w:tcPr>
          <w:p>
            <w:pPr>
              <w:spacing w:after="0"/>
              <w:rPr>
                <w:sz w:val="18"/>
                <w:szCs w:val="18"/>
                <w:color w:val="auto"/>
              </w:rPr>
            </w:pPr>
          </w:p>
        </w:tc>
        <w:tc>
          <w:tcPr>
            <w:tcW w:w="380" w:type="dxa"/>
            <w:vAlign w:val="bottom"/>
          </w:tcPr>
          <w:p>
            <w:pPr>
              <w:ind w:left="140"/>
              <w:spacing w:after="0"/>
              <w:rPr>
                <w:sz w:val="20"/>
                <w:szCs w:val="20"/>
                <w:color w:val="auto"/>
              </w:rPr>
            </w:pPr>
            <w:r>
              <w:rPr>
                <w:rFonts w:ascii="Arial" w:cs="Arial" w:eastAsia="Arial" w:hAnsi="Arial"/>
                <w:sz w:val="16"/>
                <w:szCs w:val="16"/>
                <w:color w:val="auto"/>
              </w:rPr>
              <w:t>—</w:t>
            </w:r>
          </w:p>
        </w:tc>
        <w:tc>
          <w:tcPr>
            <w:tcW w:w="220" w:type="dxa"/>
            <w:vAlign w:val="bottom"/>
            <w:gridSpan w:val="2"/>
          </w:tcPr>
          <w:p>
            <w:pPr>
              <w:ind w:left="120"/>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300,000,000</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1 - September 30</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750,000,000</w:t>
            </w:r>
          </w:p>
        </w:tc>
        <w:tc>
          <w:tcPr>
            <w:tcW w:w="0" w:type="dxa"/>
            <w:vAlign w:val="bottom"/>
          </w:tcPr>
          <w:p>
            <w:pPr>
              <w:spacing w:after="0"/>
              <w:rPr>
                <w:sz w:val="1"/>
                <w:szCs w:val="1"/>
                <w:color w:val="auto"/>
              </w:rPr>
            </w:pPr>
          </w:p>
        </w:tc>
      </w:tr>
      <w:tr>
        <w:trPr>
          <w:trHeight w:val="213"/>
        </w:trPr>
        <w:tc>
          <w:tcPr>
            <w:tcW w:w="4080" w:type="dxa"/>
            <w:vAlign w:val="bottom"/>
          </w:tcPr>
          <w:p>
            <w:pPr>
              <w:ind w:left="140"/>
              <w:spacing w:after="0"/>
              <w:rPr>
                <w:sz w:val="20"/>
                <w:szCs w:val="20"/>
                <w:color w:val="auto"/>
              </w:rPr>
            </w:pPr>
            <w:r>
              <w:rPr>
                <w:rFonts w:ascii="Arial" w:cs="Arial" w:eastAsia="Arial" w:hAnsi="Arial"/>
                <w:sz w:val="16"/>
                <w:szCs w:val="16"/>
                <w:color w:val="auto"/>
              </w:rPr>
              <w:t>Total</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2,100</w:t>
            </w:r>
          </w:p>
        </w:tc>
        <w:tc>
          <w:tcPr>
            <w:tcW w:w="3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301.24</w:t>
            </w:r>
          </w:p>
        </w:tc>
        <w:tc>
          <w:tcPr>
            <w:tcW w:w="10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120" w:lineRule="exact"/>
        <w:rPr>
          <w:sz w:val="20"/>
          <w:szCs w:val="20"/>
          <w:color w:val="auto"/>
        </w:rPr>
      </w:pPr>
    </w:p>
    <w:p>
      <w:pPr>
        <w:ind w:left="340" w:right="340" w:hanging="332"/>
        <w:spacing w:after="0" w:line="263" w:lineRule="auto"/>
        <w:tabs>
          <w:tab w:leader="none" w:pos="335" w:val="left"/>
        </w:tabs>
        <w:numPr>
          <w:ilvl w:val="0"/>
          <w:numId w:val="14"/>
        </w:numPr>
        <w:rPr>
          <w:rFonts w:ascii="Arial" w:cs="Arial" w:eastAsia="Arial" w:hAnsi="Arial"/>
          <w:sz w:val="16"/>
          <w:szCs w:val="16"/>
          <w:color w:val="auto"/>
        </w:rPr>
      </w:pPr>
      <w:r>
        <w:rPr>
          <w:rFonts w:ascii="Arial" w:cs="Arial" w:eastAsia="Arial" w:hAnsi="Arial"/>
          <w:sz w:val="16"/>
          <w:szCs w:val="16"/>
          <w:color w:val="auto"/>
        </w:rPr>
        <w:t>During the third quarter of 2023, we withheld approximately 2,100 shares of common stock to settle employee income tax obligations for releases of awards granted under the Molina Healthcare, Inc. 2019 Equity Incentive Plan.</w:t>
      </w:r>
    </w:p>
    <w:p>
      <w:pPr>
        <w:ind w:left="320" w:hanging="312"/>
        <w:spacing w:after="0"/>
        <w:tabs>
          <w:tab w:leader="none" w:pos="3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For further information on our stock repurchase programs, refer to the accompanying Notes to Financial Statements, Note 9, “Stockholders' Equity.”</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OTHER INFORMATION</w:t>
      </w:r>
    </w:p>
    <w:p>
      <w:pPr>
        <w:spacing w:after="0" w:line="118" w:lineRule="exact"/>
        <w:rPr>
          <w:sz w:val="20"/>
          <w:szCs w:val="20"/>
          <w:color w:val="auto"/>
        </w:rPr>
      </w:pPr>
    </w:p>
    <w:p>
      <w:pPr>
        <w:jc w:val="both"/>
        <w:ind w:left="340" w:right="100" w:hanging="332"/>
        <w:spacing w:after="0" w:line="239" w:lineRule="auto"/>
        <w:tabs>
          <w:tab w:leader="none" w:pos="436"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Marc S. Russo, formerly executive vice president of health plans, departed the Company on October 25, 2023 as part of management changes initiated by the Company. Mr. Russo is entitled to severance benefits of 12 months base salary plus a pro-rated bonus at target subject to entering into a release of claims.</w:t>
      </w:r>
    </w:p>
    <w:p>
      <w:pPr>
        <w:spacing w:after="0" w:line="97" w:lineRule="exact"/>
        <w:rPr>
          <w:rFonts w:ascii="Arial" w:cs="Arial" w:eastAsia="Arial" w:hAnsi="Arial"/>
          <w:sz w:val="18"/>
          <w:szCs w:val="18"/>
          <w:color w:val="auto"/>
        </w:rPr>
      </w:pPr>
    </w:p>
    <w:p>
      <w:pPr>
        <w:ind w:left="420" w:hanging="412"/>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None.</w:t>
      </w:r>
    </w:p>
    <w:p>
      <w:pPr>
        <w:spacing w:after="0" w:line="117" w:lineRule="exact"/>
        <w:rPr>
          <w:rFonts w:ascii="Arial" w:cs="Arial" w:eastAsia="Arial" w:hAnsi="Arial"/>
          <w:sz w:val="18"/>
          <w:szCs w:val="18"/>
          <w:color w:val="auto"/>
        </w:rPr>
      </w:pPr>
    </w:p>
    <w:p>
      <w:pPr>
        <w:jc w:val="both"/>
        <w:ind w:left="340" w:right="80" w:hanging="332"/>
        <w:spacing w:after="0" w:line="285" w:lineRule="auto"/>
        <w:tabs>
          <w:tab w:leader="none" w:pos="426" w:val="left"/>
        </w:tabs>
        <w:numPr>
          <w:ilvl w:val="0"/>
          <w:numId w:val="15"/>
        </w:numPr>
        <w:rPr>
          <w:rFonts w:ascii="Arial" w:cs="Arial" w:eastAsia="Arial" w:hAnsi="Arial"/>
          <w:sz w:val="17"/>
          <w:szCs w:val="17"/>
          <w:color w:val="auto"/>
        </w:rPr>
      </w:pPr>
      <w:r>
        <w:rPr>
          <w:rFonts w:ascii="Arial" w:cs="Arial" w:eastAsia="Arial" w:hAnsi="Arial"/>
          <w:sz w:val="17"/>
          <w:szCs w:val="17"/>
          <w:color w:val="auto"/>
        </w:rPr>
        <w:t>No director or officer (as defined in 17 CFR § 240.16a-1(f)) of the Company adopted or terminated (i) any contract, instruction or written plan for the purchase or sale of securities of the Company intended to satisfy the affirmative defense conditions of Rule 10b5-1(c), or (ii) any “non-Rule 10b5-1 trading arrangement” (as defined in 17 CFR § 229.408(c)) during the three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2023 Form 10-Q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INDEX TO EXHIBITS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Exhibit No.</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540" w:type="dxa"/>
            <w:vAlign w:val="bottom"/>
            <w:tcBorders>
              <w:bottom w:val="single" w:sz="8" w:color="auto"/>
            </w:tcBorders>
            <w:gridSpan w:val="9"/>
          </w:tcPr>
          <w:p>
            <w:pPr>
              <w:spacing w:after="0"/>
              <w:rPr>
                <w:sz w:val="20"/>
                <w:szCs w:val="20"/>
                <w:color w:val="auto"/>
              </w:rPr>
            </w:pPr>
            <w:r>
              <w:rPr>
                <w:rFonts w:ascii="Arial" w:cs="Arial" w:eastAsia="Arial" w:hAnsi="Arial"/>
                <w:sz w:val="14"/>
                <w:szCs w:val="14"/>
                <w:color w:val="auto"/>
              </w:rPr>
              <w:t>Title</w:t>
            </w:r>
          </w:p>
        </w:tc>
        <w:tc>
          <w:tcPr>
            <w:tcW w:w="120" w:type="dxa"/>
            <w:vAlign w:val="bottom"/>
          </w:tcPr>
          <w:p>
            <w:pPr>
              <w:spacing w:after="0"/>
              <w:rPr>
                <w:sz w:val="16"/>
                <w:szCs w:val="16"/>
                <w:color w:val="auto"/>
              </w:rPr>
            </w:pPr>
          </w:p>
        </w:tc>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Method of Filing</w:t>
            </w:r>
          </w:p>
        </w:tc>
      </w:tr>
      <w:tr>
        <w:trPr>
          <w:trHeight w:val="175"/>
        </w:trPr>
        <w:tc>
          <w:tcPr>
            <w:tcW w:w="1040" w:type="dxa"/>
            <w:vAlign w:val="bottom"/>
          </w:tcPr>
          <w:p>
            <w:pPr>
              <w:ind w:left="20"/>
              <w:spacing w:after="0" w:line="175" w:lineRule="exact"/>
              <w:rPr>
                <w:sz w:val="20"/>
                <w:szCs w:val="20"/>
                <w:color w:val="auto"/>
              </w:rPr>
            </w:pPr>
            <w:r>
              <w:rPr>
                <w:rFonts w:ascii="Arial" w:cs="Arial" w:eastAsia="Arial" w:hAnsi="Arial"/>
                <w:sz w:val="16"/>
                <w:szCs w:val="16"/>
                <w:color w:val="auto"/>
              </w:rPr>
              <w:t>10.1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60" w:type="dxa"/>
            <w:vAlign w:val="bottom"/>
            <w:gridSpan w:val="10"/>
          </w:tcPr>
          <w:p>
            <w:pPr>
              <w:spacing w:after="0" w:line="175" w:lineRule="exact"/>
              <w:rPr>
                <w:sz w:val="20"/>
                <w:szCs w:val="20"/>
                <w:color w:val="auto"/>
              </w:rPr>
            </w:pPr>
            <w:r>
              <w:rPr>
                <w:rFonts w:ascii="Arial" w:cs="Arial" w:eastAsia="Arial" w:hAnsi="Arial"/>
                <w:sz w:val="16"/>
                <w:szCs w:val="16"/>
                <w:color w:val="0F7C7F"/>
              </w:rPr>
              <w:t>First Amendment to Molina Healthcare, Inc. Amended and Restated</w:t>
            </w:r>
          </w:p>
        </w:tc>
        <w:tc>
          <w:tcPr>
            <w:tcW w:w="4420" w:type="dxa"/>
            <w:vAlign w:val="bottom"/>
          </w:tcPr>
          <w:p>
            <w:pPr>
              <w:ind w:left="20"/>
              <w:spacing w:after="0" w:line="175" w:lineRule="exact"/>
              <w:rPr>
                <w:sz w:val="20"/>
                <w:szCs w:val="20"/>
                <w:color w:val="auto"/>
              </w:rPr>
            </w:pPr>
            <w:r>
              <w:rPr>
                <w:rFonts w:ascii="Arial" w:cs="Arial" w:eastAsia="Arial" w:hAnsi="Arial"/>
                <w:sz w:val="16"/>
                <w:szCs w:val="16"/>
                <w:color w:val="auto"/>
              </w:rPr>
              <w:t>Filed herewith.</w:t>
            </w:r>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60" w:type="dxa"/>
            <w:vAlign w:val="bottom"/>
            <w:tcBorders>
              <w:top w:val="single" w:sz="8" w:color="0F7C7F"/>
            </w:tcBorders>
            <w:gridSpan w:val="4"/>
          </w:tcPr>
          <w:p>
            <w:pPr>
              <w:spacing w:after="0" w:line="142" w:lineRule="exact"/>
              <w:rPr>
                <w:sz w:val="20"/>
                <w:szCs w:val="20"/>
                <w:color w:val="auto"/>
              </w:rPr>
            </w:pPr>
            <w:r>
              <w:rPr>
                <w:rFonts w:ascii="Arial" w:cs="Arial" w:eastAsia="Arial" w:hAnsi="Arial"/>
                <w:sz w:val="16"/>
                <w:szCs w:val="16"/>
                <w:color w:val="0F7C7F"/>
              </w:rPr>
              <w:t>Deferred Compensation Plan (2022)</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4420" w:type="dxa"/>
            <w:vAlign w:val="bottom"/>
          </w:tcPr>
          <w:p>
            <w:pPr>
              <w:spacing w:after="0"/>
              <w:rPr>
                <w:sz w:val="12"/>
                <w:szCs w:val="12"/>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shd w:val="clear" w:color="auto" w:fill="0F7C7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60" w:type="dxa"/>
            <w:vAlign w:val="bottom"/>
            <w:gridSpan w:val="10"/>
          </w:tcPr>
          <w:p>
            <w:pPr>
              <w:spacing w:after="0"/>
              <w:rPr>
                <w:sz w:val="20"/>
                <w:szCs w:val="20"/>
                <w:color w:val="auto"/>
              </w:rPr>
            </w:pPr>
            <w:r>
              <w:rPr>
                <w:rFonts w:ascii="Arial" w:cs="Arial" w:eastAsia="Arial" w:hAnsi="Arial"/>
                <w:sz w:val="16"/>
                <w:szCs w:val="16"/>
                <w:color w:val="0F7C7F"/>
              </w:rPr>
              <w:t>Section 302 Certification of Chief Executive Officer</w:t>
            </w: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tcBorders>
              <w:top w:val="single" w:sz="8" w:color="0F7C7F"/>
              <w:bottom w:val="single" w:sz="8" w:color="0F7C7F"/>
            </w:tcBorders>
            <w:gridSpan w:val="2"/>
          </w:tcPr>
          <w:p>
            <w:pPr>
              <w:spacing w:after="0"/>
              <w:rPr>
                <w:sz w:val="20"/>
                <w:szCs w:val="20"/>
                <w:color w:val="auto"/>
              </w:rPr>
            </w:pPr>
            <w:r>
              <w:rPr>
                <w:rFonts w:ascii="Arial" w:cs="Arial" w:eastAsia="Arial" w:hAnsi="Arial"/>
                <w:sz w:val="16"/>
                <w:szCs w:val="16"/>
                <w:color w:val="0F7C7F"/>
              </w:rPr>
              <w:t>Section 302 Certification of Chief Financial Officer</w:t>
            </w:r>
          </w:p>
        </w:tc>
        <w:tc>
          <w:tcPr>
            <w:tcW w:w="40" w:type="dxa"/>
            <w:vAlign w:val="bottom"/>
            <w:tcBorders>
              <w:top w:val="single" w:sz="8" w:color="0F7C7F"/>
            </w:tcBorders>
          </w:tcPr>
          <w:p>
            <w:pPr>
              <w:spacing w:after="0"/>
              <w:rPr>
                <w:sz w:val="17"/>
                <w:szCs w:val="17"/>
                <w:color w:val="auto"/>
              </w:rPr>
            </w:pPr>
          </w:p>
        </w:tc>
        <w:tc>
          <w:tcPr>
            <w:tcW w:w="2040" w:type="dxa"/>
            <w:vAlign w:val="bottom"/>
            <w:gridSpan w:val="7"/>
          </w:tcPr>
          <w:p>
            <w:pPr>
              <w:spacing w:after="0"/>
              <w:rPr>
                <w:sz w:val="17"/>
                <w:szCs w:val="17"/>
                <w:color w:val="auto"/>
              </w:rPr>
            </w:pP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60" w:type="dxa"/>
            <w:vAlign w:val="bottom"/>
            <w:gridSpan w:val="10"/>
          </w:tcPr>
          <w:p>
            <w:pPr>
              <w:spacing w:after="0"/>
              <w:rPr>
                <w:sz w:val="20"/>
                <w:szCs w:val="20"/>
                <w:color w:val="auto"/>
              </w:rPr>
            </w:pPr>
            <w:r>
              <w:rPr>
                <w:rFonts w:ascii="Arial" w:cs="Arial" w:eastAsia="Arial" w:hAnsi="Arial"/>
                <w:sz w:val="16"/>
                <w:szCs w:val="16"/>
                <w:color w:val="0F7C7F"/>
              </w:rPr>
              <w:t>Certification of Chief Executive Officer pursuant to 18 U.S.C. Section 1350,</w:t>
            </w: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360" w:type="dxa"/>
            <w:vAlign w:val="bottom"/>
            <w:tcBorders>
              <w:top w:val="single" w:sz="8" w:color="0F7C7F"/>
            </w:tcBorders>
            <w:gridSpan w:val="7"/>
          </w:tcPr>
          <w:p>
            <w:pPr>
              <w:spacing w:after="0" w:line="142" w:lineRule="exact"/>
              <w:rPr>
                <w:sz w:val="20"/>
                <w:szCs w:val="20"/>
                <w:color w:val="auto"/>
              </w:rPr>
            </w:pPr>
            <w:r>
              <w:rPr>
                <w:rFonts w:ascii="Arial" w:cs="Arial" w:eastAsia="Arial" w:hAnsi="Arial"/>
                <w:sz w:val="16"/>
                <w:szCs w:val="16"/>
                <w:color w:val="0F7C7F"/>
              </w:rPr>
              <w:t>as adopted pursuant to Section 906 of the Sarbanes-Oxley Act of 2002.</w:t>
            </w:r>
          </w:p>
        </w:tc>
        <w:tc>
          <w:tcPr>
            <w:tcW w:w="16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4420" w:type="dxa"/>
            <w:vAlign w:val="bottom"/>
          </w:tcPr>
          <w:p>
            <w:pPr>
              <w:spacing w:after="0"/>
              <w:rPr>
                <w:sz w:val="12"/>
                <w:szCs w:val="12"/>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00" w:type="dxa"/>
            <w:vAlign w:val="bottom"/>
            <w:gridSpan w:val="5"/>
            <w:shd w:val="clear" w:color="auto" w:fill="0F7C7F"/>
          </w:tcPr>
          <w:p>
            <w:pPr>
              <w:spacing w:after="0" w:line="20" w:lineRule="exact"/>
              <w:rPr>
                <w:sz w:val="1"/>
                <w:szCs w:val="1"/>
                <w:color w:val="auto"/>
              </w:rPr>
            </w:pPr>
          </w:p>
        </w:tc>
        <w:tc>
          <w:tcPr>
            <w:tcW w:w="220" w:type="dxa"/>
            <w:vAlign w:val="bottom"/>
            <w:shd w:val="clear" w:color="auto" w:fill="0F7C7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60" w:type="dxa"/>
            <w:vAlign w:val="bottom"/>
            <w:gridSpan w:val="10"/>
          </w:tcPr>
          <w:p>
            <w:pPr>
              <w:spacing w:after="0"/>
              <w:rPr>
                <w:sz w:val="20"/>
                <w:szCs w:val="20"/>
                <w:color w:val="auto"/>
              </w:rPr>
            </w:pPr>
            <w:r>
              <w:rPr>
                <w:rFonts w:ascii="Arial" w:cs="Arial" w:eastAsia="Arial" w:hAnsi="Arial"/>
                <w:sz w:val="16"/>
                <w:szCs w:val="16"/>
                <w:color w:val="0F7C7F"/>
              </w:rPr>
              <w:t>Certification of Chief Financial Officer pursuant to 18 U.S.C. Section 1350, as</w:t>
            </w: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520" w:type="dxa"/>
            <w:vAlign w:val="bottom"/>
            <w:tcBorders>
              <w:top w:val="single" w:sz="8" w:color="0F7C7F"/>
            </w:tcBorders>
            <w:gridSpan w:val="8"/>
          </w:tcPr>
          <w:p>
            <w:pPr>
              <w:spacing w:after="0" w:line="142" w:lineRule="exact"/>
              <w:rPr>
                <w:sz w:val="20"/>
                <w:szCs w:val="20"/>
                <w:color w:val="auto"/>
              </w:rPr>
            </w:pPr>
            <w:r>
              <w:rPr>
                <w:rFonts w:ascii="Arial" w:cs="Arial" w:eastAsia="Arial" w:hAnsi="Arial"/>
                <w:sz w:val="16"/>
                <w:szCs w:val="16"/>
                <w:color w:val="0F7C7F"/>
              </w:rPr>
              <w:t>adopted pursuant to Section 906 of the Sarbanes-Oxley Act of 2002.</w:t>
            </w:r>
          </w:p>
        </w:tc>
        <w:tc>
          <w:tcPr>
            <w:tcW w:w="140" w:type="dxa"/>
            <w:vAlign w:val="bottom"/>
            <w:gridSpan w:val="2"/>
          </w:tcPr>
          <w:p>
            <w:pPr>
              <w:spacing w:after="0"/>
              <w:rPr>
                <w:sz w:val="12"/>
                <w:szCs w:val="12"/>
                <w:color w:val="auto"/>
              </w:rPr>
            </w:pPr>
          </w:p>
        </w:tc>
        <w:tc>
          <w:tcPr>
            <w:tcW w:w="4420" w:type="dxa"/>
            <w:vAlign w:val="bottom"/>
          </w:tcPr>
          <w:p>
            <w:pPr>
              <w:spacing w:after="0"/>
              <w:rPr>
                <w:sz w:val="12"/>
                <w:szCs w:val="12"/>
                <w:color w:val="auto"/>
              </w:rPr>
            </w:pPr>
          </w:p>
        </w:tc>
      </w:tr>
      <w:tr>
        <w:trPr>
          <w:trHeight w:val="20"/>
        </w:trPr>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00" w:type="dxa"/>
            <w:vAlign w:val="bottom"/>
            <w:gridSpan w:val="5"/>
            <w:shd w:val="clear" w:color="auto" w:fill="0F7C7F"/>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r>
        <w:trPr>
          <w:trHeight w:val="186"/>
        </w:trPr>
        <w:tc>
          <w:tcPr>
            <w:tcW w:w="1140" w:type="dxa"/>
            <w:vAlign w:val="bottom"/>
            <w:gridSpan w:val="2"/>
          </w:tcPr>
          <w:p>
            <w:pPr>
              <w:ind w:left="20"/>
              <w:spacing w:after="0"/>
              <w:rPr>
                <w:sz w:val="20"/>
                <w:szCs w:val="20"/>
                <w:color w:val="auto"/>
              </w:rPr>
            </w:pPr>
            <w:r>
              <w:rPr>
                <w:rFonts w:ascii="Arial" w:cs="Arial" w:eastAsia="Arial" w:hAnsi="Arial"/>
                <w:sz w:val="16"/>
                <w:szCs w:val="16"/>
                <w:color w:val="auto"/>
              </w:rPr>
              <w:t>101.INS</w:t>
            </w:r>
          </w:p>
        </w:tc>
        <w:tc>
          <w:tcPr>
            <w:tcW w:w="20" w:type="dxa"/>
            <w:vAlign w:val="bottom"/>
          </w:tcPr>
          <w:p>
            <w:pPr>
              <w:spacing w:after="0"/>
              <w:rPr>
                <w:sz w:val="16"/>
                <w:szCs w:val="16"/>
                <w:color w:val="auto"/>
              </w:rPr>
            </w:pPr>
          </w:p>
        </w:tc>
        <w:tc>
          <w:tcPr>
            <w:tcW w:w="5660" w:type="dxa"/>
            <w:vAlign w:val="bottom"/>
            <w:gridSpan w:val="10"/>
          </w:tcPr>
          <w:p>
            <w:pPr>
              <w:spacing w:after="0"/>
              <w:rPr>
                <w:sz w:val="20"/>
                <w:szCs w:val="20"/>
                <w:color w:val="auto"/>
              </w:rPr>
            </w:pPr>
            <w:r>
              <w:rPr>
                <w:rFonts w:ascii="Arial" w:cs="Arial" w:eastAsia="Arial" w:hAnsi="Arial"/>
                <w:sz w:val="16"/>
                <w:szCs w:val="16"/>
                <w:color w:val="auto"/>
              </w:rPr>
              <w:t>Inline XBRL Taxonomy Instance Document - the instance document does not</w:t>
            </w: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162"/>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60" w:type="dxa"/>
            <w:vAlign w:val="bottom"/>
            <w:gridSpan w:val="10"/>
          </w:tcPr>
          <w:p>
            <w:pPr>
              <w:spacing w:after="0" w:line="162" w:lineRule="exact"/>
              <w:rPr>
                <w:sz w:val="20"/>
                <w:szCs w:val="20"/>
                <w:color w:val="auto"/>
              </w:rPr>
            </w:pPr>
            <w:r>
              <w:rPr>
                <w:rFonts w:ascii="Arial" w:cs="Arial" w:eastAsia="Arial" w:hAnsi="Arial"/>
                <w:sz w:val="16"/>
                <w:szCs w:val="16"/>
                <w:color w:val="auto"/>
              </w:rPr>
              <w:t>appear in the Interactive Data File because its XBRL tags are embedded</w:t>
            </w:r>
          </w:p>
        </w:tc>
        <w:tc>
          <w:tcPr>
            <w:tcW w:w="4420" w:type="dxa"/>
            <w:vAlign w:val="bottom"/>
          </w:tcPr>
          <w:p>
            <w:pPr>
              <w:spacing w:after="0"/>
              <w:rPr>
                <w:sz w:val="14"/>
                <w:szCs w:val="14"/>
                <w:color w:val="auto"/>
              </w:rPr>
            </w:pPr>
          </w:p>
        </w:tc>
      </w:tr>
      <w:tr>
        <w:trPr>
          <w:trHeight w:val="207"/>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60" w:type="dxa"/>
            <w:vAlign w:val="bottom"/>
            <w:gridSpan w:val="10"/>
          </w:tcPr>
          <w:p>
            <w:pPr>
              <w:spacing w:after="0"/>
              <w:rPr>
                <w:sz w:val="20"/>
                <w:szCs w:val="20"/>
                <w:color w:val="auto"/>
              </w:rPr>
            </w:pPr>
            <w:r>
              <w:rPr>
                <w:rFonts w:ascii="Arial" w:cs="Arial" w:eastAsia="Arial" w:hAnsi="Arial"/>
                <w:sz w:val="16"/>
                <w:szCs w:val="16"/>
                <w:color w:val="auto"/>
              </w:rPr>
              <w:t>within the inline XBRL document.</w:t>
            </w:r>
          </w:p>
        </w:tc>
        <w:tc>
          <w:tcPr>
            <w:tcW w:w="4420" w:type="dxa"/>
            <w:vAlign w:val="bottom"/>
          </w:tcPr>
          <w:p>
            <w:pPr>
              <w:spacing w:after="0"/>
              <w:rPr>
                <w:sz w:val="17"/>
                <w:szCs w:val="17"/>
                <w:color w:val="auto"/>
              </w:rPr>
            </w:pPr>
          </w:p>
        </w:tc>
      </w:tr>
      <w:tr>
        <w:trPr>
          <w:trHeight w:val="216"/>
        </w:trPr>
        <w:tc>
          <w:tcPr>
            <w:tcW w:w="1140" w:type="dxa"/>
            <w:vAlign w:val="bottom"/>
            <w:gridSpan w:val="2"/>
          </w:tcPr>
          <w:p>
            <w:pPr>
              <w:ind w:left="20"/>
              <w:spacing w:after="0"/>
              <w:rPr>
                <w:sz w:val="20"/>
                <w:szCs w:val="20"/>
                <w:color w:val="auto"/>
              </w:rPr>
            </w:pPr>
            <w:r>
              <w:rPr>
                <w:rFonts w:ascii="Arial" w:cs="Arial" w:eastAsia="Arial" w:hAnsi="Arial"/>
                <w:sz w:val="16"/>
                <w:szCs w:val="16"/>
                <w:color w:val="auto"/>
              </w:rPr>
              <w:t>101.SCH</w:t>
            </w:r>
          </w:p>
        </w:tc>
        <w:tc>
          <w:tcPr>
            <w:tcW w:w="20" w:type="dxa"/>
            <w:vAlign w:val="bottom"/>
          </w:tcPr>
          <w:p>
            <w:pPr>
              <w:spacing w:after="0"/>
              <w:rPr>
                <w:sz w:val="18"/>
                <w:szCs w:val="18"/>
                <w:color w:val="auto"/>
              </w:rPr>
            </w:pPr>
          </w:p>
        </w:tc>
        <w:tc>
          <w:tcPr>
            <w:tcW w:w="5660" w:type="dxa"/>
            <w:vAlign w:val="bottom"/>
            <w:gridSpan w:val="10"/>
          </w:tcPr>
          <w:p>
            <w:pPr>
              <w:spacing w:after="0"/>
              <w:rPr>
                <w:sz w:val="20"/>
                <w:szCs w:val="20"/>
                <w:color w:val="auto"/>
              </w:rPr>
            </w:pPr>
            <w:r>
              <w:rPr>
                <w:rFonts w:ascii="Arial" w:cs="Arial" w:eastAsia="Arial" w:hAnsi="Arial"/>
                <w:sz w:val="16"/>
                <w:szCs w:val="16"/>
                <w:color w:val="auto"/>
              </w:rPr>
              <w:t>Inline XBRL Taxonomy Extension Schema Document.</w:t>
            </w: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16"/>
        </w:trPr>
        <w:tc>
          <w:tcPr>
            <w:tcW w:w="1140" w:type="dxa"/>
            <w:vAlign w:val="bottom"/>
            <w:gridSpan w:val="2"/>
          </w:tcPr>
          <w:p>
            <w:pPr>
              <w:ind w:left="20"/>
              <w:spacing w:after="0"/>
              <w:rPr>
                <w:sz w:val="20"/>
                <w:szCs w:val="20"/>
                <w:color w:val="auto"/>
              </w:rPr>
            </w:pPr>
            <w:r>
              <w:rPr>
                <w:rFonts w:ascii="Arial" w:cs="Arial" w:eastAsia="Arial" w:hAnsi="Arial"/>
                <w:sz w:val="16"/>
                <w:szCs w:val="16"/>
                <w:color w:val="auto"/>
              </w:rPr>
              <w:t>101.CAL</w:t>
            </w:r>
          </w:p>
        </w:tc>
        <w:tc>
          <w:tcPr>
            <w:tcW w:w="20" w:type="dxa"/>
            <w:vAlign w:val="bottom"/>
          </w:tcPr>
          <w:p>
            <w:pPr>
              <w:spacing w:after="0"/>
              <w:rPr>
                <w:sz w:val="18"/>
                <w:szCs w:val="18"/>
                <w:color w:val="auto"/>
              </w:rPr>
            </w:pPr>
          </w:p>
        </w:tc>
        <w:tc>
          <w:tcPr>
            <w:tcW w:w="5660" w:type="dxa"/>
            <w:vAlign w:val="bottom"/>
            <w:gridSpan w:val="10"/>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16"/>
        </w:trPr>
        <w:tc>
          <w:tcPr>
            <w:tcW w:w="1140" w:type="dxa"/>
            <w:vAlign w:val="bottom"/>
            <w:gridSpan w:val="2"/>
          </w:tcPr>
          <w:p>
            <w:pPr>
              <w:ind w:left="20"/>
              <w:spacing w:after="0"/>
              <w:rPr>
                <w:sz w:val="20"/>
                <w:szCs w:val="20"/>
                <w:color w:val="auto"/>
              </w:rPr>
            </w:pPr>
            <w:r>
              <w:rPr>
                <w:rFonts w:ascii="Arial" w:cs="Arial" w:eastAsia="Arial" w:hAnsi="Arial"/>
                <w:sz w:val="16"/>
                <w:szCs w:val="16"/>
                <w:color w:val="auto"/>
              </w:rPr>
              <w:t>101.DEF</w:t>
            </w:r>
          </w:p>
        </w:tc>
        <w:tc>
          <w:tcPr>
            <w:tcW w:w="20" w:type="dxa"/>
            <w:vAlign w:val="bottom"/>
          </w:tcPr>
          <w:p>
            <w:pPr>
              <w:spacing w:after="0"/>
              <w:rPr>
                <w:sz w:val="18"/>
                <w:szCs w:val="18"/>
                <w:color w:val="auto"/>
              </w:rPr>
            </w:pPr>
          </w:p>
        </w:tc>
        <w:tc>
          <w:tcPr>
            <w:tcW w:w="5660" w:type="dxa"/>
            <w:vAlign w:val="bottom"/>
            <w:gridSpan w:val="10"/>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16"/>
        </w:trPr>
        <w:tc>
          <w:tcPr>
            <w:tcW w:w="1140" w:type="dxa"/>
            <w:vAlign w:val="bottom"/>
            <w:gridSpan w:val="2"/>
          </w:tcPr>
          <w:p>
            <w:pPr>
              <w:ind w:left="20"/>
              <w:spacing w:after="0"/>
              <w:rPr>
                <w:sz w:val="20"/>
                <w:szCs w:val="20"/>
                <w:color w:val="auto"/>
              </w:rPr>
            </w:pPr>
            <w:r>
              <w:rPr>
                <w:rFonts w:ascii="Arial" w:cs="Arial" w:eastAsia="Arial" w:hAnsi="Arial"/>
                <w:sz w:val="16"/>
                <w:szCs w:val="16"/>
                <w:color w:val="auto"/>
              </w:rPr>
              <w:t>101.LAB</w:t>
            </w:r>
          </w:p>
        </w:tc>
        <w:tc>
          <w:tcPr>
            <w:tcW w:w="20" w:type="dxa"/>
            <w:vAlign w:val="bottom"/>
          </w:tcPr>
          <w:p>
            <w:pPr>
              <w:spacing w:after="0"/>
              <w:rPr>
                <w:sz w:val="18"/>
                <w:szCs w:val="18"/>
                <w:color w:val="auto"/>
              </w:rPr>
            </w:pPr>
          </w:p>
        </w:tc>
        <w:tc>
          <w:tcPr>
            <w:tcW w:w="5660" w:type="dxa"/>
            <w:vAlign w:val="bottom"/>
            <w:gridSpan w:val="10"/>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16"/>
        </w:trPr>
        <w:tc>
          <w:tcPr>
            <w:tcW w:w="1140" w:type="dxa"/>
            <w:vAlign w:val="bottom"/>
            <w:gridSpan w:val="2"/>
          </w:tcPr>
          <w:p>
            <w:pPr>
              <w:ind w:left="20"/>
              <w:spacing w:after="0"/>
              <w:rPr>
                <w:sz w:val="20"/>
                <w:szCs w:val="20"/>
                <w:color w:val="auto"/>
              </w:rPr>
            </w:pPr>
            <w:r>
              <w:rPr>
                <w:rFonts w:ascii="Arial" w:cs="Arial" w:eastAsia="Arial" w:hAnsi="Arial"/>
                <w:sz w:val="16"/>
                <w:szCs w:val="16"/>
                <w:color w:val="auto"/>
              </w:rPr>
              <w:t>101.PRE</w:t>
            </w:r>
          </w:p>
        </w:tc>
        <w:tc>
          <w:tcPr>
            <w:tcW w:w="20" w:type="dxa"/>
            <w:vAlign w:val="bottom"/>
          </w:tcPr>
          <w:p>
            <w:pPr>
              <w:spacing w:after="0"/>
              <w:rPr>
                <w:sz w:val="18"/>
                <w:szCs w:val="18"/>
                <w:color w:val="auto"/>
              </w:rPr>
            </w:pPr>
          </w:p>
        </w:tc>
        <w:tc>
          <w:tcPr>
            <w:tcW w:w="5660" w:type="dxa"/>
            <w:vAlign w:val="bottom"/>
            <w:gridSpan w:val="10"/>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171"/>
        </w:trPr>
        <w:tc>
          <w:tcPr>
            <w:tcW w:w="1040" w:type="dxa"/>
            <w:vAlign w:val="bottom"/>
          </w:tcPr>
          <w:p>
            <w:pPr>
              <w:ind w:left="20"/>
              <w:spacing w:after="0" w:line="171" w:lineRule="exact"/>
              <w:rPr>
                <w:sz w:val="20"/>
                <w:szCs w:val="20"/>
                <w:color w:val="auto"/>
              </w:rPr>
            </w:pPr>
            <w:r>
              <w:rPr>
                <w:rFonts w:ascii="Arial" w:cs="Arial" w:eastAsia="Arial" w:hAnsi="Arial"/>
                <w:sz w:val="16"/>
                <w:szCs w:val="16"/>
                <w:color w:val="auto"/>
              </w:rPr>
              <w:t>104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60" w:type="dxa"/>
            <w:vAlign w:val="bottom"/>
            <w:gridSpan w:val="10"/>
          </w:tcPr>
          <w:p>
            <w:pPr>
              <w:spacing w:after="0" w:line="171" w:lineRule="exact"/>
              <w:rPr>
                <w:sz w:val="20"/>
                <w:szCs w:val="20"/>
                <w:color w:val="auto"/>
              </w:rPr>
            </w:pPr>
            <w:r>
              <w:rPr>
                <w:rFonts w:ascii="Arial" w:cs="Arial" w:eastAsia="Arial" w:hAnsi="Arial"/>
                <w:sz w:val="16"/>
                <w:szCs w:val="16"/>
                <w:color w:val="auto"/>
              </w:rPr>
              <w:t>Cover Page Interactive Data file (formatted as Inline XBRL and embedded</w:t>
            </w:r>
          </w:p>
        </w:tc>
        <w:tc>
          <w:tcPr>
            <w:tcW w:w="4420" w:type="dxa"/>
            <w:vAlign w:val="bottom"/>
          </w:tcPr>
          <w:p>
            <w:pPr>
              <w:ind w:left="20"/>
              <w:spacing w:after="0" w:line="171" w:lineRule="exact"/>
              <w:rPr>
                <w:sz w:val="20"/>
                <w:szCs w:val="20"/>
                <w:color w:val="auto"/>
              </w:rPr>
            </w:pPr>
            <w:r>
              <w:rPr>
                <w:rFonts w:ascii="Arial" w:cs="Arial" w:eastAsia="Arial" w:hAnsi="Arial"/>
                <w:sz w:val="16"/>
                <w:szCs w:val="16"/>
                <w:color w:val="auto"/>
              </w:rPr>
              <w:t>Filed herewith.</w:t>
            </w:r>
          </w:p>
        </w:tc>
      </w:tr>
      <w:tr>
        <w:trPr>
          <w:trHeight w:val="207"/>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60" w:type="dxa"/>
            <w:vAlign w:val="bottom"/>
            <w:gridSpan w:val="10"/>
          </w:tcPr>
          <w:p>
            <w:pPr>
              <w:spacing w:after="0"/>
              <w:rPr>
                <w:sz w:val="20"/>
                <w:szCs w:val="20"/>
                <w:color w:val="auto"/>
              </w:rPr>
            </w:pPr>
            <w:r>
              <w:rPr>
                <w:rFonts w:ascii="Arial" w:cs="Arial" w:eastAsia="Arial" w:hAnsi="Arial"/>
                <w:sz w:val="16"/>
                <w:szCs w:val="16"/>
                <w:color w:val="auto"/>
              </w:rPr>
              <w:t>within Exhibit 101)</w:t>
            </w:r>
          </w:p>
        </w:tc>
        <w:tc>
          <w:tcPr>
            <w:tcW w:w="44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2023 Form 10-Q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SIGNATURES</w:t>
      </w:r>
    </w:p>
    <w:p>
      <w:pPr>
        <w:spacing w:after="0" w:line="118"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9"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MOLINA HEALTHCARE, INC.</w:t>
      </w:r>
    </w:p>
    <w:p>
      <w:pPr>
        <w:spacing w:after="0" w:line="32"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(Registrant)</w:t>
      </w:r>
    </w:p>
    <w:p>
      <w:pPr>
        <w:spacing w:after="0" w:line="289" w:lineRule="exact"/>
        <w:rPr>
          <w:sz w:val="20"/>
          <w:szCs w:val="20"/>
          <w:color w:val="auto"/>
        </w:rPr>
      </w:pPr>
    </w:p>
    <w:p>
      <w:pPr>
        <w:ind w:left="220"/>
        <w:spacing w:after="0"/>
        <w:tabs>
          <w:tab w:leader="none" w:pos="6480" w:val="left"/>
        </w:tabs>
        <w:rPr>
          <w:sz w:val="20"/>
          <w:szCs w:val="20"/>
          <w:color w:val="auto"/>
        </w:rPr>
      </w:pPr>
      <w:r>
        <w:rPr>
          <w:rFonts w:ascii="Arial" w:cs="Arial" w:eastAsia="Arial" w:hAnsi="Arial"/>
          <w:sz w:val="16"/>
          <w:szCs w:val="16"/>
          <w:color w:val="auto"/>
        </w:rPr>
        <w:t>Dated: October 26, 2023</w:t>
      </w:r>
      <w:r>
        <w:rPr>
          <w:sz w:val="20"/>
          <w:szCs w:val="20"/>
          <w:color w:val="auto"/>
        </w:rPr>
        <w:tab/>
      </w:r>
      <w:r>
        <w:rPr>
          <w:rFonts w:ascii="Arial" w:cs="Arial" w:eastAsia="Arial" w:hAnsi="Arial"/>
          <w:sz w:val="16"/>
          <w:szCs w:val="16"/>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18415</wp:posOffset>
            </wp:positionV>
            <wp:extent cx="30003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8"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Joseph M. Zubretsky</w:t>
      </w:r>
    </w:p>
    <w:p>
      <w:pPr>
        <w:spacing w:after="0" w:line="43"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Chief Executive Officer</w:t>
      </w:r>
    </w:p>
    <w:p>
      <w:pPr>
        <w:spacing w:after="0" w:line="32"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(Principal Executive Officer)</w:t>
      </w:r>
    </w:p>
    <w:p>
      <w:pPr>
        <w:spacing w:after="0" w:line="286" w:lineRule="exact"/>
        <w:rPr>
          <w:sz w:val="20"/>
          <w:szCs w:val="20"/>
          <w:color w:val="auto"/>
        </w:rPr>
      </w:pPr>
    </w:p>
    <w:p>
      <w:pPr>
        <w:ind w:left="220"/>
        <w:spacing w:after="0"/>
        <w:tabs>
          <w:tab w:leader="none" w:pos="6480" w:val="left"/>
        </w:tabs>
        <w:rPr>
          <w:sz w:val="20"/>
          <w:szCs w:val="20"/>
          <w:color w:val="auto"/>
        </w:rPr>
      </w:pPr>
      <w:r>
        <w:rPr>
          <w:rFonts w:ascii="Arial" w:cs="Arial" w:eastAsia="Arial" w:hAnsi="Arial"/>
          <w:sz w:val="16"/>
          <w:szCs w:val="16"/>
          <w:color w:val="auto"/>
        </w:rPr>
        <w:t>Dated: October 26, 2023</w:t>
      </w:r>
      <w:r>
        <w:rPr>
          <w:sz w:val="20"/>
          <w:szCs w:val="20"/>
          <w:color w:val="auto"/>
        </w:rPr>
        <w:tab/>
      </w:r>
      <w:r>
        <w:rPr>
          <w:rFonts w:ascii="Arial" w:cs="Arial" w:eastAsia="Arial" w:hAnsi="Arial"/>
          <w:sz w:val="16"/>
          <w:szCs w:val="16"/>
          <w:color w:val="auto"/>
        </w:rPr>
        <w:t>/s/ MARK L. KEIM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18415</wp:posOffset>
            </wp:positionV>
            <wp:extent cx="30003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8"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Mark L. Keim</w:t>
      </w:r>
    </w:p>
    <w:p>
      <w:pPr>
        <w:spacing w:after="0" w:line="43"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Chief Financial Officer and Treasurer</w:t>
      </w:r>
    </w:p>
    <w:p>
      <w:pPr>
        <w:spacing w:after="0" w:line="32"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2023 Form 10-Q | 38</w:t>
      </w:r>
    </w:p>
    <w:p>
      <w:pPr>
        <w:sectPr>
          <w:pgSz w:w="11900" w:h="16838" w:orient="portrait"/>
          <w:cols w:equalWidth="0" w:num="1">
            <w:col w:w="11240"/>
          </w:cols>
          <w:pgMar w:left="320" w:top="125" w:right="339" w:bottom="1440" w:gutter="0" w:footer="0" w:header="0"/>
        </w:sectPr>
      </w:pPr>
    </w:p>
    <w:bookmarkStart w:id="38" w:name="page39"/>
    <w:bookmarkEnd w:id="38"/>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AMENDMENT NO. ONE</w:t>
      </w:r>
    </w:p>
    <w:p>
      <w:pPr>
        <w:spacing w:after="0" w:line="135"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TO THE</w:t>
      </w:r>
    </w:p>
    <w:p>
      <w:pPr>
        <w:spacing w:after="0" w:line="121"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MOLINA HEALTHCARE, INC.</w:t>
      </w:r>
    </w:p>
    <w:p>
      <w:pPr>
        <w:spacing w:after="0" w:line="121"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AMENDED AND RESTATED</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DEFERRED COMPENSATION PLAN (2022)</w:t>
      </w:r>
    </w:p>
    <w:p>
      <w:pPr>
        <w:spacing w:after="0" w:line="222" w:lineRule="exact"/>
        <w:rPr>
          <w:sz w:val="20"/>
          <w:szCs w:val="20"/>
          <w:color w:val="auto"/>
        </w:rPr>
      </w:pPr>
    </w:p>
    <w:p>
      <w:pPr>
        <w:jc w:val="both"/>
        <w:ind w:right="320"/>
        <w:spacing w:after="0" w:line="283" w:lineRule="auto"/>
        <w:rPr>
          <w:sz w:val="20"/>
          <w:szCs w:val="20"/>
          <w:color w:val="auto"/>
        </w:rPr>
      </w:pPr>
      <w:r>
        <w:rPr>
          <w:rFonts w:ascii="Arial" w:cs="Arial" w:eastAsia="Arial" w:hAnsi="Arial"/>
          <w:sz w:val="19"/>
          <w:szCs w:val="19"/>
          <w:color w:val="auto"/>
        </w:rPr>
        <w:t>Section 7 of the Molina Healthcare, Inc. Amended and Restated Deferred Compensation Plan (2022) effective for amounts earned and deferred on or after January 1, 2022 (the “Plan”) allows Molina Healthcare, Inc. (the “Company”) to amend the terms of the Plan, at any time by resolution of the Plan Committee. Accordingly, the Plan Committee amends the Plan as follows, effective, unless otherwise specified herein, for Written Elections for amounts earned and deferred on or after January 1, 2024.</w:t>
      </w:r>
    </w:p>
    <w:p>
      <w:pPr>
        <w:spacing w:after="0" w:line="103"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Sections 1.9 through 1.19 are hereby renumbered 1.11 through 1.21 and new Sections 1.9 and 1.10 are added to read as follows:</w:t>
      </w:r>
    </w:p>
    <w:p>
      <w:pPr>
        <w:spacing w:after="0" w:line="184" w:lineRule="exact"/>
        <w:rPr>
          <w:rFonts w:ascii="Arial" w:cs="Arial" w:eastAsia="Arial" w:hAnsi="Arial"/>
          <w:sz w:val="18"/>
          <w:szCs w:val="18"/>
          <w:color w:val="auto"/>
        </w:rPr>
      </w:pPr>
    </w:p>
    <w:p>
      <w:pPr>
        <w:jc w:val="both"/>
        <w:ind w:left="660"/>
        <w:spacing w:after="0" w:line="272" w:lineRule="auto"/>
        <w:rPr>
          <w:rFonts w:ascii="Arial" w:cs="Arial" w:eastAsia="Arial" w:hAnsi="Arial"/>
          <w:sz w:val="18"/>
          <w:szCs w:val="18"/>
          <w:color w:val="auto"/>
        </w:rPr>
      </w:pPr>
      <w:r>
        <w:rPr>
          <w:rFonts w:ascii="Arial" w:cs="Arial" w:eastAsia="Arial" w:hAnsi="Arial"/>
          <w:sz w:val="18"/>
          <w:szCs w:val="18"/>
          <w:color w:val="auto"/>
        </w:rPr>
        <w:t>“1.9 Performance-Based Compensation means compensation the amount of which, or the entitlement to which, is contingent on the satisfaction of pre-established organizational or individual performance criteria relating to a Performance Period, as hereafter defined. Such performance criteria must be (a) established in writing no later than 90 days after the beginning of the Performance Period and (b) objective and substantially uncertain to be met at the time the performance criteria are established.</w:t>
      </w:r>
    </w:p>
    <w:p>
      <w:pPr>
        <w:spacing w:after="0" w:line="114" w:lineRule="exact"/>
        <w:rPr>
          <w:rFonts w:ascii="Arial" w:cs="Arial" w:eastAsia="Arial" w:hAnsi="Arial"/>
          <w:sz w:val="18"/>
          <w:szCs w:val="18"/>
          <w:color w:val="auto"/>
        </w:rPr>
      </w:pPr>
    </w:p>
    <w:p>
      <w:pPr>
        <w:ind w:left="660"/>
        <w:spacing w:after="0" w:line="246" w:lineRule="auto"/>
        <w:rPr>
          <w:rFonts w:ascii="Arial" w:cs="Arial" w:eastAsia="Arial" w:hAnsi="Arial"/>
          <w:sz w:val="18"/>
          <w:szCs w:val="18"/>
          <w:color w:val="auto"/>
        </w:rPr>
      </w:pPr>
      <w:r>
        <w:rPr>
          <w:rFonts w:ascii="Arial" w:cs="Arial" w:eastAsia="Arial" w:hAnsi="Arial"/>
          <w:sz w:val="20"/>
          <w:szCs w:val="20"/>
          <w:color w:val="auto"/>
        </w:rPr>
        <w:t>“1.10 Performance Period means an established period of not less than 12 months for determining entitlement to Performance-Based Compensation under the applicable incentive plan or annual bonus program.</w:t>
      </w:r>
    </w:p>
    <w:p>
      <w:pPr>
        <w:spacing w:after="0" w:line="13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Section 2.3 deleted in its entirety and replaced with the following new Section 2.3:</w:t>
      </w:r>
    </w:p>
    <w:p>
      <w:pPr>
        <w:spacing w:after="0" w:line="243"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8"/>
          <w:szCs w:val="18"/>
          <w:u w:val="single" w:color="auto"/>
          <w:color w:val="auto"/>
        </w:rPr>
        <w:t>Written Election by Participant</w:t>
      </w:r>
      <w:r>
        <w:rPr>
          <w:rFonts w:ascii="Arial" w:cs="Arial" w:eastAsia="Arial" w:hAnsi="Arial"/>
          <w:sz w:val="18"/>
          <w:szCs w:val="18"/>
          <w:color w:val="auto"/>
        </w:rPr>
        <w:t>.</w:t>
      </w:r>
    </w:p>
    <w:p>
      <w:pPr>
        <w:spacing w:after="0" w:line="189" w:lineRule="exact"/>
        <w:rPr>
          <w:sz w:val="20"/>
          <w:szCs w:val="20"/>
          <w:color w:val="auto"/>
        </w:rPr>
      </w:pPr>
    </w:p>
    <w:p>
      <w:pPr>
        <w:ind w:left="1300" w:firstLine="256"/>
        <w:spacing w:after="0" w:line="236" w:lineRule="auto"/>
        <w:rPr>
          <w:sz w:val="20"/>
          <w:szCs w:val="20"/>
          <w:color w:val="auto"/>
        </w:rPr>
      </w:pPr>
      <w:r>
        <w:rPr>
          <w:rFonts w:ascii="Arial" w:cs="Arial" w:eastAsia="Arial" w:hAnsi="Arial"/>
          <w:sz w:val="18"/>
          <w:szCs w:val="18"/>
          <w:color w:val="auto"/>
        </w:rPr>
        <w:t>A newly Eligible Employee may defer Plan Year Compensation to be earned in the same Plan Year of his or her initial eligibility by submitting a Written Election in accordance with the procedures approved by the Plan Committee not later than</w:t>
      </w:r>
    </w:p>
    <w:p>
      <w:pPr>
        <w:ind w:left="1300"/>
        <w:spacing w:after="0" w:line="235" w:lineRule="auto"/>
        <w:rPr>
          <w:sz w:val="20"/>
          <w:szCs w:val="20"/>
          <w:color w:val="auto"/>
        </w:rPr>
      </w:pPr>
      <w:r>
        <w:rPr>
          <w:rFonts w:ascii="Arial" w:cs="Arial" w:eastAsia="Arial" w:hAnsi="Arial"/>
          <w:sz w:val="18"/>
          <w:szCs w:val="18"/>
          <w:color w:val="auto"/>
        </w:rPr>
        <w:t>30 days after he or she first receives enrollment materials under Section 2.1. Such Written Election shall be irrevocable on</w:t>
      </w:r>
    </w:p>
    <w:p>
      <w:pPr>
        <w:jc w:val="both"/>
        <w:ind w:left="1300"/>
        <w:spacing w:after="0" w:line="226" w:lineRule="auto"/>
        <w:rPr>
          <w:sz w:val="20"/>
          <w:szCs w:val="20"/>
          <w:color w:val="auto"/>
        </w:rPr>
      </w:pPr>
      <w:r>
        <w:rPr>
          <w:rFonts w:ascii="Arial" w:cs="Arial" w:eastAsia="Arial" w:hAnsi="Arial"/>
          <w:sz w:val="18"/>
          <w:szCs w:val="18"/>
          <w:color w:val="auto"/>
        </w:rPr>
        <w:t>the 30th day after the newly Eligible Employee first receives enrollment materials and is effective for the first payroll period beginning in the next calendar quarter, except for a Written Election with respect to Performance-Based Compensation,</w:t>
      </w:r>
    </w:p>
    <w:p>
      <w:pPr>
        <w:ind w:left="1300"/>
        <w:spacing w:after="0" w:line="236" w:lineRule="auto"/>
        <w:rPr>
          <w:sz w:val="20"/>
          <w:szCs w:val="20"/>
          <w:color w:val="auto"/>
        </w:rPr>
      </w:pPr>
      <w:r>
        <w:rPr>
          <w:rFonts w:ascii="Arial" w:cs="Arial" w:eastAsia="Arial" w:hAnsi="Arial"/>
          <w:sz w:val="18"/>
          <w:szCs w:val="18"/>
          <w:color w:val="auto"/>
        </w:rPr>
        <w:t>which shall be irrevocable after the date that is six (6) months prior to the end of the applicable Performance Period. To the</w:t>
      </w:r>
    </w:p>
    <w:p>
      <w:pPr>
        <w:spacing w:after="0" w:line="1" w:lineRule="exact"/>
        <w:rPr>
          <w:sz w:val="20"/>
          <w:szCs w:val="20"/>
          <w:color w:val="auto"/>
        </w:rPr>
      </w:pPr>
    </w:p>
    <w:p>
      <w:pPr>
        <w:ind w:left="1300"/>
        <w:spacing w:after="0" w:line="226" w:lineRule="auto"/>
        <w:rPr>
          <w:sz w:val="20"/>
          <w:szCs w:val="20"/>
          <w:color w:val="auto"/>
        </w:rPr>
      </w:pPr>
      <w:r>
        <w:rPr>
          <w:rFonts w:ascii="Arial" w:cs="Arial" w:eastAsia="Arial" w:hAnsi="Arial"/>
          <w:sz w:val="18"/>
          <w:szCs w:val="18"/>
          <w:color w:val="auto"/>
        </w:rPr>
        <w:t>extent the election applies to an item of Plan Year Compensation earned over more than one payroll period that commenced prior to the beginning of such calendar quarter, the maximum deferrable amount of such Plan Year Compensation is a</w:t>
      </w:r>
    </w:p>
    <w:p>
      <w:pPr>
        <w:ind w:left="1300"/>
        <w:spacing w:after="0" w:line="236" w:lineRule="auto"/>
        <w:rPr>
          <w:sz w:val="20"/>
          <w:szCs w:val="20"/>
          <w:color w:val="auto"/>
        </w:rPr>
      </w:pPr>
      <w:r>
        <w:rPr>
          <w:rFonts w:ascii="Arial" w:cs="Arial" w:eastAsia="Arial" w:hAnsi="Arial"/>
          <w:sz w:val="18"/>
          <w:szCs w:val="18"/>
          <w:color w:val="auto"/>
        </w:rPr>
        <w:t>fraction of such compensation with the numerator equal to the number of days from the beginning of the calendar quarter in</w:t>
      </w:r>
    </w:p>
    <w:p>
      <w:pPr>
        <w:spacing w:after="0" w:line="1" w:lineRule="exact"/>
        <w:rPr>
          <w:sz w:val="20"/>
          <w:szCs w:val="20"/>
          <w:color w:val="auto"/>
        </w:rPr>
      </w:pPr>
    </w:p>
    <w:p>
      <w:pPr>
        <w:ind w:left="1300" w:right="20"/>
        <w:spacing w:after="0" w:line="226" w:lineRule="auto"/>
        <w:rPr>
          <w:sz w:val="20"/>
          <w:szCs w:val="20"/>
          <w:color w:val="auto"/>
        </w:rPr>
      </w:pPr>
      <w:r>
        <w:rPr>
          <w:rFonts w:ascii="Arial" w:cs="Arial" w:eastAsia="Arial" w:hAnsi="Arial"/>
          <w:sz w:val="18"/>
          <w:szCs w:val="18"/>
          <w:color w:val="auto"/>
        </w:rPr>
        <w:t>which the Written Election is effective and the denominator is the total number of days in the service period. In no event will the amount of an item of deferrable Plan Year Compensation exceed the limits set forth in Section 3.1. All Eligible</w:t>
      </w:r>
    </w:p>
    <w:p>
      <w:pPr>
        <w:spacing w:after="0" w:line="2" w:lineRule="exact"/>
        <w:rPr>
          <w:sz w:val="20"/>
          <w:szCs w:val="20"/>
          <w:color w:val="auto"/>
        </w:rPr>
      </w:pPr>
    </w:p>
    <w:p>
      <w:pPr>
        <w:ind w:left="1300"/>
        <w:spacing w:after="0" w:line="226" w:lineRule="auto"/>
        <w:rPr>
          <w:sz w:val="20"/>
          <w:szCs w:val="20"/>
          <w:color w:val="auto"/>
        </w:rPr>
      </w:pPr>
      <w:r>
        <w:rPr>
          <w:rFonts w:ascii="Arial" w:cs="Arial" w:eastAsia="Arial" w:hAnsi="Arial"/>
          <w:sz w:val="18"/>
          <w:szCs w:val="18"/>
          <w:color w:val="auto"/>
        </w:rPr>
        <w:t>Employees may submit Written Elections applicable to Plan Year Compensation earned in the next following Plan Year by submitting Written Elections no later than the last day of the current Plan Year, or such earlier date as may be specified by</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the Plan Committee or its delegate.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#604672v1</w:t>
      </w:r>
    </w:p>
    <w:p>
      <w:pPr>
        <w:sectPr>
          <w:pgSz w:w="11900" w:h="16838" w:orient="portrait"/>
          <w:cols w:equalWidth="0" w:num="1">
            <w:col w:w="11240"/>
          </w:cols>
          <w:pgMar w:left="320" w:top="1440" w:right="339" w:bottom="1440" w:gutter="0" w:footer="0" w:header="0"/>
        </w:sectPr>
      </w:pPr>
    </w:p>
    <w:bookmarkStart w:id="39" w:name="page40"/>
    <w:bookmarkEnd w:id="39"/>
    <w:p>
      <w:pPr>
        <w:spacing w:after="0" w:line="209" w:lineRule="exact"/>
        <w:rPr>
          <w:sz w:val="20"/>
          <w:szCs w:val="20"/>
          <w:color w:val="auto"/>
        </w:rPr>
      </w:pPr>
    </w:p>
    <w:p>
      <w:pPr>
        <w:ind w:left="1300"/>
        <w:spacing w:after="0" w:line="274" w:lineRule="auto"/>
        <w:rPr>
          <w:sz w:val="20"/>
          <w:szCs w:val="20"/>
          <w:color w:val="auto"/>
        </w:rPr>
      </w:pPr>
      <w:r>
        <w:rPr>
          <w:rFonts w:ascii="Arial" w:cs="Arial" w:eastAsia="Arial" w:hAnsi="Arial"/>
          <w:sz w:val="16"/>
          <w:szCs w:val="16"/>
          <w:color w:val="auto"/>
        </w:rPr>
        <w:t>A Written Election applicable to Plan Year Compensation earned over more than one Plan Year shall be made before the Plan Year in which the service period applicable to such Plan Year Compensation begins and shall remain in effect for all Plan</w:t>
      </w:r>
    </w:p>
    <w:p>
      <w:pPr>
        <w:spacing w:after="0" w:line="1" w:lineRule="exact"/>
        <w:rPr>
          <w:sz w:val="20"/>
          <w:szCs w:val="20"/>
          <w:color w:val="auto"/>
        </w:rPr>
      </w:pPr>
    </w:p>
    <w:p>
      <w:pPr>
        <w:ind w:left="1300"/>
        <w:spacing w:after="0" w:line="226" w:lineRule="auto"/>
        <w:rPr>
          <w:sz w:val="20"/>
          <w:szCs w:val="20"/>
          <w:color w:val="auto"/>
        </w:rPr>
      </w:pPr>
      <w:r>
        <w:rPr>
          <w:rFonts w:ascii="Arial" w:cs="Arial" w:eastAsia="Arial" w:hAnsi="Arial"/>
          <w:sz w:val="18"/>
          <w:szCs w:val="18"/>
          <w:color w:val="auto"/>
        </w:rPr>
        <w:t>Years in which the related services are performed, except as otherwise provided herein. Elections for the next Plan Year become irrevocable on the last day of the current Plan Year, except for modifications permitted under Section 2.3(f) below</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with respect to Performance-Based Compensation, or as otherwise provided herein. In order to be valid for purposes of Code</w:t>
      </w:r>
    </w:p>
    <w:p>
      <w:pPr>
        <w:spacing w:after="0" w:line="19" w:lineRule="exact"/>
        <w:rPr>
          <w:sz w:val="20"/>
          <w:szCs w:val="20"/>
          <w:color w:val="auto"/>
        </w:rPr>
      </w:pPr>
    </w:p>
    <w:p>
      <w:pPr>
        <w:ind w:left="1300"/>
        <w:spacing w:after="0" w:line="226" w:lineRule="auto"/>
        <w:rPr>
          <w:sz w:val="20"/>
          <w:szCs w:val="20"/>
          <w:color w:val="auto"/>
        </w:rPr>
      </w:pPr>
      <w:r>
        <w:rPr>
          <w:rFonts w:ascii="Arial" w:cs="Arial" w:eastAsia="Arial" w:hAnsi="Arial"/>
          <w:sz w:val="18"/>
          <w:szCs w:val="18"/>
          <w:color w:val="auto"/>
        </w:rPr>
        <w:t>Section 409A, all Written Elections must contain the items set forth in Section 2.3(a), except subparagraph (iii); provided, however, a Participant’s initial election in Section 2.3(a) subparagraphs (iv) and (v) shall remain in effect for all subsequent</w:t>
      </w:r>
    </w:p>
    <w:p>
      <w:pPr>
        <w:spacing w:after="0" w:line="2" w:lineRule="exact"/>
        <w:rPr>
          <w:sz w:val="20"/>
          <w:szCs w:val="20"/>
          <w:color w:val="auto"/>
        </w:rPr>
      </w:pPr>
    </w:p>
    <w:p>
      <w:pPr>
        <w:ind w:left="1300"/>
        <w:spacing w:after="0" w:line="226" w:lineRule="auto"/>
        <w:rPr>
          <w:sz w:val="20"/>
          <w:szCs w:val="20"/>
          <w:color w:val="auto"/>
        </w:rPr>
      </w:pPr>
      <w:r>
        <w:rPr>
          <w:rFonts w:ascii="Arial" w:cs="Arial" w:eastAsia="Arial" w:hAnsi="Arial"/>
          <w:sz w:val="18"/>
          <w:szCs w:val="18"/>
          <w:color w:val="auto"/>
        </w:rPr>
        <w:t>Plan Years unless modified as permitted under Section 2.3(e) below or modified as permitted under Section 2.3(f) below with respect to Performance-Based Compensation, or as otherwise permitted herein. Valid elections (those meeting the</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requirements of this Section 2.3) are referred to herein as “Written Elections”.</w:t>
      </w:r>
    </w:p>
    <w:p>
      <w:pPr>
        <w:spacing w:after="0" w:line="173" w:lineRule="exact"/>
        <w:rPr>
          <w:sz w:val="20"/>
          <w:szCs w:val="20"/>
          <w:color w:val="auto"/>
        </w:rPr>
      </w:pPr>
    </w:p>
    <w:p>
      <w:pPr>
        <w:ind w:left="1960" w:hanging="656"/>
        <w:spacing w:after="0" w:line="229" w:lineRule="auto"/>
        <w:tabs>
          <w:tab w:leader="none" w:pos="1950" w:val="left"/>
        </w:tabs>
        <w:numPr>
          <w:ilvl w:val="0"/>
          <w:numId w:val="17"/>
        </w:numPr>
        <w:rPr>
          <w:rFonts w:ascii="Arial" w:cs="Arial" w:eastAsia="Arial" w:hAnsi="Arial"/>
          <w:sz w:val="20"/>
          <w:szCs w:val="20"/>
          <w:color w:val="auto"/>
        </w:rPr>
      </w:pPr>
      <w:r>
        <w:rPr>
          <w:rFonts w:ascii="Arial" w:cs="Arial" w:eastAsia="Arial" w:hAnsi="Arial"/>
          <w:sz w:val="20"/>
          <w:szCs w:val="20"/>
          <w:color w:val="auto"/>
        </w:rPr>
        <w:t>Such Written Election shall be made on the form presented to the Participant by the Plan Committee or its designee and shall set forth:</w:t>
      </w:r>
    </w:p>
    <w:p>
      <w:pPr>
        <w:spacing w:after="0" w:line="168" w:lineRule="exact"/>
        <w:rPr>
          <w:rFonts w:ascii="Arial" w:cs="Arial" w:eastAsia="Arial" w:hAnsi="Arial"/>
          <w:sz w:val="20"/>
          <w:szCs w:val="20"/>
          <w:color w:val="auto"/>
        </w:rPr>
      </w:pPr>
    </w:p>
    <w:p>
      <w:pPr>
        <w:ind w:left="2600" w:hanging="648"/>
        <w:spacing w:after="0"/>
        <w:tabs>
          <w:tab w:leader="none" w:pos="2600" w:val="left"/>
        </w:tabs>
        <w:numPr>
          <w:ilvl w:val="1"/>
          <w:numId w:val="17"/>
        </w:numPr>
        <w:rPr>
          <w:rFonts w:ascii="Arial" w:cs="Arial" w:eastAsia="Arial" w:hAnsi="Arial"/>
          <w:sz w:val="20"/>
          <w:szCs w:val="20"/>
          <w:color w:val="auto"/>
        </w:rPr>
      </w:pPr>
      <w:r>
        <w:rPr>
          <w:rFonts w:ascii="Arial" w:cs="Arial" w:eastAsia="Arial" w:hAnsi="Arial"/>
          <w:sz w:val="20"/>
          <w:szCs w:val="20"/>
          <w:color w:val="auto"/>
        </w:rPr>
        <w:t>such election to participate in this Plan under the terms hereof;</w:t>
      </w:r>
    </w:p>
    <w:p>
      <w:pPr>
        <w:spacing w:after="0" w:line="188" w:lineRule="exact"/>
        <w:rPr>
          <w:rFonts w:ascii="Arial" w:cs="Arial" w:eastAsia="Arial" w:hAnsi="Arial"/>
          <w:sz w:val="20"/>
          <w:szCs w:val="20"/>
          <w:color w:val="auto"/>
        </w:rPr>
      </w:pPr>
    </w:p>
    <w:p>
      <w:pPr>
        <w:ind w:left="2600" w:hanging="648"/>
        <w:spacing w:after="0" w:line="229" w:lineRule="auto"/>
        <w:tabs>
          <w:tab w:leader="none" w:pos="2599" w:val="left"/>
        </w:tabs>
        <w:numPr>
          <w:ilvl w:val="1"/>
          <w:numId w:val="17"/>
        </w:numPr>
        <w:rPr>
          <w:rFonts w:ascii="Arial" w:cs="Arial" w:eastAsia="Arial" w:hAnsi="Arial"/>
          <w:sz w:val="20"/>
          <w:szCs w:val="20"/>
          <w:color w:val="auto"/>
        </w:rPr>
      </w:pPr>
      <w:r>
        <w:rPr>
          <w:rFonts w:ascii="Arial" w:cs="Arial" w:eastAsia="Arial" w:hAnsi="Arial"/>
          <w:sz w:val="20"/>
          <w:szCs w:val="20"/>
          <w:color w:val="auto"/>
        </w:rPr>
        <w:t>the percentage of Plan Year Compensation the Participant has determined to defer under the Plan for the Plan Year, pursuant to Section 3.1 below;</w:t>
      </w:r>
    </w:p>
    <w:p>
      <w:pPr>
        <w:spacing w:after="0" w:line="168" w:lineRule="exact"/>
        <w:rPr>
          <w:rFonts w:ascii="Arial" w:cs="Arial" w:eastAsia="Arial" w:hAnsi="Arial"/>
          <w:sz w:val="20"/>
          <w:szCs w:val="20"/>
          <w:color w:val="auto"/>
        </w:rPr>
      </w:pPr>
    </w:p>
    <w:p>
      <w:pPr>
        <w:jc w:val="both"/>
        <w:ind w:left="2600" w:hanging="648"/>
        <w:spacing w:after="0" w:line="223" w:lineRule="auto"/>
        <w:tabs>
          <w:tab w:leader="none" w:pos="2600" w:val="left"/>
        </w:tabs>
        <w:numPr>
          <w:ilvl w:val="1"/>
          <w:numId w:val="17"/>
        </w:numPr>
        <w:rPr>
          <w:rFonts w:ascii="Arial" w:cs="Arial" w:eastAsia="Arial" w:hAnsi="Arial"/>
          <w:sz w:val="20"/>
          <w:szCs w:val="20"/>
          <w:color w:val="auto"/>
        </w:rPr>
      </w:pPr>
      <w:r>
        <w:rPr>
          <w:rFonts w:ascii="Arial" w:cs="Arial" w:eastAsia="Arial" w:hAnsi="Arial"/>
          <w:sz w:val="20"/>
          <w:szCs w:val="20"/>
          <w:color w:val="auto"/>
        </w:rPr>
        <w:t>the investment vehicles into which the Participant desires to have his Account attributable to deferral of Plan Year Compensation invested, as provided in Section 3.5 below, and the percentage of such Account allocated to each elected investment vehicle;</w:t>
      </w:r>
    </w:p>
    <w:p>
      <w:pPr>
        <w:spacing w:after="0" w:line="168" w:lineRule="exact"/>
        <w:rPr>
          <w:rFonts w:ascii="Arial" w:cs="Arial" w:eastAsia="Arial" w:hAnsi="Arial"/>
          <w:sz w:val="20"/>
          <w:szCs w:val="20"/>
          <w:color w:val="auto"/>
        </w:rPr>
      </w:pPr>
    </w:p>
    <w:p>
      <w:pPr>
        <w:jc w:val="both"/>
        <w:ind w:left="2600" w:hanging="648"/>
        <w:spacing w:after="0" w:line="223" w:lineRule="auto"/>
        <w:tabs>
          <w:tab w:leader="none" w:pos="2589" w:val="left"/>
        </w:tabs>
        <w:numPr>
          <w:ilvl w:val="1"/>
          <w:numId w:val="17"/>
        </w:numPr>
        <w:rPr>
          <w:rFonts w:ascii="Arial" w:cs="Arial" w:eastAsia="Arial" w:hAnsi="Arial"/>
          <w:sz w:val="20"/>
          <w:szCs w:val="20"/>
          <w:color w:val="auto"/>
        </w:rPr>
      </w:pPr>
      <w:r>
        <w:rPr>
          <w:rFonts w:ascii="Arial" w:cs="Arial" w:eastAsia="Arial" w:hAnsi="Arial"/>
          <w:sz w:val="20"/>
          <w:szCs w:val="20"/>
          <w:color w:val="auto"/>
        </w:rPr>
        <w:t>the date on which distribution of his benefit is to be made or commence, which is the earlier of: (a) the year specified for an In-Service Withdrawal; or (b) the date he separates from service with the Company or a Subsidiary for any reason; and</w:t>
      </w:r>
    </w:p>
    <w:p>
      <w:pPr>
        <w:spacing w:after="0" w:line="168" w:lineRule="exact"/>
        <w:rPr>
          <w:rFonts w:ascii="Arial" w:cs="Arial" w:eastAsia="Arial" w:hAnsi="Arial"/>
          <w:sz w:val="20"/>
          <w:szCs w:val="20"/>
          <w:color w:val="auto"/>
        </w:rPr>
      </w:pPr>
    </w:p>
    <w:p>
      <w:pPr>
        <w:ind w:left="2600" w:hanging="648"/>
        <w:spacing w:after="0" w:line="236" w:lineRule="auto"/>
        <w:tabs>
          <w:tab w:leader="none" w:pos="2588" w:val="left"/>
        </w:tabs>
        <w:numPr>
          <w:ilvl w:val="1"/>
          <w:numId w:val="17"/>
        </w:numPr>
        <w:rPr>
          <w:rFonts w:ascii="Arial" w:cs="Arial" w:eastAsia="Arial" w:hAnsi="Arial"/>
          <w:sz w:val="20"/>
          <w:szCs w:val="20"/>
          <w:color w:val="auto"/>
        </w:rPr>
      </w:pPr>
      <w:r>
        <w:rPr>
          <w:rFonts w:ascii="Arial" w:cs="Arial" w:eastAsia="Arial" w:hAnsi="Arial"/>
          <w:sz w:val="20"/>
          <w:szCs w:val="20"/>
          <w:color w:val="auto"/>
        </w:rPr>
        <w:t>the form in which his benefit is to be distributed upon an In-Service Withdrawal, Separation from Service, or death.</w:t>
      </w:r>
    </w:p>
    <w:p>
      <w:pPr>
        <w:spacing w:after="0" w:line="155" w:lineRule="exact"/>
        <w:rPr>
          <w:rFonts w:ascii="Arial" w:cs="Arial" w:eastAsia="Arial" w:hAnsi="Arial"/>
          <w:sz w:val="20"/>
          <w:szCs w:val="20"/>
          <w:color w:val="auto"/>
        </w:rPr>
      </w:pPr>
    </w:p>
    <w:p>
      <w:pPr>
        <w:jc w:val="both"/>
        <w:ind w:left="1960" w:hanging="656"/>
        <w:spacing w:after="0" w:line="227" w:lineRule="auto"/>
        <w:tabs>
          <w:tab w:leader="none" w:pos="1948" w:val="left"/>
        </w:tabs>
        <w:numPr>
          <w:ilvl w:val="0"/>
          <w:numId w:val="17"/>
        </w:numPr>
        <w:rPr>
          <w:rFonts w:ascii="Arial" w:cs="Arial" w:eastAsia="Arial" w:hAnsi="Arial"/>
          <w:sz w:val="20"/>
          <w:szCs w:val="20"/>
          <w:color w:val="auto"/>
        </w:rPr>
      </w:pPr>
      <w:r>
        <w:rPr>
          <w:rFonts w:ascii="Arial" w:cs="Arial" w:eastAsia="Arial" w:hAnsi="Arial"/>
          <w:sz w:val="20"/>
          <w:szCs w:val="20"/>
          <w:color w:val="auto"/>
        </w:rPr>
        <w:t>Written Elections will continue in effect for subsequent Plan Years, unless revoked or modified in writing by the Eligible Employee or the Plan Committee prior to the last day of the current Plan Year, except as otherwise permitted herein.</w:t>
      </w:r>
    </w:p>
    <w:p>
      <w:pPr>
        <w:spacing w:after="0" w:line="157" w:lineRule="exact"/>
        <w:rPr>
          <w:rFonts w:ascii="Arial" w:cs="Arial" w:eastAsia="Arial" w:hAnsi="Arial"/>
          <w:sz w:val="20"/>
          <w:szCs w:val="20"/>
          <w:color w:val="auto"/>
        </w:rPr>
      </w:pPr>
    </w:p>
    <w:p>
      <w:pPr>
        <w:jc w:val="both"/>
        <w:ind w:left="1960"/>
        <w:spacing w:after="0" w:line="220" w:lineRule="auto"/>
        <w:rPr>
          <w:rFonts w:ascii="Arial" w:cs="Arial" w:eastAsia="Arial" w:hAnsi="Arial"/>
          <w:sz w:val="20"/>
          <w:szCs w:val="20"/>
          <w:color w:val="auto"/>
        </w:rPr>
      </w:pPr>
      <w:r>
        <w:rPr>
          <w:rFonts w:ascii="Arial" w:cs="Arial" w:eastAsia="Arial" w:hAnsi="Arial"/>
          <w:sz w:val="20"/>
          <w:szCs w:val="20"/>
          <w:color w:val="auto"/>
        </w:rPr>
        <w:t>A Written Election is deemed to be revoked for a subsequent Plan Year if the Participant is no longer an Eligible Employee. Unless otherwise provided herein, Written Elections shall be irrevocable on and after the first day of the Plan Year for which the election was made, unless cancelled during the current Plan Year due to an Unforeseeable Financial Emergency in accordance with Section 5.5.</w:t>
      </w:r>
    </w:p>
    <w:p>
      <w:pPr>
        <w:spacing w:after="0" w:line="169" w:lineRule="exact"/>
        <w:rPr>
          <w:rFonts w:ascii="Arial" w:cs="Arial" w:eastAsia="Arial" w:hAnsi="Arial"/>
          <w:sz w:val="20"/>
          <w:szCs w:val="20"/>
          <w:color w:val="auto"/>
        </w:rPr>
      </w:pPr>
    </w:p>
    <w:p>
      <w:pPr>
        <w:jc w:val="both"/>
        <w:ind w:left="1960" w:hanging="656"/>
        <w:spacing w:after="0" w:line="229" w:lineRule="auto"/>
        <w:tabs>
          <w:tab w:leader="none" w:pos="1950" w:val="left"/>
        </w:tabs>
        <w:numPr>
          <w:ilvl w:val="0"/>
          <w:numId w:val="17"/>
        </w:numPr>
        <w:rPr>
          <w:rFonts w:ascii="Arial" w:cs="Arial" w:eastAsia="Arial" w:hAnsi="Arial"/>
          <w:sz w:val="19"/>
          <w:szCs w:val="19"/>
          <w:color w:val="auto"/>
        </w:rPr>
      </w:pPr>
      <w:r>
        <w:rPr>
          <w:rFonts w:ascii="Arial" w:cs="Arial" w:eastAsia="Arial" w:hAnsi="Arial"/>
          <w:sz w:val="19"/>
          <w:szCs w:val="19"/>
          <w:color w:val="auto"/>
        </w:rPr>
        <w:t>A Participant may change the investment vehicle(s) in which the Participant desires to have that portion of the Participant’s Account attributable to Plan Year Compensation and investment income invested and the percentage of the Participant’s Account allocated to each investment vehicle by completing and submitting any form or forms required by the Company. Changes in investment vehicle(s) will be made as of the applicable business day (or as soon as practicable thereafter) following the date that the change is requested.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#604672v1</w:t>
      </w:r>
    </w:p>
    <w:p>
      <w:pPr>
        <w:sectPr>
          <w:pgSz w:w="11900" w:h="16838" w:orient="portrait"/>
          <w:cols w:equalWidth="0" w:num="1">
            <w:col w:w="11240"/>
          </w:cols>
          <w:pgMar w:left="320" w:top="1440" w:right="339" w:bottom="1440" w:gutter="0" w:footer="0" w:header="0"/>
        </w:sectPr>
      </w:pPr>
    </w:p>
    <w:bookmarkStart w:id="40" w:name="page41"/>
    <w:bookmarkEnd w:id="40"/>
    <w:p>
      <w:pPr>
        <w:spacing w:after="0" w:line="209" w:lineRule="exact"/>
        <w:rPr>
          <w:sz w:val="20"/>
          <w:szCs w:val="20"/>
          <w:color w:val="auto"/>
        </w:rPr>
      </w:pPr>
    </w:p>
    <w:p>
      <w:pPr>
        <w:jc w:val="both"/>
        <w:ind w:left="1960" w:hanging="656"/>
        <w:spacing w:after="0" w:line="231" w:lineRule="auto"/>
        <w:tabs>
          <w:tab w:leader="none" w:pos="1948" w:val="left"/>
        </w:tabs>
        <w:numPr>
          <w:ilvl w:val="0"/>
          <w:numId w:val="18"/>
        </w:numPr>
        <w:rPr>
          <w:rFonts w:ascii="Arial" w:cs="Arial" w:eastAsia="Arial" w:hAnsi="Arial"/>
          <w:sz w:val="19"/>
          <w:szCs w:val="19"/>
          <w:color w:val="auto"/>
        </w:rPr>
      </w:pPr>
      <w:r>
        <w:rPr>
          <w:rFonts w:ascii="Arial" w:cs="Arial" w:eastAsia="Arial" w:hAnsi="Arial"/>
          <w:sz w:val="19"/>
          <w:szCs w:val="19"/>
          <w:color w:val="auto"/>
        </w:rPr>
        <w:t>Notwithstanding the foregoing, the Trustee shall, at the direction of the Plan Committee, have the duty and authority to invest the trust assets and funds in accordance with the terms of the Trust Agreement, and all rights associated with the trust assets shall be exercised by the Trustee as designated by the Plan Committee and shall in no event be exercisable by or be settled upon Participants or their Beneficiaries.</w:t>
      </w:r>
    </w:p>
    <w:p>
      <w:pPr>
        <w:spacing w:after="0" w:line="171" w:lineRule="exact"/>
        <w:rPr>
          <w:rFonts w:ascii="Arial" w:cs="Arial" w:eastAsia="Arial" w:hAnsi="Arial"/>
          <w:sz w:val="19"/>
          <w:szCs w:val="19"/>
          <w:color w:val="auto"/>
        </w:rPr>
      </w:pPr>
    </w:p>
    <w:p>
      <w:pPr>
        <w:ind w:left="1960" w:right="20" w:hanging="656"/>
        <w:spacing w:after="0" w:line="236" w:lineRule="auto"/>
        <w:tabs>
          <w:tab w:leader="none" w:pos="1950" w:val="left"/>
        </w:tabs>
        <w:numPr>
          <w:ilvl w:val="0"/>
          <w:numId w:val="18"/>
        </w:numPr>
        <w:rPr>
          <w:rFonts w:ascii="Arial" w:cs="Arial" w:eastAsia="Arial" w:hAnsi="Arial"/>
          <w:sz w:val="20"/>
          <w:szCs w:val="20"/>
          <w:color w:val="auto"/>
        </w:rPr>
      </w:pPr>
      <w:r>
        <w:rPr>
          <w:rFonts w:ascii="Arial" w:cs="Arial" w:eastAsia="Arial" w:hAnsi="Arial"/>
          <w:sz w:val="20"/>
          <w:szCs w:val="20"/>
          <w:color w:val="auto"/>
        </w:rPr>
        <w:t>A Participant may change the date or form of distribution by submitting the appropriate form(s) to the Company, provided that the following conditions are met:</w:t>
      </w:r>
    </w:p>
    <w:p>
      <w:pPr>
        <w:spacing w:after="0" w:line="155" w:lineRule="exact"/>
        <w:rPr>
          <w:rFonts w:ascii="Arial" w:cs="Arial" w:eastAsia="Arial" w:hAnsi="Arial"/>
          <w:sz w:val="20"/>
          <w:szCs w:val="20"/>
          <w:color w:val="auto"/>
        </w:rPr>
      </w:pPr>
    </w:p>
    <w:p>
      <w:pPr>
        <w:ind w:left="2600" w:hanging="648"/>
        <w:spacing w:after="0" w:line="236" w:lineRule="auto"/>
        <w:tabs>
          <w:tab w:leader="none" w:pos="2598" w:val="left"/>
        </w:tabs>
        <w:numPr>
          <w:ilvl w:val="1"/>
          <w:numId w:val="18"/>
        </w:numPr>
        <w:rPr>
          <w:rFonts w:ascii="Arial" w:cs="Arial" w:eastAsia="Arial" w:hAnsi="Arial"/>
          <w:sz w:val="20"/>
          <w:szCs w:val="20"/>
          <w:color w:val="auto"/>
        </w:rPr>
      </w:pPr>
      <w:r>
        <w:rPr>
          <w:rFonts w:ascii="Arial" w:cs="Arial" w:eastAsia="Arial" w:hAnsi="Arial"/>
          <w:sz w:val="20"/>
          <w:szCs w:val="20"/>
          <w:color w:val="auto"/>
        </w:rPr>
        <w:t>That such election may not take effect until at least twelve (12) months after the date on which the election is made;</w:t>
      </w:r>
    </w:p>
    <w:p>
      <w:pPr>
        <w:spacing w:after="0" w:line="155" w:lineRule="exact"/>
        <w:rPr>
          <w:rFonts w:ascii="Arial" w:cs="Arial" w:eastAsia="Arial" w:hAnsi="Arial"/>
          <w:sz w:val="20"/>
          <w:szCs w:val="20"/>
          <w:color w:val="auto"/>
        </w:rPr>
      </w:pPr>
    </w:p>
    <w:p>
      <w:pPr>
        <w:jc w:val="both"/>
        <w:ind w:left="2600" w:hanging="648"/>
        <w:spacing w:after="0" w:line="239" w:lineRule="auto"/>
        <w:tabs>
          <w:tab w:leader="none" w:pos="2599" w:val="left"/>
        </w:tabs>
        <w:numPr>
          <w:ilvl w:val="1"/>
          <w:numId w:val="18"/>
        </w:numPr>
        <w:rPr>
          <w:rFonts w:ascii="Arial" w:cs="Arial" w:eastAsia="Arial" w:hAnsi="Arial"/>
          <w:sz w:val="19"/>
          <w:szCs w:val="19"/>
          <w:color w:val="auto"/>
        </w:rPr>
      </w:pPr>
      <w:r>
        <w:rPr>
          <w:rFonts w:ascii="Arial" w:cs="Arial" w:eastAsia="Arial" w:hAnsi="Arial"/>
          <w:sz w:val="19"/>
          <w:szCs w:val="19"/>
          <w:color w:val="auto"/>
        </w:rPr>
        <w:t>In the case of an election related to a payment other than a payment on account of death, Disability or the occurrence of an Unforeseeable Financial Emergency, such payment must be deferred for a period of not less than five (5) years from the date such payment would have otherwise been made, and</w:t>
      </w:r>
    </w:p>
    <w:p>
      <w:pPr>
        <w:spacing w:after="0" w:line="157" w:lineRule="exact"/>
        <w:rPr>
          <w:rFonts w:ascii="Arial" w:cs="Arial" w:eastAsia="Arial" w:hAnsi="Arial"/>
          <w:sz w:val="19"/>
          <w:szCs w:val="19"/>
          <w:color w:val="auto"/>
        </w:rPr>
      </w:pPr>
    </w:p>
    <w:p>
      <w:pPr>
        <w:ind w:left="2600" w:hanging="648"/>
        <w:spacing w:after="0" w:line="236" w:lineRule="auto"/>
        <w:tabs>
          <w:tab w:leader="none" w:pos="2600" w:val="left"/>
        </w:tabs>
        <w:numPr>
          <w:ilvl w:val="1"/>
          <w:numId w:val="18"/>
        </w:numPr>
        <w:rPr>
          <w:rFonts w:ascii="Arial" w:cs="Arial" w:eastAsia="Arial" w:hAnsi="Arial"/>
          <w:sz w:val="20"/>
          <w:szCs w:val="20"/>
          <w:color w:val="auto"/>
        </w:rPr>
      </w:pPr>
      <w:r>
        <w:rPr>
          <w:rFonts w:ascii="Arial" w:cs="Arial" w:eastAsia="Arial" w:hAnsi="Arial"/>
          <w:sz w:val="20"/>
          <w:szCs w:val="20"/>
          <w:color w:val="auto"/>
        </w:rPr>
        <w:t>Any election related to a payment at a specified time or pursuant to a fixed schedule may not be made less than twelve (12) months prior to the date of the first scheduled payment.</w:t>
      </w:r>
    </w:p>
    <w:p>
      <w:pPr>
        <w:spacing w:after="0" w:line="168" w:lineRule="exact"/>
        <w:rPr>
          <w:rFonts w:ascii="Arial" w:cs="Arial" w:eastAsia="Arial" w:hAnsi="Arial"/>
          <w:sz w:val="20"/>
          <w:szCs w:val="20"/>
          <w:color w:val="auto"/>
        </w:rPr>
      </w:pPr>
    </w:p>
    <w:p>
      <w:pPr>
        <w:ind w:left="2580" w:hanging="628"/>
        <w:spacing w:after="0"/>
        <w:tabs>
          <w:tab w:leader="none" w:pos="2580" w:val="left"/>
        </w:tabs>
        <w:numPr>
          <w:ilvl w:val="1"/>
          <w:numId w:val="18"/>
        </w:numPr>
        <w:rPr>
          <w:rFonts w:ascii="Arial" w:cs="Arial" w:eastAsia="Arial" w:hAnsi="Arial"/>
          <w:sz w:val="20"/>
          <w:szCs w:val="20"/>
          <w:color w:val="auto"/>
        </w:rPr>
      </w:pPr>
      <w:r>
        <w:rPr>
          <w:rFonts w:ascii="Arial" w:cs="Arial" w:eastAsia="Arial" w:hAnsi="Arial"/>
          <w:sz w:val="20"/>
          <w:szCs w:val="20"/>
          <w:color w:val="auto"/>
        </w:rPr>
        <w:t>Such election may be made among the payment options set forth in Section 6.1.</w:t>
      </w:r>
    </w:p>
    <w:p>
      <w:pPr>
        <w:spacing w:after="0" w:line="175" w:lineRule="exact"/>
        <w:rPr>
          <w:rFonts w:ascii="Arial" w:cs="Arial" w:eastAsia="Arial" w:hAnsi="Arial"/>
          <w:sz w:val="20"/>
          <w:szCs w:val="20"/>
          <w:color w:val="auto"/>
        </w:rPr>
      </w:pPr>
    </w:p>
    <w:p>
      <w:pPr>
        <w:jc w:val="both"/>
        <w:ind w:left="1960" w:hanging="656"/>
        <w:spacing w:after="0" w:line="214" w:lineRule="auto"/>
        <w:tabs>
          <w:tab w:leader="none" w:pos="1955" w:val="left"/>
        </w:tabs>
        <w:numPr>
          <w:ilvl w:val="0"/>
          <w:numId w:val="18"/>
        </w:numPr>
        <w:rPr>
          <w:rFonts w:ascii="Arial" w:cs="Arial" w:eastAsia="Arial" w:hAnsi="Arial"/>
          <w:sz w:val="20"/>
          <w:szCs w:val="20"/>
          <w:color w:val="auto"/>
        </w:rPr>
      </w:pPr>
      <w:r>
        <w:rPr>
          <w:rFonts w:ascii="Arial" w:cs="Arial" w:eastAsia="Arial" w:hAnsi="Arial"/>
          <w:sz w:val="20"/>
          <w:szCs w:val="20"/>
          <w:color w:val="auto"/>
        </w:rPr>
        <w:t>A Participant may modify a Written Election with respect to Performance-Based Compensation earned during a Plan Year provided that the amount of Performance-Based Compensation is not readily ascertainable at the time of such modification and such modification is made not later than six (6) months prior to the end of the Performance Period; provided that the Participant is employed continuously from the later of the beginning of the Performance Period or the date the performance criteria are established through the date an modification. For purposes of this Plan, Performance-Based Compensation is readily ascertainable if and when the amount is first substantially certain to be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#604672v1</w:t>
      </w:r>
    </w:p>
    <w:p>
      <w:pPr>
        <w:sectPr>
          <w:pgSz w:w="11900" w:h="16838" w:orient="portrait"/>
          <w:cols w:equalWidth="0" w:num="1">
            <w:col w:w="11240"/>
          </w:cols>
          <w:pgMar w:left="320" w:top="1440" w:right="339" w:bottom="1440" w:gutter="0" w:footer="0" w:header="0"/>
        </w:sectPr>
      </w:pPr>
    </w:p>
    <w:bookmarkStart w:id="41" w:name="page42"/>
    <w:bookmarkEnd w:id="41"/>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Except as amended hereby, the terms of the Plan shall remain in full force and effect.</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Executed on October 10, 2023.</w:t>
      </w:r>
    </w:p>
    <w:p>
      <w:pPr>
        <w:spacing w:after="0" w:line="183"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MOLINA HEALTHCARE, INC.</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Joseph M. Zubretsky</w:t>
      </w:r>
    </w:p>
    <w:p>
      <w:pPr>
        <w:spacing w:after="0" w:line="18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Joseph M. Zubretsky</w:t>
      </w:r>
    </w:p>
    <w:p>
      <w:pPr>
        <w:spacing w:after="0" w:line="18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4</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#604672v1</w:t>
      </w:r>
    </w:p>
    <w:p>
      <w:pPr>
        <w:sectPr>
          <w:pgSz w:w="11900" w:h="16838" w:orient="portrait"/>
          <w:cols w:equalWidth="0" w:num="1">
            <w:col w:w="10139"/>
          </w:cols>
          <w:pgMar w:left="320" w:top="1440" w:right="1440"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I, Joseph M. Zubretsky, certify that:</w:t>
      </w:r>
    </w:p>
    <w:p>
      <w:pPr>
        <w:spacing w:after="0" w:line="117" w:lineRule="exact"/>
        <w:rPr>
          <w:sz w:val="20"/>
          <w:szCs w:val="20"/>
          <w:color w:val="auto"/>
        </w:rPr>
      </w:pPr>
    </w:p>
    <w:p>
      <w:pPr>
        <w:ind w:left="660" w:hanging="20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2023 of Molina Healthcare, Inc.;</w:t>
      </w:r>
    </w:p>
    <w:p>
      <w:pPr>
        <w:spacing w:after="0" w:line="117" w:lineRule="exact"/>
        <w:rPr>
          <w:rFonts w:ascii="Arial" w:cs="Arial" w:eastAsia="Arial" w:hAnsi="Arial"/>
          <w:sz w:val="18"/>
          <w:szCs w:val="18"/>
          <w:color w:val="auto"/>
        </w:rPr>
      </w:pPr>
    </w:p>
    <w:p>
      <w:pPr>
        <w:ind w:right="80" w:firstLine="453"/>
        <w:spacing w:after="0" w:line="263" w:lineRule="auto"/>
        <w:tabs>
          <w:tab w:leader="none" w:pos="646"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right="120" w:firstLine="453"/>
        <w:spacing w:after="0" w:line="275" w:lineRule="auto"/>
        <w:tabs>
          <w:tab w:leader="none" w:pos="646"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8"/>
          <w:szCs w:val="18"/>
          <w:color w:val="auto"/>
        </w:rPr>
      </w:pPr>
    </w:p>
    <w:p>
      <w:pPr>
        <w:ind w:right="40" w:firstLine="453"/>
        <w:spacing w:after="0" w:line="263" w:lineRule="auto"/>
        <w:tabs>
          <w:tab w:leader="none" w:pos="64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right="140" w:firstLine="899"/>
        <w:spacing w:after="0" w:line="263" w:lineRule="auto"/>
        <w:tabs>
          <w:tab w:leader="none" w:pos="1161"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120" w:firstLine="899"/>
        <w:spacing w:after="0" w:line="263" w:lineRule="auto"/>
        <w:tabs>
          <w:tab w:leader="none" w:pos="1161"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80" w:firstLine="899"/>
        <w:spacing w:after="0" w:line="263" w:lineRule="auto"/>
        <w:tabs>
          <w:tab w:leader="none" w:pos="1151"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right="240" w:firstLine="899"/>
        <w:spacing w:after="0" w:line="263" w:lineRule="auto"/>
        <w:tabs>
          <w:tab w:leader="none" w:pos="1161"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340" w:firstLine="453"/>
        <w:spacing w:after="0" w:line="263" w:lineRule="auto"/>
        <w:tabs>
          <w:tab w:leader="none" w:pos="64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right="60" w:firstLine="899"/>
        <w:spacing w:after="0" w:line="275" w:lineRule="auto"/>
        <w:tabs>
          <w:tab w:leader="none" w:pos="1161"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5" w:lineRule="exact"/>
        <w:rPr>
          <w:rFonts w:ascii="Arial" w:cs="Arial" w:eastAsia="Arial" w:hAnsi="Arial"/>
          <w:sz w:val="18"/>
          <w:szCs w:val="18"/>
          <w:color w:val="auto"/>
        </w:rPr>
      </w:pPr>
    </w:p>
    <w:p>
      <w:pPr>
        <w:ind w:right="900" w:firstLine="899"/>
        <w:spacing w:after="0" w:line="275" w:lineRule="auto"/>
        <w:tabs>
          <w:tab w:leader="none" w:pos="1161"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0"/>
        <w:spacing w:after="0"/>
        <w:tabs>
          <w:tab w:leader="none" w:pos="6200" w:val="left"/>
        </w:tabs>
        <w:rPr>
          <w:sz w:val="20"/>
          <w:szCs w:val="20"/>
          <w:color w:val="auto"/>
        </w:rPr>
      </w:pPr>
      <w:r>
        <w:rPr>
          <w:rFonts w:ascii="Arial" w:cs="Arial" w:eastAsia="Arial" w:hAnsi="Arial"/>
          <w:sz w:val="18"/>
          <w:szCs w:val="18"/>
          <w:color w:val="auto"/>
        </w:rPr>
        <w:t>Dated: October 26, 2023</w:t>
      </w:r>
      <w:r>
        <w:rPr>
          <w:sz w:val="20"/>
          <w:szCs w:val="20"/>
          <w:color w:val="auto"/>
        </w:rPr>
        <w:tab/>
      </w:r>
      <w:r>
        <w:rPr>
          <w:rFonts w:ascii="Arial" w:cs="Arial" w:eastAsia="Arial" w:hAnsi="Arial"/>
          <w:sz w:val="18"/>
          <w:szCs w:val="18"/>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13970</wp:posOffset>
            </wp:positionV>
            <wp:extent cx="710628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6"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Joseph M. Zubretsky</w:t>
      </w:r>
    </w:p>
    <w:p>
      <w:pPr>
        <w:spacing w:after="0" w:line="44"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Chief Executive Officer, President and Director</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86"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I, Mark L. Keim, certify that:</w:t>
      </w:r>
    </w:p>
    <w:p>
      <w:pPr>
        <w:spacing w:after="0" w:line="117" w:lineRule="exact"/>
        <w:rPr>
          <w:sz w:val="20"/>
          <w:szCs w:val="20"/>
          <w:color w:val="auto"/>
        </w:rPr>
      </w:pPr>
    </w:p>
    <w:p>
      <w:pPr>
        <w:ind w:left="660" w:hanging="20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2023 of Molina Healthcare, Inc.;</w:t>
      </w:r>
    </w:p>
    <w:p>
      <w:pPr>
        <w:spacing w:after="0" w:line="117" w:lineRule="exact"/>
        <w:rPr>
          <w:rFonts w:ascii="Arial" w:cs="Arial" w:eastAsia="Arial" w:hAnsi="Arial"/>
          <w:sz w:val="18"/>
          <w:szCs w:val="18"/>
          <w:color w:val="auto"/>
        </w:rPr>
      </w:pPr>
    </w:p>
    <w:p>
      <w:pPr>
        <w:ind w:right="80" w:firstLine="453"/>
        <w:spacing w:after="0" w:line="263" w:lineRule="auto"/>
        <w:tabs>
          <w:tab w:leader="none" w:pos="646"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right="120" w:firstLine="453"/>
        <w:spacing w:after="0" w:line="275" w:lineRule="auto"/>
        <w:tabs>
          <w:tab w:leader="none" w:pos="646"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8"/>
          <w:szCs w:val="18"/>
          <w:color w:val="auto"/>
        </w:rPr>
      </w:pPr>
    </w:p>
    <w:p>
      <w:pPr>
        <w:ind w:right="40" w:firstLine="453"/>
        <w:spacing w:after="0" w:line="263" w:lineRule="auto"/>
        <w:tabs>
          <w:tab w:leader="none" w:pos="64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right="140" w:firstLine="899"/>
        <w:spacing w:after="0" w:line="263" w:lineRule="auto"/>
        <w:tabs>
          <w:tab w:leader="none" w:pos="1161"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120" w:firstLine="899"/>
        <w:spacing w:after="0" w:line="263" w:lineRule="auto"/>
        <w:tabs>
          <w:tab w:leader="none" w:pos="1161"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80" w:firstLine="899"/>
        <w:spacing w:after="0" w:line="263" w:lineRule="auto"/>
        <w:tabs>
          <w:tab w:leader="none" w:pos="1151"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right="240" w:firstLine="899"/>
        <w:spacing w:after="0" w:line="263" w:lineRule="auto"/>
        <w:tabs>
          <w:tab w:leader="none" w:pos="1161"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340" w:firstLine="453"/>
        <w:spacing w:after="0" w:line="263" w:lineRule="auto"/>
        <w:tabs>
          <w:tab w:leader="none" w:pos="64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right="60" w:firstLine="899"/>
        <w:spacing w:after="0" w:line="275" w:lineRule="auto"/>
        <w:tabs>
          <w:tab w:leader="none" w:pos="1161"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5" w:lineRule="exact"/>
        <w:rPr>
          <w:rFonts w:ascii="Arial" w:cs="Arial" w:eastAsia="Arial" w:hAnsi="Arial"/>
          <w:sz w:val="18"/>
          <w:szCs w:val="18"/>
          <w:color w:val="auto"/>
        </w:rPr>
      </w:pPr>
    </w:p>
    <w:p>
      <w:pPr>
        <w:ind w:right="900" w:firstLine="899"/>
        <w:spacing w:after="0" w:line="275" w:lineRule="auto"/>
        <w:tabs>
          <w:tab w:leader="none" w:pos="1161"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0"/>
        <w:spacing w:after="0"/>
        <w:tabs>
          <w:tab w:leader="none" w:pos="6180" w:val="left"/>
        </w:tabs>
        <w:rPr>
          <w:sz w:val="20"/>
          <w:szCs w:val="20"/>
          <w:color w:val="auto"/>
        </w:rPr>
      </w:pPr>
      <w:r>
        <w:rPr>
          <w:rFonts w:ascii="Arial" w:cs="Arial" w:eastAsia="Arial" w:hAnsi="Arial"/>
          <w:sz w:val="18"/>
          <w:szCs w:val="18"/>
          <w:color w:val="auto"/>
        </w:rPr>
        <w:t>Dated: October 26, 2023</w:t>
      </w:r>
      <w:r>
        <w:rPr>
          <w:sz w:val="20"/>
          <w:szCs w:val="20"/>
          <w:color w:val="auto"/>
        </w:rPr>
        <w:tab/>
      </w:r>
      <w:r>
        <w:rPr>
          <w:rFonts w:ascii="Arial" w:cs="Arial" w:eastAsia="Arial" w:hAnsi="Arial"/>
          <w:sz w:val="17"/>
          <w:szCs w:val="17"/>
          <w:color w:val="auto"/>
        </w:rPr>
        <w:t>/s/ Mark L. Keim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13970</wp:posOffset>
            </wp:positionV>
            <wp:extent cx="71151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6"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Mark L. Keim</w:t>
      </w:r>
    </w:p>
    <w:p>
      <w:pPr>
        <w:spacing w:after="0" w:line="44"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86" w:right="339" w:bottom="1440" w:gutter="0" w:footer="0" w:header="0"/>
        </w:sectPr>
      </w:pPr>
    </w:p>
    <w:bookmarkStart w:id="44" w:name="page45"/>
    <w:bookmarkEnd w:id="44"/>
    <w:p>
      <w:pPr>
        <w:ind w:left="10140"/>
        <w:spacing w:after="0"/>
        <w:rPr>
          <w:sz w:val="20"/>
          <w:szCs w:val="20"/>
          <w:color w:val="auto"/>
        </w:rPr>
      </w:pPr>
      <w:r>
        <w:rPr>
          <w:rFonts w:ascii="Arial" w:cs="Arial" w:eastAsia="Arial" w:hAnsi="Arial"/>
          <w:sz w:val="17"/>
          <w:szCs w:val="17"/>
          <w:b w:val="1"/>
          <w:bCs w:val="1"/>
          <w:color w:val="auto"/>
        </w:rPr>
        <w:t>EXHIBIT 32.1</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9" w:lineRule="exact"/>
        <w:rPr>
          <w:sz w:val="20"/>
          <w:szCs w:val="20"/>
          <w:color w:val="auto"/>
        </w:rPr>
      </w:pPr>
    </w:p>
    <w:p>
      <w:pPr>
        <w:ind w:right="80" w:firstLine="445"/>
        <w:spacing w:after="0" w:line="263" w:lineRule="auto"/>
        <w:rPr>
          <w:sz w:val="20"/>
          <w:szCs w:val="20"/>
          <w:color w:val="auto"/>
        </w:rPr>
      </w:pPr>
      <w:r>
        <w:rPr>
          <w:rFonts w:ascii="Arial" w:cs="Arial" w:eastAsia="Arial" w:hAnsi="Arial"/>
          <w:sz w:val="18"/>
          <w:szCs w:val="18"/>
          <w:color w:val="auto"/>
        </w:rPr>
        <w:t>In connection with the Quarterly Report of Molina Healthcare, Inc. (the “Company”) on Form 10-Q for the period ended September 30, 2023 (the “Report”), I, Joseph M. Zubretsky, Chief Executive Officer of the Company, certify, pursuant to 18 U.S.C. Section 1350, as adopted pursuant to Section 906 of the Sarbanes-Oxley Act of 2002, that:</w:t>
      </w:r>
    </w:p>
    <w:p>
      <w:pPr>
        <w:spacing w:after="0" w:line="76" w:lineRule="exact"/>
        <w:rPr>
          <w:sz w:val="20"/>
          <w:szCs w:val="20"/>
          <w:color w:val="auto"/>
        </w:rPr>
      </w:pPr>
    </w:p>
    <w:p>
      <w:pPr>
        <w:ind w:left="1160" w:hanging="261"/>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w:t>
      </w:r>
    </w:p>
    <w:p>
      <w:pPr>
        <w:spacing w:after="0" w:line="2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amended; and</w:t>
      </w:r>
    </w:p>
    <w:p>
      <w:pPr>
        <w:spacing w:after="0" w:line="105" w:lineRule="exact"/>
        <w:rPr>
          <w:rFonts w:ascii="Arial" w:cs="Arial" w:eastAsia="Arial" w:hAnsi="Arial"/>
          <w:sz w:val="18"/>
          <w:szCs w:val="18"/>
          <w:color w:val="auto"/>
        </w:rPr>
      </w:pPr>
    </w:p>
    <w:p>
      <w:pPr>
        <w:ind w:firstLine="899"/>
        <w:spacing w:after="0" w:line="275" w:lineRule="auto"/>
        <w:tabs>
          <w:tab w:leader="none" w:pos="1161"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tabs>
          <w:tab w:leader="none" w:pos="6220" w:val="left"/>
        </w:tabs>
        <w:rPr>
          <w:sz w:val="20"/>
          <w:szCs w:val="20"/>
          <w:color w:val="auto"/>
        </w:rPr>
      </w:pPr>
      <w:r>
        <w:rPr>
          <w:rFonts w:ascii="Arial" w:cs="Arial" w:eastAsia="Arial" w:hAnsi="Arial"/>
          <w:sz w:val="18"/>
          <w:szCs w:val="18"/>
          <w:color w:val="auto"/>
        </w:rPr>
        <w:t>Dated: October 26, 2023</w:t>
      </w:r>
      <w:r>
        <w:rPr>
          <w:sz w:val="20"/>
          <w:szCs w:val="20"/>
          <w:color w:val="auto"/>
        </w:rPr>
        <w:tab/>
      </w:r>
      <w:r>
        <w:rPr>
          <w:rFonts w:ascii="Arial" w:cs="Arial" w:eastAsia="Arial" w:hAnsi="Arial"/>
          <w:sz w:val="18"/>
          <w:szCs w:val="18"/>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13970</wp:posOffset>
            </wp:positionV>
            <wp:extent cx="71062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6"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Joseph M. Zubretsky</w:t>
      </w:r>
    </w:p>
    <w:p>
      <w:pPr>
        <w:spacing w:after="0" w:line="44"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Chief Executive Officer, President and Director</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86" w:right="339" w:bottom="1440" w:gutter="0" w:footer="0" w:header="0"/>
        </w:sectPr>
      </w:pPr>
    </w:p>
    <w:bookmarkStart w:id="45" w:name="page46"/>
    <w:bookmarkEnd w:id="45"/>
    <w:p>
      <w:pPr>
        <w:ind w:left="10140"/>
        <w:spacing w:after="0"/>
        <w:rPr>
          <w:sz w:val="20"/>
          <w:szCs w:val="20"/>
          <w:color w:val="auto"/>
        </w:rPr>
      </w:pPr>
      <w:r>
        <w:rPr>
          <w:rFonts w:ascii="Arial" w:cs="Arial" w:eastAsia="Arial" w:hAnsi="Arial"/>
          <w:sz w:val="17"/>
          <w:szCs w:val="17"/>
          <w:b w:val="1"/>
          <w:bCs w:val="1"/>
          <w:color w:val="auto"/>
        </w:rPr>
        <w:t>EXHIBIT 32.2</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the Quarterly Report of Molina Healthcare, Inc. (the “Company”) on Form 10-Q for the period ended September 30,</w:t>
      </w:r>
    </w:p>
    <w:p>
      <w:pPr>
        <w:spacing w:after="0" w:line="21"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2023 (the “Report”), I, Mark L. Keim, Chief Financial Officer of the Company, certify, pursuant to 18 U.S.C. Section 1350, as adopted pursuant to Section 906 of the Sarbanes-Oxley Act of 2002, that:</w:t>
      </w:r>
    </w:p>
    <w:p>
      <w:pPr>
        <w:spacing w:after="0" w:line="78" w:lineRule="exact"/>
        <w:rPr>
          <w:sz w:val="20"/>
          <w:szCs w:val="20"/>
          <w:color w:val="auto"/>
        </w:rPr>
      </w:pPr>
    </w:p>
    <w:p>
      <w:pPr>
        <w:ind w:left="1160" w:hanging="261"/>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w:t>
      </w:r>
    </w:p>
    <w:p>
      <w:pPr>
        <w:spacing w:after="0" w:line="2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amended; and</w:t>
      </w:r>
    </w:p>
    <w:p>
      <w:pPr>
        <w:spacing w:after="0" w:line="105" w:lineRule="exact"/>
        <w:rPr>
          <w:rFonts w:ascii="Arial" w:cs="Arial" w:eastAsia="Arial" w:hAnsi="Arial"/>
          <w:sz w:val="18"/>
          <w:szCs w:val="18"/>
          <w:color w:val="auto"/>
        </w:rPr>
      </w:pPr>
    </w:p>
    <w:p>
      <w:pPr>
        <w:ind w:firstLine="899"/>
        <w:spacing w:after="0" w:line="275" w:lineRule="auto"/>
        <w:tabs>
          <w:tab w:leader="none" w:pos="116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0"/>
        <w:spacing w:after="0"/>
        <w:tabs>
          <w:tab w:leader="none" w:pos="6200" w:val="left"/>
        </w:tabs>
        <w:rPr>
          <w:sz w:val="20"/>
          <w:szCs w:val="20"/>
          <w:color w:val="auto"/>
        </w:rPr>
      </w:pPr>
      <w:r>
        <w:rPr>
          <w:rFonts w:ascii="Arial" w:cs="Arial" w:eastAsia="Arial" w:hAnsi="Arial"/>
          <w:sz w:val="18"/>
          <w:szCs w:val="18"/>
          <w:color w:val="auto"/>
        </w:rPr>
        <w:t>Dated: October 26, 2023</w:t>
      </w:r>
      <w:r>
        <w:rPr>
          <w:sz w:val="20"/>
          <w:szCs w:val="20"/>
          <w:color w:val="auto"/>
        </w:rPr>
        <w:tab/>
      </w:r>
      <w:r>
        <w:rPr>
          <w:rFonts w:ascii="Arial" w:cs="Arial" w:eastAsia="Arial" w:hAnsi="Arial"/>
          <w:sz w:val="17"/>
          <w:szCs w:val="17"/>
          <w:color w:val="auto"/>
        </w:rPr>
        <w:t>/s/ Mark L. Keim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13970</wp:posOffset>
            </wp:positionV>
            <wp:extent cx="71062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6"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Mark L. Keim</w:t>
      </w:r>
    </w:p>
    <w:p>
      <w:pPr>
        <w:spacing w:after="0" w:line="44"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6"/>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lowerLetter"/>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lowerLetter"/>
      <w:start w:val="1"/>
    </w:lvl>
    <w:lvl w:ilvl="1">
      <w:lvlJc w:val="left"/>
      <w:lvlText w:val="(%2)"/>
      <w:numFmt w:val="lowerRoman"/>
      <w:start w:val="1"/>
    </w:lvl>
  </w:abstractNum>
  <w:abstractNum w:abstractNumId="17">
    <w:nsid w:val="62BBD95A"/>
    <w:multiLevelType w:val="hybridMultilevel"/>
    <w:lvl w:ilvl="0">
      <w:lvlJc w:val="left"/>
      <w:lvlText w:val="(%1)"/>
      <w:numFmt w:val="lowerLetter"/>
      <w:start w:val="4"/>
    </w:lvl>
    <w:lvl w:ilvl="1">
      <w:lvlJc w:val="left"/>
      <w:lvlText w:val="(%2)"/>
      <w:numFmt w:val="lowerRoman"/>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2023-10-26T09:06:40Z</dcterms:created>
  <dcterms:modified xsi:type="dcterms:W3CDTF">2023-10-26T09:06:40Z</dcterms:modified>
</cp:coreProperties>
</file>