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160655</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1419860</wp:posOffset>
            </wp:positionH>
            <wp:positionV relativeFrom="paragraph">
              <wp:posOffset>226695</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March 31, 2018</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212090</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426720</wp:posOffset>
            </wp:positionV>
            <wp:extent cx="2263775"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77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MOLINA HEALTHCARE,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212090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w w:val="99"/>
              </w:rPr>
              <w:t>Delaware</w:t>
            </w:r>
          </w:p>
        </w:tc>
        <w:tc>
          <w:tcPr>
            <w:tcW w:w="4640" w:type="dxa"/>
            <w:vAlign w:val="bottom"/>
          </w:tcPr>
          <w:p>
            <w:pPr>
              <w:jc w:val="right"/>
              <w:ind w:right="681"/>
              <w:spacing w:after="0"/>
              <w:rPr>
                <w:sz w:val="20"/>
                <w:szCs w:val="20"/>
                <w:color w:val="auto"/>
              </w:rPr>
            </w:pPr>
            <w:r>
              <w:rPr>
                <w:rFonts w:ascii="Arial" w:cs="Arial" w:eastAsia="Arial" w:hAnsi="Arial"/>
                <w:sz w:val="16"/>
                <w:szCs w:val="16"/>
                <w:b w:val="1"/>
                <w:bCs w:val="1"/>
                <w:color w:val="auto"/>
              </w:rPr>
              <w:t>13-4204626</w:t>
            </w:r>
          </w:p>
        </w:tc>
      </w:tr>
      <w:tr>
        <w:trPr>
          <w:trHeight w:val="224"/>
        </w:trPr>
        <w:tc>
          <w:tcPr>
            <w:tcW w:w="4220" w:type="dxa"/>
            <w:vAlign w:val="bottom"/>
          </w:tcPr>
          <w:p>
            <w:pPr>
              <w:jc w:val="center"/>
              <w:ind w:right="8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640" w:type="dxa"/>
            <w:vAlign w:val="bottom"/>
          </w:tcPr>
          <w:p>
            <w:pPr>
              <w:jc w:val="center"/>
              <w:ind w:left="2201"/>
              <w:spacing w:after="0"/>
              <w:rPr>
                <w:sz w:val="20"/>
                <w:szCs w:val="20"/>
                <w:color w:val="auto"/>
              </w:rPr>
            </w:pPr>
            <w:r>
              <w:rPr>
                <w:rFonts w:ascii="Arial" w:cs="Arial" w:eastAsia="Arial" w:hAnsi="Arial"/>
                <w:sz w:val="14"/>
                <w:szCs w:val="14"/>
                <w:b w:val="1"/>
                <w:bCs w:val="1"/>
                <w:color w:val="auto"/>
              </w:rPr>
              <w:t>(I.R.S. Employer Identification No.)</w:t>
            </w:r>
          </w:p>
        </w:tc>
      </w:tr>
      <w:tr>
        <w:trPr>
          <w:trHeight w:val="332"/>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rPr>
              <w:t>200 Oceangate, Suite 100</w:t>
            </w:r>
          </w:p>
        </w:tc>
        <w:tc>
          <w:tcPr>
            <w:tcW w:w="4640" w:type="dxa"/>
            <w:vAlign w:val="bottom"/>
          </w:tcPr>
          <w:p>
            <w:pPr>
              <w:spacing w:after="0"/>
              <w:rPr>
                <w:sz w:val="24"/>
                <w:szCs w:val="24"/>
                <w:color w:val="auto"/>
              </w:rPr>
            </w:pPr>
          </w:p>
        </w:tc>
      </w:tr>
      <w:tr>
        <w:trPr>
          <w:trHeight w:val="215"/>
        </w:trPr>
        <w:tc>
          <w:tcPr>
            <w:tcW w:w="4220" w:type="dxa"/>
            <w:vAlign w:val="bottom"/>
          </w:tcPr>
          <w:p>
            <w:pPr>
              <w:jc w:val="center"/>
              <w:ind w:right="83"/>
              <w:spacing w:after="0"/>
              <w:rPr>
                <w:sz w:val="20"/>
                <w:szCs w:val="20"/>
                <w:color w:val="auto"/>
              </w:rPr>
            </w:pPr>
            <w:r>
              <w:rPr>
                <w:rFonts w:ascii="Arial" w:cs="Arial" w:eastAsia="Arial" w:hAnsi="Arial"/>
                <w:sz w:val="16"/>
                <w:szCs w:val="16"/>
                <w:b w:val="1"/>
                <w:bCs w:val="1"/>
                <w:color w:val="auto"/>
              </w:rPr>
              <w:t>Long Beach, California</w:t>
            </w:r>
          </w:p>
        </w:tc>
        <w:tc>
          <w:tcPr>
            <w:tcW w:w="4640" w:type="dxa"/>
            <w:vAlign w:val="bottom"/>
          </w:tcPr>
          <w:p>
            <w:pPr>
              <w:jc w:val="right"/>
              <w:ind w:right="881"/>
              <w:spacing w:after="0"/>
              <w:rPr>
                <w:sz w:val="20"/>
                <w:szCs w:val="20"/>
                <w:color w:val="auto"/>
              </w:rPr>
            </w:pPr>
            <w:r>
              <w:rPr>
                <w:rFonts w:ascii="Arial" w:cs="Arial" w:eastAsia="Arial" w:hAnsi="Arial"/>
                <w:sz w:val="16"/>
                <w:szCs w:val="16"/>
                <w:b w:val="1"/>
                <w:bCs w:val="1"/>
                <w:color w:val="auto"/>
              </w:rPr>
              <w:t>90802</w:t>
            </w:r>
          </w:p>
        </w:tc>
      </w:tr>
      <w:tr>
        <w:trPr>
          <w:trHeight w:val="213"/>
        </w:trPr>
        <w:tc>
          <w:tcPr>
            <w:tcW w:w="4220" w:type="dxa"/>
            <w:vAlign w:val="bottom"/>
          </w:tcPr>
          <w:p>
            <w:pPr>
              <w:jc w:val="center"/>
              <w:ind w:right="83"/>
              <w:spacing w:after="0"/>
              <w:rPr>
                <w:sz w:val="20"/>
                <w:szCs w:val="20"/>
                <w:color w:val="auto"/>
              </w:rPr>
            </w:pPr>
            <w:r>
              <w:rPr>
                <w:rFonts w:ascii="Arial" w:cs="Arial" w:eastAsia="Arial" w:hAnsi="Arial"/>
                <w:sz w:val="14"/>
                <w:szCs w:val="14"/>
                <w:b w:val="1"/>
                <w:bCs w:val="1"/>
                <w:color w:val="auto"/>
              </w:rPr>
              <w:t>(Address of principal executive offices)</w:t>
            </w:r>
          </w:p>
        </w:tc>
        <w:tc>
          <w:tcPr>
            <w:tcW w:w="4640" w:type="dxa"/>
            <w:vAlign w:val="bottom"/>
          </w:tcPr>
          <w:p>
            <w:pPr>
              <w:jc w:val="center"/>
              <w:ind w:left="2201"/>
              <w:spacing w:after="0"/>
              <w:rPr>
                <w:sz w:val="20"/>
                <w:szCs w:val="20"/>
                <w:color w:val="auto"/>
              </w:rPr>
            </w:pPr>
            <w:r>
              <w:rPr>
                <w:rFonts w:ascii="Arial" w:cs="Arial" w:eastAsia="Arial" w:hAnsi="Arial"/>
                <w:sz w:val="14"/>
                <w:szCs w:val="14"/>
                <w:b w:val="1"/>
                <w:bCs w:val="1"/>
                <w:color w:val="auto"/>
              </w:rPr>
              <w:t>(Zip Code)</w:t>
            </w:r>
          </w:p>
        </w:tc>
      </w:tr>
      <w:tr>
        <w:trPr>
          <w:trHeight w:val="239"/>
        </w:trPr>
        <w:tc>
          <w:tcPr>
            <w:tcW w:w="4220" w:type="dxa"/>
            <w:vAlign w:val="bottom"/>
          </w:tcPr>
          <w:p>
            <w:pPr>
              <w:spacing w:after="0"/>
              <w:rPr>
                <w:sz w:val="20"/>
                <w:szCs w:val="20"/>
                <w:color w:val="auto"/>
              </w:rPr>
            </w:pPr>
          </w:p>
        </w:tc>
        <w:tc>
          <w:tcPr>
            <w:tcW w:w="4640" w:type="dxa"/>
            <w:vAlign w:val="bottom"/>
          </w:tcPr>
          <w:p>
            <w:pPr>
              <w:jc w:val="right"/>
              <w:ind w:right="3181"/>
              <w:spacing w:after="0"/>
              <w:rPr>
                <w:sz w:val="20"/>
                <w:szCs w:val="20"/>
                <w:color w:val="auto"/>
              </w:rPr>
            </w:pPr>
            <w:r>
              <w:rPr>
                <w:rFonts w:ascii="Arial" w:cs="Arial" w:eastAsia="Arial" w:hAnsi="Arial"/>
                <w:sz w:val="18"/>
                <w:szCs w:val="18"/>
                <w:b w:val="1"/>
                <w:bCs w:val="1"/>
                <w:color w:val="auto"/>
              </w:rPr>
              <w:t>(562) 435-3666</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163830</wp:posOffset>
            </wp:positionV>
            <wp:extent cx="4476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04"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40" w:type="dxa"/>
        <w:tblCellMar>
          <w:top w:w="0" w:type="dxa"/>
          <w:left w:w="0" w:type="dxa"/>
          <w:bottom w:w="0" w:type="dxa"/>
          <w:right w:w="0" w:type="dxa"/>
        </w:tblCellMar>
      </w:tblPr>
      <w:tr>
        <w:trPr>
          <w:trHeight w:val="308"/>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4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72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448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60" w:type="dxa"/>
            <w:vAlign w:val="bottom"/>
          </w:tcPr>
          <w:p>
            <w:pPr>
              <w:ind w:left="72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760" w:type="dxa"/>
            <w:vAlign w:val="bottom"/>
          </w:tcPr>
          <w:p>
            <w:pPr>
              <w:ind w:left="72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380"/>
          </w:cols>
          <w:pgMar w:left="240" w:top="247" w:right="279" w:bottom="721" w:gutter="0" w:footer="0" w:header="0"/>
        </w:sectPr>
      </w:pPr>
    </w:p>
    <w:p>
      <w:pPr>
        <w:spacing w:after="0" w:line="111" w:lineRule="exact"/>
        <w:rPr>
          <w:sz w:val="24"/>
          <w:szCs w:val="24"/>
          <w:color w:val="auto"/>
        </w:rPr>
      </w:pPr>
    </w:p>
    <w:p>
      <w:pPr>
        <w:ind w:left="40"/>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Section13(a) of the Exchange Act.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$0.001 par value, outstanding as of April 25, 2018, was approximately 61,685,000.</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1060" w:space="180"/>
            <w:col w:w="140"/>
          </w:cols>
          <w:pgMar w:left="240" w:top="247" w:right="279" w:bottom="721"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MOLINA HEALTHCARE, INC. FORM 10-Q</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March 31, 2018</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33">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33">
              <w:r>
                <w:rPr>
                  <w:rFonts w:ascii="Arial" w:cs="Arial" w:eastAsia="Arial" w:hAnsi="Arial"/>
                  <w:sz w:val="16"/>
                  <w:szCs w:val="16"/>
                  <w:color w:val="0F7C7F"/>
                </w:rPr>
                <w:t>33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47">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7">
              <w:r>
                <w:rPr>
                  <w:rFonts w:ascii="Arial" w:cs="Arial" w:eastAsia="Arial" w:hAnsi="Arial"/>
                  <w:sz w:val="16"/>
                  <w:szCs w:val="16"/>
                  <w:color w:val="0F7C7F"/>
                </w:rPr>
                <w:t>47</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534"/>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52">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2">
              <w:r>
                <w:rPr>
                  <w:rFonts w:ascii="Arial" w:cs="Arial" w:eastAsia="Arial" w:hAnsi="Arial"/>
                  <w:sz w:val="16"/>
                  <w:szCs w:val="16"/>
                  <w:color w:val="0F7C7F"/>
                </w:rPr>
                <w:t>52</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52">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2">
              <w:r>
                <w:rPr>
                  <w:rFonts w:ascii="Arial" w:cs="Arial" w:eastAsia="Arial" w:hAnsi="Arial"/>
                  <w:sz w:val="16"/>
                  <w:szCs w:val="16"/>
                  <w:color w:val="0F7C7F"/>
                </w:rPr>
                <w:t>52</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52">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2">
              <w:r>
                <w:rPr>
                  <w:rFonts w:ascii="Arial" w:cs="Arial" w:eastAsia="Arial" w:hAnsi="Arial"/>
                  <w:sz w:val="16"/>
                  <w:szCs w:val="16"/>
                  <w:color w:val="0F7C7F"/>
                </w:rPr>
                <w:t>52</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53">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53">
              <w:r>
                <w:rPr>
                  <w:rFonts w:ascii="Arial" w:cs="Arial" w:eastAsia="Arial" w:hAnsi="Arial"/>
                  <w:sz w:val="16"/>
                  <w:szCs w:val="16"/>
                  <w:color w:val="0F7C7F"/>
                </w:rPr>
                <w:t>53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79"/>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30"/>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54">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54">
              <w:r>
                <w:rPr>
                  <w:rFonts w:ascii="Arial" w:cs="Arial" w:eastAsia="Arial" w:hAnsi="Arial"/>
                  <w:sz w:val="16"/>
                  <w:szCs w:val="16"/>
                  <w:color w:val="0F7C7F"/>
                </w:rPr>
                <w:t>54</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55">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5">
              <w:r>
                <w:rPr>
                  <w:rFonts w:ascii="Arial" w:cs="Arial" w:eastAsia="Arial" w:hAnsi="Arial"/>
                  <w:sz w:val="16"/>
                  <w:szCs w:val="16"/>
                  <w:color w:val="0F7C7F"/>
                </w:rPr>
                <w:t>55</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4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760" w:type="dxa"/>
            <w:vAlign w:val="bottom"/>
            <w:tcBorders>
              <w:bottom w:val="single" w:sz="8" w:color="auto"/>
            </w:tcBorders>
            <w:gridSpan w:val="4"/>
          </w:tcPr>
          <w:p>
            <w:pPr>
              <w:jc w:val="center"/>
              <w:ind w:left="483"/>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175"/>
        </w:trPr>
        <w:tc>
          <w:tcPr>
            <w:tcW w:w="8120" w:type="dxa"/>
            <w:vAlign w:val="bottom"/>
          </w:tcPr>
          <w:p>
            <w:pPr>
              <w:spacing w:after="0"/>
              <w:rPr>
                <w:sz w:val="15"/>
                <w:szCs w:val="15"/>
                <w:color w:val="auto"/>
              </w:rPr>
            </w:pPr>
          </w:p>
        </w:tc>
        <w:tc>
          <w:tcPr>
            <w:tcW w:w="330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data)</w:t>
            </w:r>
          </w:p>
        </w:tc>
      </w:tr>
      <w:tr>
        <w:trPr>
          <w:trHeight w:val="196"/>
        </w:trPr>
        <w:tc>
          <w:tcPr>
            <w:tcW w:w="8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center"/>
              <w:ind w:right="381"/>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4,323</w:t>
            </w:r>
          </w:p>
        </w:tc>
        <w:tc>
          <w:tcPr>
            <w:tcW w:w="100" w:type="dxa"/>
            <w:vAlign w:val="bottom"/>
          </w:tcPr>
          <w:p>
            <w:pPr>
              <w:spacing w:after="0"/>
              <w:rPr>
                <w:sz w:val="22"/>
                <w:szCs w:val="22"/>
                <w:color w:val="auto"/>
              </w:rPr>
            </w:pP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4,648</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10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 reimbursed</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57"/>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4,646</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4,904</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4,111</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10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Restructuring and separation costs</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4,424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4,822</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Other expenses (income), net:</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 (income), net</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5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other expenses (income), net</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r>
      <w:tr>
        <w:trPr>
          <w:trHeight w:val="281"/>
        </w:trPr>
        <w:tc>
          <w:tcPr>
            <w:tcW w:w="8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8"/>
        </w:trPr>
        <w:tc>
          <w:tcPr>
            <w:tcW w:w="9140" w:type="dxa"/>
            <w:vAlign w:val="bottom"/>
            <w:gridSpan w:val="2"/>
          </w:tcPr>
          <w:p>
            <w:pPr>
              <w:spacing w:after="0"/>
              <w:rPr>
                <w:sz w:val="20"/>
                <w:szCs w:val="20"/>
                <w:color w:val="auto"/>
              </w:rPr>
            </w:pPr>
            <w:r>
              <w:rPr>
                <w:rFonts w:ascii="Arial" w:cs="Arial" w:eastAsia="Arial" w:hAnsi="Arial"/>
                <w:sz w:val="29"/>
                <w:szCs w:val="29"/>
                <w:b w:val="1"/>
                <w:bCs w:val="1"/>
                <w:color w:val="0F7C7F"/>
              </w:rPr>
              <w:t>CONSOLIDATED STATEMENTS OF COMPREHENSIVE INCOME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02"/>
        </w:trPr>
        <w:tc>
          <w:tcPr>
            <w:tcW w:w="8120" w:type="dxa"/>
            <w:vAlign w:val="bottom"/>
          </w:tcPr>
          <w:p>
            <w:pPr>
              <w:spacing w:after="0"/>
              <w:rPr>
                <w:sz w:val="24"/>
                <w:szCs w:val="24"/>
                <w:color w:val="auto"/>
              </w:rPr>
            </w:pPr>
          </w:p>
        </w:tc>
        <w:tc>
          <w:tcPr>
            <w:tcW w:w="2760" w:type="dxa"/>
            <w:vAlign w:val="bottom"/>
            <w:tcBorders>
              <w:bottom w:val="single" w:sz="8" w:color="auto"/>
            </w:tcBorders>
            <w:gridSpan w:val="4"/>
          </w:tcPr>
          <w:p>
            <w:pPr>
              <w:jc w:val="center"/>
              <w:ind w:left="483"/>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175"/>
        </w:trPr>
        <w:tc>
          <w:tcPr>
            <w:tcW w:w="8120" w:type="dxa"/>
            <w:vAlign w:val="bottom"/>
          </w:tcPr>
          <w:p>
            <w:pPr>
              <w:spacing w:after="0"/>
              <w:rPr>
                <w:sz w:val="15"/>
                <w:szCs w:val="15"/>
                <w:color w:val="auto"/>
              </w:rPr>
            </w:pPr>
          </w:p>
        </w:tc>
        <w:tc>
          <w:tcPr>
            <w:tcW w:w="2760" w:type="dxa"/>
            <w:vAlign w:val="bottom"/>
            <w:gridSpan w:val="4"/>
          </w:tcPr>
          <w:p>
            <w:pPr>
              <w:jc w:val="center"/>
              <w:ind w:left="483"/>
              <w:spacing w:after="0"/>
              <w:rPr>
                <w:sz w:val="20"/>
                <w:szCs w:val="20"/>
                <w:color w:val="auto"/>
              </w:rPr>
            </w:pPr>
            <w:r>
              <w:rPr>
                <w:rFonts w:ascii="Arial" w:cs="Arial" w:eastAsia="Arial" w:hAnsi="Arial"/>
                <w:sz w:val="14"/>
                <w:szCs w:val="14"/>
                <w:b w:val="1"/>
                <w:bCs w:val="1"/>
                <w:color w:val="auto"/>
              </w:rPr>
              <w:t>(Amounts in millions)</w:t>
            </w:r>
          </w:p>
        </w:tc>
        <w:tc>
          <w:tcPr>
            <w:tcW w:w="54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center"/>
              <w:ind w:right="381"/>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(loss) gain</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4"/>
        </w:trPr>
        <w:tc>
          <w:tcPr>
            <w:tcW w:w="8120" w:type="dxa"/>
            <w:vAlign w:val="bottom"/>
          </w:tcPr>
          <w:p>
            <w:pPr>
              <w:ind w:left="180"/>
              <w:spacing w:after="0"/>
              <w:rPr>
                <w:sz w:val="20"/>
                <w:szCs w:val="20"/>
                <w:color w:val="auto"/>
              </w:rPr>
            </w:pPr>
            <w:r>
              <w:rPr>
                <w:rFonts w:ascii="Arial" w:cs="Arial" w:eastAsia="Arial" w:hAnsi="Arial"/>
                <w:sz w:val="16"/>
                <w:szCs w:val="16"/>
                <w:color w:val="auto"/>
              </w:rPr>
              <w:t>Less: effect of income taxes</w:t>
            </w: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(loss) income, net of tax</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75"/>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(Amounts in millions,</w:t>
            </w:r>
          </w:p>
        </w:tc>
      </w:t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except per-share data)</w:t>
            </w:r>
          </w:p>
        </w:tc>
      </w:tr>
      <w:tr>
        <w:trPr>
          <w:trHeight w:val="276"/>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3,186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2,524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871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asset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7,511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342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8,471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834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2,192</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1,542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liability</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1,318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7,134</w:t>
            </w:r>
          </w:p>
        </w:tc>
      </w:t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shares authorized; outstanding: 62 shares at March 31, 2018 and 60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shares at December 31, 2017</w:t>
            </w: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1,044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r>
      <w:tr>
        <w:trPr>
          <w:trHeight w:val="237"/>
        </w:trPr>
        <w:tc>
          <w:tcPr>
            <w:tcW w:w="8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8,471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 OF STOCKHOLDERS’ EQUITY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Adoption of Topic 606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Adoption of ASU 2018-02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STATEMENTS OF CASH FLOWS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760" w:type="dxa"/>
            <w:vAlign w:val="bottom"/>
            <w:tcBorders>
              <w:bottom w:val="single" w:sz="8" w:color="auto"/>
            </w:tcBorders>
            <w:gridSpan w:val="4"/>
          </w:tcPr>
          <w:p>
            <w:pPr>
              <w:jc w:val="center"/>
              <w:ind w:left="48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175"/>
        </w:trPr>
        <w:tc>
          <w:tcPr>
            <w:tcW w:w="8120" w:type="dxa"/>
            <w:vAlign w:val="bottom"/>
          </w:tcPr>
          <w:p>
            <w:pPr>
              <w:spacing w:after="0"/>
              <w:rPr>
                <w:sz w:val="15"/>
                <w:szCs w:val="15"/>
                <w:color w:val="auto"/>
              </w:rPr>
            </w:pPr>
          </w:p>
        </w:tc>
        <w:tc>
          <w:tcPr>
            <w:tcW w:w="2760" w:type="dxa"/>
            <w:vAlign w:val="bottom"/>
            <w:gridSpan w:val="4"/>
          </w:tcPr>
          <w:p>
            <w:pPr>
              <w:jc w:val="center"/>
              <w:ind w:left="484"/>
              <w:spacing w:after="0"/>
              <w:rPr>
                <w:sz w:val="20"/>
                <w:szCs w:val="20"/>
                <w:color w:val="auto"/>
              </w:rPr>
            </w:pPr>
            <w:r>
              <w:rPr>
                <w:rFonts w:ascii="Arial" w:cs="Arial" w:eastAsia="Arial" w:hAnsi="Arial"/>
                <w:sz w:val="14"/>
                <w:szCs w:val="14"/>
                <w:b w:val="1"/>
                <w:bCs w:val="1"/>
                <w:color w:val="auto"/>
              </w:rPr>
              <w:t>(Amounts in millions)</w:t>
            </w:r>
          </w:p>
        </w:tc>
        <w:tc>
          <w:tcPr>
            <w:tcW w:w="54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restructuring costs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debt extinguishment</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433</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Increase in restricted investments held-to-maturity</w:t>
            </w: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Cash paid for financing transaction fees</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4"/>
        </w:trPr>
        <w:tc>
          <w:tcPr>
            <w:tcW w:w="8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81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102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381</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2,912</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3,293</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right="4640"/>
        <w:spacing w:after="0" w:line="278" w:lineRule="auto"/>
        <w:rPr>
          <w:sz w:val="20"/>
          <w:szCs w:val="20"/>
          <w:color w:val="auto"/>
        </w:rPr>
      </w:pPr>
      <w:r>
        <w:rPr>
          <w:rFonts w:ascii="Arial" w:cs="Arial" w:eastAsia="Arial" w:hAnsi="Arial"/>
          <w:sz w:val="29"/>
          <w:szCs w:val="29"/>
          <w:b w:val="1"/>
          <w:bCs w:val="1"/>
          <w:color w:val="0F7C7F"/>
        </w:rPr>
        <w:t>CONSOLIDATED STATEMENTS OF CASH FLOWS (continued)</w:t>
      </w:r>
    </w:p>
    <w:p>
      <w:pPr>
        <w:spacing w:after="0" w:line="30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r>
      <w:tr>
        <w:trPr>
          <w:trHeight w:val="175"/>
        </w:trPr>
        <w:tc>
          <w:tcPr>
            <w:tcW w:w="8120" w:type="dxa"/>
            <w:vAlign w:val="bottom"/>
          </w:tcPr>
          <w:p>
            <w:pPr>
              <w:spacing w:after="0"/>
              <w:rPr>
                <w:sz w:val="15"/>
                <w:szCs w:val="15"/>
                <w:color w:val="auto"/>
              </w:rPr>
            </w:pPr>
          </w:p>
        </w:tc>
        <w:tc>
          <w:tcPr>
            <w:tcW w:w="2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(Amounts in millions)</w:t>
            </w:r>
          </w:p>
        </w:tc>
        <w:tc>
          <w:tcPr>
            <w:tcW w:w="480" w:type="dxa"/>
            <w:vAlign w:val="bottom"/>
          </w:tcPr>
          <w:p>
            <w:pPr>
              <w:spacing w:after="0"/>
              <w:rPr>
                <w:sz w:val="15"/>
                <w:szCs w:val="15"/>
                <w:color w:val="auto"/>
              </w:rPr>
            </w:pPr>
          </w:p>
        </w:tc>
      </w:tr>
      <w:tr>
        <w:trPr>
          <w:trHeight w:val="190"/>
        </w:trPr>
        <w:tc>
          <w:tcPr>
            <w:tcW w:w="8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6"/>
                <w:szCs w:val="16"/>
                <w:color w:val="auto"/>
              </w:rPr>
            </w:pPr>
          </w:p>
        </w:tc>
      </w:tr>
      <w:tr>
        <w:trPr>
          <w:trHeight w:val="272"/>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334"/>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60"/>
        </w:trPr>
        <w:tc>
          <w:tcPr>
            <w:tcW w:w="8120" w:type="dxa"/>
            <w:vAlign w:val="bottom"/>
          </w:tcPr>
          <w:p>
            <w:pPr>
              <w:ind w:left="320"/>
              <w:spacing w:after="0"/>
              <w:rPr>
                <w:sz w:val="20"/>
                <w:szCs w:val="20"/>
                <w:color w:val="auto"/>
              </w:rPr>
            </w:pPr>
            <w:r>
              <w:rPr>
                <w:rFonts w:ascii="Arial" w:cs="Arial" w:eastAsia="Arial" w:hAnsi="Arial"/>
                <w:sz w:val="16"/>
                <w:szCs w:val="16"/>
                <w:color w:val="auto"/>
              </w:rPr>
              <w:t>Gain (loss) on 1.125% Call Option</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112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gain on 1.125% Conversion Option</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80"/>
        </w:trPr>
        <w:tc>
          <w:tcPr>
            <w:tcW w:w="8120" w:type="dxa"/>
            <w:vAlign w:val="bottom"/>
          </w:tcPr>
          <w:p>
            <w:pPr>
              <w:ind w:left="600"/>
              <w:spacing w:after="0"/>
              <w:rPr>
                <w:sz w:val="20"/>
                <w:szCs w:val="20"/>
                <w:color w:val="auto"/>
              </w:rPr>
            </w:pPr>
            <w:r>
              <w:rPr>
                <w:rFonts w:ascii="Arial" w:cs="Arial" w:eastAsia="Arial" w:hAnsi="Arial"/>
                <w:sz w:val="16"/>
                <w:szCs w:val="16"/>
                <w:color w:val="auto"/>
              </w:rPr>
              <w:t>Change in fair value of derivatives, net</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08"/>
        </w:trPr>
        <w:tc>
          <w:tcPr>
            <w:tcW w:w="812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issued in exchange for 1.625% Convertible Notes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Component of 1.625% Convertible Notes allocated to additional paid-in capital, net of income taxes</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increase to additional paid-in capital</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7</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NOTES TO CONSOLIDATED FINANCIAL STATEMENTS (UNAUDITED)</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828282"/>
        </w:rPr>
        <w:t>March 31, 2018</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March 31, 2018, these health plans served approximately 4.1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health plans’ state Medicaid contracts generally have terms of three to four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Molina Medicaid Solutions segment provides support to state government agencies’ administration of their Medicaid programs, including business processing, information technology development and administrative services. The Other segment includes primarily our Pathways behavioral health and social services provider, and corporate amounts not allocated to other reportable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and Reclassification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reclassified certain amounts in the 2017 consolidated statement of cash flows to conform to the 2018 presentation, relating to the presentation of restricted cash and cash equivalents. The reclassification is a result of our adoption of Accounting Standards Update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effective January 1, 2018. See Note 2, “Significant Accounting Policies,” for further information, including the amount reclassified.</w:t>
      </w:r>
    </w:p>
    <w:p>
      <w:pPr>
        <w:spacing w:after="0" w:line="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have combined certain line items in the accompanying consolidated balance sheets. For all periods presented, we have combined the presentation of:</w:t>
      </w:r>
    </w:p>
    <w:p>
      <w:pPr>
        <w:spacing w:after="0" w:line="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refundable with “Prepaid expenses and other current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payable with “Accounts payable and accrued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and intangible assets, net to a single line;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contract costs with “Other assets.”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its subsidiaries, and variable interest entities (VIEs) in which Molina Healthcare, Inc. is considered to be the primary beneficiary. Such VIEs are insignificant to our consolidated financial position and results of operations.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three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March 31, 2018 are not necessarily indicative of the results for the entire year ending December 31, 2018.</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2017. Accordingly, certain disclosures that would substantially duplicate the disclosures contained in our December 31, 2017 audited consolidated financial statements have been omitted. These unaudited consolidated interim financial statements should be read in conjunction with our December 31, 2017 audited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color w:val="828282"/>
        </w:rPr>
        <w:t>2.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3060" w:type="dxa"/>
            <w:vAlign w:val="bottom"/>
            <w:tcBorders>
              <w:bottom w:val="single" w:sz="8" w:color="auto"/>
            </w:tcBorders>
            <w:gridSpan w:val="5"/>
          </w:tcPr>
          <w:p>
            <w:pPr>
              <w:jc w:val="right"/>
              <w:ind w:right="38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8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statements of cash</w:t>
            </w:r>
          </w:p>
        </w:tc>
        <w:tc>
          <w:tcPr>
            <w:tcW w:w="920" w:type="dxa"/>
            <w:vAlign w:val="bottom"/>
            <w:vMerge w:val="restart"/>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198"/>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flows</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effective January 1, 2018, using the modified retrospective approach. The insurance contracts of our Health Plans segment, which segment constitutes the vast majority of our operations, are excluded from the scope of Topic 606 because the recognition of revenue under these contracts is dictated by other accounting standards governing insurance contracts. The cumulative effect of initially applying the guidance, relating entirely to our Molina Medicaid Solutions segment contracts, resulted in an immaterial impact to beginning retained earnings, as presented in the accompanying consolidated statement of stockholders’ equity. Topic 606 was only applied to service contracts that were not completed as of December 31, 2017. Refer to “Molina Medicaid Solutions segment” and “Other segment” below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Plans segment</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 care services, and premiums collected in advance are deferred. Certain components of premium revenue are subject to accounting estimates and fall into two broad categories discussed in further detail below: 1) “Contractual Provisions That May Adjust or Limit Revenue or Profit;” and 2) “Quality Incentives.” Liabilities recorded for such provisions are included in “Amounts due government agencies” in the accompanying consolidated balance sheets.</w:t>
      </w:r>
    </w:p>
    <w:p>
      <w:pPr>
        <w:spacing w:after="0" w:line="206" w:lineRule="exact"/>
        <w:rPr>
          <w:sz w:val="20"/>
          <w:szCs w:val="20"/>
          <w:color w:val="auto"/>
        </w:rPr>
      </w:pPr>
    </w:p>
    <w:p>
      <w:pPr>
        <w:ind w:left="340" w:right="5800" w:hanging="332"/>
        <w:spacing w:after="0" w:line="49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Contractual Provisions That May Adjust or Limit Revenue or Profit: </w:t>
      </w:r>
      <w:r>
        <w:rPr>
          <w:rFonts w:ascii="Arial" w:cs="Arial" w:eastAsia="Arial" w:hAnsi="Arial"/>
          <w:sz w:val="18"/>
          <w:szCs w:val="18"/>
          <w:u w:val="single" w:color="auto"/>
          <w:color w:val="auto"/>
        </w:rPr>
        <w:t>Medicaid</w:t>
      </w:r>
    </w:p>
    <w:p>
      <w:pPr>
        <w:spacing w:after="0" w:line="1" w:lineRule="exact"/>
        <w:rPr>
          <w:rFonts w:ascii="Arial" w:cs="Arial" w:eastAsia="Arial" w:hAnsi="Arial"/>
          <w:sz w:val="18"/>
          <w:szCs w:val="18"/>
          <w:color w:val="auto"/>
        </w:rPr>
      </w:pPr>
    </w:p>
    <w:p>
      <w:pPr>
        <w:ind w:left="980" w:right="40" w:hanging="648"/>
        <w:spacing w:after="0" w:line="261" w:lineRule="auto"/>
        <w:tabs>
          <w:tab w:leader="none" w:pos="656"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not spent on defined medical care costs. In the aggregate, we recorded a liability under the terms of such contract provisions of $148 million and $135 million at March 31, 2018 and December 31, 2017, respectively. Approximately $97 million and $96 million of the liability</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at March 31, 2018 and December 31, 2017, respectively, relates to our participation in Medicaid Expansion programs.</w:t>
      </w:r>
    </w:p>
    <w:p>
      <w:pPr>
        <w:spacing w:after="0" w:line="221" w:lineRule="exact"/>
        <w:rPr>
          <w:sz w:val="20"/>
          <w:szCs w:val="20"/>
          <w:color w:val="auto"/>
        </w:rPr>
      </w:pPr>
    </w:p>
    <w:p>
      <w:pPr>
        <w:ind w:left="660" w:right="180" w:hanging="328"/>
        <w:spacing w:after="0" w:line="266"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adjust our premium revenue in the period in which we learn of the adjustment, rather than in the months of service to which the retroactive adjustment applies.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Medicare</w:t>
      </w:r>
    </w:p>
    <w:p>
      <w:pPr>
        <w:spacing w:after="0" w:line="207" w:lineRule="exact"/>
        <w:rPr>
          <w:sz w:val="20"/>
          <w:szCs w:val="20"/>
          <w:color w:val="auto"/>
        </w:rPr>
      </w:pPr>
    </w:p>
    <w:p>
      <w:pPr>
        <w:ind w:left="660" w:right="40" w:hanging="328"/>
        <w:spacing w:after="0" w:line="281"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Minimum MLR: </w:t>
      </w:r>
      <w:r>
        <w:rPr>
          <w:rFonts w:ascii="Arial" w:cs="Arial" w:eastAsia="Arial" w:hAnsi="Arial"/>
          <w:sz w:val="17"/>
          <w:szCs w:val="17"/>
          <w:color w:val="auto"/>
        </w:rPr>
        <w:t>Federal regulations have established a minimum annual medical loss ratio (Minimum MLR) of 85% for Medicare. The</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Marketplace</w:t>
      </w:r>
    </w:p>
    <w:p>
      <w:pPr>
        <w:spacing w:after="0" w:line="207" w:lineRule="exact"/>
        <w:rPr>
          <w:sz w:val="20"/>
          <w:szCs w:val="20"/>
          <w:color w:val="auto"/>
        </w:rPr>
      </w:pPr>
    </w:p>
    <w:p>
      <w:pPr>
        <w:ind w:left="1220" w:right="80" w:hanging="888"/>
        <w:spacing w:after="0" w:line="255" w:lineRule="auto"/>
        <w:tabs>
          <w:tab w:leader="none" w:pos="653"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transfer payment into the pool if their composite risk scores are below the average risk score, and will receive a risk transfer payment from the pool if their composite risk scores are above the average risk score. We estimate our ultimate premium based on insurance policy year-to-date experience, and recognize estimated premiums relating to the risk adjustment program as an adjustment to premium revenue in our consolidated statements of income. As of March 31, 2018, and December 31, 2017 the Marketplace risk adjustment payable amounted to $1,129 million and $912 million, respectively.</w:t>
      </w:r>
    </w:p>
    <w:p>
      <w:pPr>
        <w:spacing w:after="0" w:line="189" w:lineRule="exact"/>
        <w:rPr>
          <w:rFonts w:ascii="Arial" w:cs="Arial" w:eastAsia="Arial" w:hAnsi="Arial"/>
          <w:sz w:val="18"/>
          <w:szCs w:val="18"/>
          <w:i w:val="1"/>
          <w:iCs w:val="1"/>
          <w:color w:val="auto"/>
        </w:rPr>
      </w:pPr>
    </w:p>
    <w:p>
      <w:pPr>
        <w:ind w:left="1220" w:right="160" w:hanging="888"/>
        <w:spacing w:after="0" w:line="261" w:lineRule="auto"/>
        <w:tabs>
          <w:tab w:leader="none" w:pos="653"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198"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Incentives:</w:t>
      </w:r>
    </w:p>
    <w:p>
      <w:pPr>
        <w:spacing w:after="0" w:line="225" w:lineRule="exact"/>
        <w:rPr>
          <w:rFonts w:ascii="Arial" w:cs="Arial" w:eastAsia="Arial" w:hAnsi="Arial"/>
          <w:sz w:val="18"/>
          <w:szCs w:val="18"/>
          <w:color w:val="auto"/>
        </w:rPr>
      </w:pPr>
    </w:p>
    <w:p>
      <w:pPr>
        <w:ind w:left="340" w:right="640"/>
        <w:spacing w:after="0" w:line="262" w:lineRule="auto"/>
        <w:rPr>
          <w:rFonts w:ascii="Arial" w:cs="Arial" w:eastAsia="Arial" w:hAnsi="Arial"/>
          <w:sz w:val="18"/>
          <w:szCs w:val="18"/>
          <w:color w:val="auto"/>
        </w:rPr>
      </w:pPr>
      <w:r>
        <w:rPr>
          <w:rFonts w:ascii="Arial" w:cs="Arial" w:eastAsia="Arial" w:hAnsi="Arial"/>
          <w:sz w:val="18"/>
          <w:szCs w:val="18"/>
          <w:color w:val="auto"/>
        </w:rPr>
        <w:t>At many of our health plans, revenue ranging from approximately 1% to 3% of certain health plan premiums is earned only if certain performance measures are met.</w:t>
      </w:r>
    </w:p>
    <w:p>
      <w:pPr>
        <w:spacing w:after="0" w:line="196"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March 31, 2018 are not known, we have no reason to believe that the adjustments to prior years noted below are not indicative of the potential future changes in our estimates as of March 31,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0"/>
              <w:spacing w:after="0"/>
              <w:rPr>
                <w:sz w:val="20"/>
                <w:szCs w:val="20"/>
                <w:color w:val="auto"/>
              </w:rPr>
            </w:pPr>
            <w:r>
              <w:rPr>
                <w:rFonts w:ascii="Arial" w:cs="Arial" w:eastAsia="Arial" w:hAnsi="Arial"/>
                <w:sz w:val="16"/>
                <w:szCs w:val="16"/>
                <w:color w:val="auto"/>
              </w:rPr>
              <w:t>Quality incentive premium revenue recognized in current period:</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2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current period</w:t>
            </w: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Earned prior periods</w:t>
            </w:r>
          </w:p>
        </w:tc>
        <w:tc>
          <w:tcPr>
            <w:tcW w:w="10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8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 percentage of total premium revenue</w:t>
            </w: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Molina Medicaid Solutions segment</w:t>
      </w:r>
    </w:p>
    <w:p>
      <w:pPr>
        <w:spacing w:after="0" w:line="13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Molina Medicaid Solutions is under contract with Medicaid agencies in six states and the U.S. Virgin Islands. Our existing contracts have terms that currently extend to 2018 through 2025, before renewal options. As of March 31, 2018, the aggregate amount of service revenue relating to unsatisfied performance obligations amounted to $571 million.</w:t>
      </w:r>
    </w:p>
    <w:p>
      <w:pPr>
        <w:spacing w:after="0" w:line="9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Business process outsourcing services are billed immediately following the end of the month in which such services are performed, with payment received soon thereafter. Payments for the design, development and implementation (DDI) of Medicaid management information systems milestones are received following our performance, and the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customer’s acceptance, of the milestone deliverable. However, DDI revenue is deferred until the system ‘go-live’ date, and is amortized over the initial contract hosting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Pathways behavioral health subsidiary’s revenue is variable, and generally invoiced after services are rendered; customer payment follows invoicing. We have concluded that there is no change to revenue recognition under Topic 606 for our Pathways behavioral health subsidiary, and therefore no impact to retained earnings effective January 1, 2018.</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presents the opening and closing balances of receivables, deferred contract costs (contract assets), and deferred revenue (contract liabilities) from contracts with customers, by segment.</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140" w:type="dxa"/>
            <w:vAlign w:val="bottom"/>
          </w:tcPr>
          <w:p>
            <w:pPr>
              <w:jc w:val="center"/>
              <w:ind w:left="305"/>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80" w:type="dxa"/>
            <w:vAlign w:val="bottom"/>
          </w:tcPr>
          <w:p>
            <w:pPr>
              <w:spacing w:after="0"/>
              <w:rPr>
                <w:sz w:val="17"/>
                <w:szCs w:val="17"/>
                <w:color w:val="auto"/>
              </w:rPr>
            </w:pPr>
          </w:p>
        </w:tc>
        <w:tc>
          <w:tcPr>
            <w:tcW w:w="11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gridSpan w:val="2"/>
          </w:tcPr>
          <w:p>
            <w:pPr>
              <w:jc w:val="right"/>
              <w:ind w:right="63"/>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r>
      <w:tr>
        <w:trPr>
          <w:trHeight w:val="27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080" w:type="dxa"/>
            <w:vAlign w:val="bottom"/>
          </w:tcPr>
          <w:p>
            <w:pPr>
              <w:ind w:left="280"/>
              <w:spacing w:after="0"/>
              <w:rPr>
                <w:sz w:val="20"/>
                <w:szCs w:val="20"/>
                <w:color w:val="auto"/>
              </w:rPr>
            </w:pPr>
            <w:r>
              <w:rPr>
                <w:rFonts w:ascii="Arial" w:cs="Arial" w:eastAsia="Arial" w:hAnsi="Arial"/>
                <w:sz w:val="16"/>
                <w:szCs w:val="16"/>
                <w:color w:val="auto"/>
              </w:rPr>
              <w:t>Molina Medicaid Solutions</w:t>
            </w:r>
          </w:p>
        </w:tc>
        <w:tc>
          <w:tcPr>
            <w:tcW w:w="1140" w:type="dxa"/>
            <w:vAlign w:val="bottom"/>
          </w:tcPr>
          <w:p>
            <w:pPr>
              <w:jc w:val="right"/>
              <w:ind w:right="96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58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30</w:t>
            </w:r>
          </w:p>
        </w:tc>
      </w:tr>
      <w:tr>
        <w:trPr>
          <w:trHeight w:val="280"/>
        </w:trPr>
        <w:tc>
          <w:tcPr>
            <w:tcW w:w="8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r>
      <w:tr>
        <w:trPr>
          <w:trHeight w:val="260"/>
        </w:trPr>
        <w:tc>
          <w:tcPr>
            <w:tcW w:w="8080" w:type="dxa"/>
            <w:vAlign w:val="bottom"/>
          </w:tcPr>
          <w:p>
            <w:pPr>
              <w:ind w:left="20"/>
              <w:spacing w:after="0"/>
              <w:rPr>
                <w:sz w:val="20"/>
                <w:szCs w:val="20"/>
                <w:color w:val="auto"/>
              </w:rPr>
            </w:pPr>
            <w:r>
              <w:rPr>
                <w:rFonts w:ascii="Arial" w:cs="Arial" w:eastAsia="Arial" w:hAnsi="Arial"/>
                <w:sz w:val="16"/>
                <w:szCs w:val="16"/>
                <w:color w:val="auto"/>
              </w:rPr>
              <w:t>Deferred contract costs (contract assets) – Molina Medicaid Solutions</w:t>
            </w:r>
          </w:p>
        </w:tc>
        <w:tc>
          <w:tcPr>
            <w:tcW w:w="1140" w:type="dxa"/>
            <w:vAlign w:val="bottom"/>
          </w:tcPr>
          <w:p>
            <w:pPr>
              <w:spacing w:after="0"/>
              <w:rPr>
                <w:sz w:val="22"/>
                <w:szCs w:val="22"/>
                <w:color w:val="auto"/>
              </w:rPr>
            </w:pP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58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101</w:t>
            </w:r>
          </w:p>
        </w:tc>
      </w:tr>
      <w:tr>
        <w:trPr>
          <w:trHeight w:val="28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(contract liabilities) – Molina Medicaid Solutions</w:t>
            </w: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 - Marketplace Cost Share Reduction (CSR) Update</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first quarter of 2018, we recognized a benefit of approximately $70 million in reduced medical expense related to 2017 dates of service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nondeductible expenses such as the Health Insurer Fee (HIF), certain compensation, and other general and administrative expenses. The effective tax rate was not impacted by HIF in 2017 given the 2017 HIF moratorium.</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 may be subject to fluctuations during the year, particularly as a result of the level of pretax earnings, and also as new information is obtained. Such information may affect the assumptions used to estimate the annual effective tax rate, including factors such as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Tax Cuts and Jobs Act (TCJA) was enacted on December 22, 2017. The TCJA, in part, reduced the U.S. federal statutory corporate income tax rate from 35% to 21% effective January 1, 2018. Accounting guidance allows filers one year subsequent to the end of the tax year to finalize the valuation of deferred tax assets and liabilities. At March 31, 2018, we had not completed our accounting for the tax effects resulting from enactment of TCJA with respect to valuation of our deferred tax assets and liabilities. We will continue to make and refine our calculations as additional analysis is completed. In addition, our estimates may also be affected as we gain a more thorough understanding of the tax law based on expected future guidance from the Internal Revenue Service and U.S. Treasury.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(Topic 606). </w:t>
      </w:r>
      <w:r>
        <w:rPr>
          <w:rFonts w:ascii="Arial" w:cs="Arial" w:eastAsia="Arial" w:hAnsi="Arial"/>
          <w:sz w:val="18"/>
          <w:szCs w:val="18"/>
          <w:color w:val="auto"/>
        </w:rPr>
        <w:t>See discussion above, in “Revenue Recognition.”</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In February 2018, the Financial Accounting Standards Board (FASB) issued ASU 2018-02,</w:t>
      </w:r>
      <w:r>
        <w:rPr>
          <w:rFonts w:ascii="Arial" w:cs="Arial" w:eastAsia="Arial" w:hAnsi="Arial"/>
          <w:sz w:val="18"/>
          <w:szCs w:val="18"/>
          <w:i w:val="1"/>
          <w:iCs w:val="1"/>
          <w:color w:val="auto"/>
        </w:rPr>
        <w:t xml:space="preserve"> Reclassification of Certain Tax Effects from Accumulated Other Comprehensive Income</w:t>
      </w:r>
      <w:r>
        <w:rPr>
          <w:rFonts w:ascii="Arial" w:cs="Arial" w:eastAsia="Arial" w:hAnsi="Arial"/>
          <w:sz w:val="18"/>
          <w:szCs w:val="18"/>
          <w:color w:val="auto"/>
        </w:rPr>
        <w:t>, which allows a reclassification from accumulated other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for stranded tax effects resulting from the TCJA. ASU 2018-02 is effective beginning January 1, 2019; we early adopted this ASU effective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January 1, 2018. The effect of applying the guidance resulted in an immaterial impact to beginning retained earnings, as presented in the accompanying consolidated statement of stockholders’ equity.</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 November 2016, the FASB issued ASU 2016-18,</w:t>
      </w:r>
      <w:r>
        <w:rPr>
          <w:rFonts w:ascii="Arial" w:cs="Arial" w:eastAsia="Arial" w:hAnsi="Arial"/>
          <w:sz w:val="18"/>
          <w:szCs w:val="18"/>
          <w:i w:val="1"/>
          <w:iCs w:val="1"/>
          <w:color w:val="auto"/>
        </w:rPr>
        <w:t xml:space="preserve"> Restricted Cash, </w:t>
      </w:r>
      <w:r>
        <w:rPr>
          <w:rFonts w:ascii="Arial" w:cs="Arial" w:eastAsia="Arial" w:hAnsi="Arial"/>
          <w:sz w:val="18"/>
          <w:szCs w:val="18"/>
          <w:color w:val="auto"/>
        </w:rPr>
        <w:t>which requires us to include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the balances of cash, cash equivalents, restricted cash and restricted cash equivalents. When these items are presented in more than one line item on the balance sheet, the new guidance requires a reconciliation of the totals in the statement of cash flows to the related captions in the balance sheet. Transfers between cash and cash equivalents and restricted cash and restricted cash equivalents are no longer presented in the statement of cash flows. We adopted ASU 2016-18 on January 1, 2018. We have applied the guidance retrospectively to all periods presented. Such retrospective adoption resulted in a $95 million reclassification of restricted cash and cash equivalents from “Investing activities” to the beginning and ending balances of cash and cash equivalents in our consolidated statements of cash flows for the quarter ended March 31, 2017. There was no impact to our consolidated statements of income, balance sheets, or stockholders’ equity. The reconciliation of cash and cash equivalents to cash, cash equivalents and restricted cash and cash equivalents is presented at the beginning of this note.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Rather than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credit losses when it is probable that the loss has been incurred, the revised guidance requires companies to recognize an allowance for credit losses for the difference between the amortized cost basis of a financial instrument and the amount of amortized cost that the company expects to collect over the instrument’s contractual life. ASU 2016-13 is effective for us beginning January 1, 2020, and must be adopted as a cumulative effect adjustment to retained earnings; early adoption is permitted. We are evaluating the effect of this guidance.</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as modified by ASU 2017-03,</w:t>
      </w:r>
      <w:r>
        <w:rPr>
          <w:rFonts w:ascii="Arial" w:cs="Arial" w:eastAsia="Arial" w:hAnsi="Arial"/>
          <w:sz w:val="18"/>
          <w:szCs w:val="18"/>
          <w:i w:val="1"/>
          <w:iCs w:val="1"/>
          <w:color w:val="auto"/>
        </w:rPr>
        <w:t xml:space="preserve"> Transition and Open Effective Date Information</w:t>
      </w:r>
      <w:r>
        <w:rPr>
          <w:rFonts w:ascii="Arial" w:cs="Arial" w:eastAsia="Arial" w:hAnsi="Arial"/>
          <w:sz w:val="18"/>
          <w:szCs w:val="18"/>
          <w:color w:val="auto"/>
        </w:rPr>
        <w:t>. Under ASU 2016-02, an entity will be required to recognize assets and liabilities for the rights and obligations created by</w:t>
      </w:r>
      <w:r>
        <w:rPr>
          <w:rFonts w:ascii="Arial" w:cs="Arial" w:eastAsia="Arial" w:hAnsi="Arial"/>
          <w:sz w:val="18"/>
          <w:szCs w:val="18"/>
          <w:i w:val="1"/>
          <w:iCs w:val="1"/>
          <w:color w:val="auto"/>
        </w:rPr>
        <w:t xml:space="preserve"> </w:t>
      </w:r>
      <w:r>
        <w:rPr>
          <w:rFonts w:ascii="Arial" w:cs="Arial" w:eastAsia="Arial" w:hAnsi="Arial"/>
          <w:sz w:val="18"/>
          <w:szCs w:val="18"/>
          <w:color w:val="auto"/>
        </w:rPr>
        <w:t>leases on the entity’s balance sheet for both financing and operating leases. For leases with a term of 12 months or less, an entity may elect to not recognize lease assets and lease liabilities and expense the lease over a straight-line basis for the term of the lease. ASU 2016-02 will require new disclosures that depict the amount, timing, and uncertainty of cash flows pertaining to an entity’s leases. ASU 2016-02 is effective for us beginning January 1, 2019, and must be adopted using a modified retrospective approach for annual and interim periods beginning after December 15, 2018. Early adoption is permitted. Under this guidance, we will record assets and liabilities relating primarily to our long-term office leases. We are currently updating the configuration of our lease database management system for the adoption of Topic 842, and we are in the early stages of computing the impact of Topic 842 on our consolidated financial statements.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12</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139"/>
              <w:spacing w:after="0"/>
              <w:rPr>
                <w:sz w:val="20"/>
                <w:szCs w:val="20"/>
                <w:color w:val="auto"/>
              </w:rPr>
            </w:pPr>
            <w:r>
              <w:rPr>
                <w:rFonts w:ascii="Arial" w:cs="Arial" w:eastAsia="Arial" w:hAnsi="Arial"/>
                <w:sz w:val="14"/>
                <w:szCs w:val="14"/>
                <w:b w:val="1"/>
                <w:bCs w:val="1"/>
                <w:color w:val="auto"/>
              </w:rPr>
              <w:t>(In millions, except net income per share)</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1.625% Exchange </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for basic net income per share</w:t>
            </w: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diluted 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per share: </w:t>
            </w:r>
            <w:r>
              <w:rPr>
                <w:rFonts w:ascii="Arial" w:cs="Arial" w:eastAsia="Arial" w:hAnsi="Arial"/>
                <w:sz w:val="21"/>
                <w:szCs w:val="21"/>
                <w:color w:val="auto"/>
                <w:vertAlign w:val="superscript"/>
              </w:rPr>
              <w:t>(2)</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more information regarding the 1.625% Exchange and the convertible senior notes, refer to Note 7, “Debt.” For more information regarding the 1.125% Warrants, refer to Note 9, “Stockholders' Equity.” The dilutive effect of all potentially dilutive common shares is calculated using the treasury stock method.</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consider the carrying amounts of cash, cash equivalents and other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2017 Annual Report on Form 10-K.</w:t>
      </w:r>
    </w:p>
    <w:p>
      <w:pPr>
        <w:spacing w:after="0" w:line="1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These derivatives are not actively traded and are valued based on an option pricing model that uses observable and unobservable market data for inputs. Significant market data inputs used to determine fair value as of March 31, 2018, included the price of our common stock, the time to maturity of the derivative instruments, the risk-free interest rate, and the implied volatility of our common stock. As described further in Note 8, “Derivatives,” the 1.125% Call Option derivative asset and the 1.125% Conversion Option derivative liability were designed such that changes in their fair values would offset, with minimal impact to the consolidated statements of income. Therefore, the sensitivity of changes in the unobservable inputs to the option pricing model for such derivative instruments is mitigated.</w:t>
      </w:r>
    </w:p>
    <w:p>
      <w:pPr>
        <w:spacing w:after="0" w:line="9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three months ended March 31, 2018.</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2018,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Certificate of deposit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Subtotal - current investments</w:t>
            </w:r>
          </w:p>
        </w:tc>
        <w:tc>
          <w:tcPr>
            <w:tcW w:w="9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9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Pr>
          <w:p>
            <w:pPr>
              <w:ind w:left="40"/>
              <w:spacing w:after="0"/>
              <w:rPr>
                <w:sz w:val="20"/>
                <w:szCs w:val="20"/>
                <w:color w:val="auto"/>
              </w:rPr>
            </w:pPr>
            <w:r>
              <w:rPr>
                <w:rFonts w:ascii="Arial" w:cs="Arial" w:eastAsia="Arial" w:hAnsi="Arial"/>
                <w:sz w:val="16"/>
                <w:szCs w:val="16"/>
                <w:color w:val="auto"/>
              </w:rPr>
              <w:t>1.125% Call Option derivative asset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585</w:t>
            </w:r>
          </w:p>
        </w:tc>
      </w:tr>
      <w:tr>
        <w:trPr>
          <w:trHeight w:val="240"/>
        </w:trPr>
        <w:tc>
          <w:tcPr>
            <w:tcW w:w="5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1"/>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r>
      <w:tr>
        <w:trPr>
          <w:trHeight w:val="240"/>
        </w:trPr>
        <w:tc>
          <w:tcPr>
            <w:tcW w:w="50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585</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8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2,524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3,215</w:t>
            </w:r>
          </w:p>
        </w:tc>
        <w:tc>
          <w:tcPr>
            <w:tcW w:w="10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84"/>
        </w:trPr>
        <w:tc>
          <w:tcPr>
            <w:tcW w:w="5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37"/>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carrying amounts and estimated fair values of our senior notes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amount due under our Credit Facility is classified as a Level 3 financial instrument, because certain inputs used to determine its fair value are not observable. The carrying amount of the amount due under the Credit Facility approximates its fair value because the Credit Facility’s interest rate is a variable rate that approximates rates currently available to us.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4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 2018</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2017</w:t>
            </w:r>
          </w:p>
        </w:tc>
      </w:tr>
      <w:tr>
        <w:trPr>
          <w:trHeight w:val="175"/>
        </w:trPr>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620" w:type="dxa"/>
            <w:vAlign w:val="bottom"/>
            <w:tcBorders>
              <w:top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730</w:t>
            </w: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96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1,052</w:t>
            </w:r>
          </w:p>
        </w:tc>
      </w:tr>
      <w:tr>
        <w:trPr>
          <w:trHeight w:val="28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4.875%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Credit Facility</w:t>
            </w:r>
          </w:p>
        </w:tc>
        <w:tc>
          <w:tcPr>
            <w:tcW w:w="96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273"/>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1.625%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6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1,884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2,502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2,631</w:t>
            </w:r>
          </w:p>
        </w:tc>
      </w:tr>
      <w:tr>
        <w:trPr>
          <w:trHeight w:val="20"/>
        </w:trPr>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consider all of our investments classified as current assets (including restricted investments) to be available-for-sale. Certain of our senior notes, as further discussed in Note 7, “Debt,” contain a limitation on the use of proceeds which required us to deposit the net proceeds from their issuance into a segregated deposit account, a current asset reported as “Restricted investments” in the accompanying consolidated balance sheets. Such proceeds, while restricted as to their use and held in a segregated deposit account, are available-for-sale based upon our contractual liquidity requirements.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investments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tcPr>
          <w:p>
            <w:pPr>
              <w:ind w:left="1000"/>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ind w:left="7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329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227</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4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2,444</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r>
      <w:tr>
        <w:trPr>
          <w:trHeight w:val="25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r>
      <w:tr>
        <w:trPr>
          <w:trHeight w:val="237"/>
        </w:trPr>
        <w:tc>
          <w:tcPr>
            <w:tcW w:w="516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2,536</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2,521</w:t>
            </w: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37</w:t>
            </w:r>
          </w:p>
        </w:tc>
      </w:tr>
      <w:tr>
        <w:trPr>
          <w:trHeight w:val="25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2,531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2,524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101</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169</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2,693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March 31, 2018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22"/>
                <w:szCs w:val="22"/>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2,521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three months ended March 31, 2018 and 2017 were insignificant.</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determined that unrealized losses at March 31, 2018 and December 31, 2017,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March 31,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64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783"/>
              <w:spacing w:after="0"/>
              <w:rPr>
                <w:sz w:val="20"/>
                <w:szCs w:val="20"/>
                <w:color w:val="auto"/>
              </w:rPr>
            </w:pPr>
            <w:r>
              <w:rPr>
                <w:rFonts w:ascii="Arial" w:cs="Arial" w:eastAsia="Arial" w:hAnsi="Arial"/>
                <w:sz w:val="14"/>
                <w:szCs w:val="14"/>
                <w:b w:val="1"/>
                <w:bCs w:val="1"/>
                <w:color w:val="auto"/>
              </w:rPr>
              <w:t>for Less than 12 Months</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Positions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46</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2,001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164</w:t>
            </w: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76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Less than 12 Months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rPr>
              <w:t>for 12 Months or More</w:t>
            </w:r>
          </w:p>
        </w:tc>
        <w:tc>
          <w:tcPr>
            <w:tcW w:w="110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9"/>
              </w:rPr>
              <w:t>Losses</w:t>
            </w: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w:t>
            </w:r>
          </w:p>
        </w:tc>
      </w:tr>
      <w:tr>
        <w:trPr>
          <w:trHeight w:val="237"/>
        </w:trPr>
        <w:tc>
          <w:tcPr>
            <w:tcW w:w="33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contractual maturities of our held-to-maturity restricted investments, which are carried at amortized cost, which approximates fair value, as of March 31, 2018, are summarized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340" w:type="dxa"/>
            <w:vAlign w:val="bottom"/>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112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7"/>
              </w:rPr>
              <w:t>117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 through five years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120</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provides the details of our medical claims and benefits payable (including amounts payable for the provision of long-term services and supports, or LTSS) as of the dates indicated: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Fee-for-service claims incurred but not paid (IBNP)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Pharmacy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Capitation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04"/>
        </w:trPr>
        <w:tc>
          <w:tcPr>
            <w:tcW w:w="260" w:type="dxa"/>
            <w:vAlign w:val="bottom"/>
          </w:tcPr>
          <w:p>
            <w:pPr>
              <w:spacing w:after="0"/>
              <w:rPr>
                <w:sz w:val="17"/>
                <w:szCs w:val="17"/>
                <w:color w:val="auto"/>
              </w:rPr>
            </w:pPr>
          </w:p>
        </w:tc>
        <w:tc>
          <w:tcPr>
            <w:tcW w:w="282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millions)</w:t>
            </w:r>
          </w:p>
        </w:tc>
      </w:tr>
      <w:tr>
        <w:trPr>
          <w:trHeight w:val="263"/>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1,717</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67</w:t>
            </w:r>
          </w:p>
        </w:tc>
      </w:tr>
      <w:tr>
        <w:trPr>
          <w:trHeight w:val="283"/>
        </w:trPr>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296</w:t>
            </w:r>
          </w:p>
        </w:tc>
      </w:tr>
      <w:tr>
        <w:trPr>
          <w:trHeight w:val="237"/>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2,192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ind w:right="320"/>
        <w:spacing w:after="0" w:line="256"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$146 million and $122 million as of March 31, 2018 and December 31, 2017, respectively.</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17</w:t>
      </w:r>
    </w:p>
    <w:p>
      <w:pPr>
        <w:sectPr>
          <w:pgSz w:w="11900" w:h="16838" w:orient="portrait"/>
          <w:cols w:equalWidth="0" w:num="1">
            <w:col w:w="11420"/>
          </w:cols>
          <w:pgMar w:left="240" w:top="14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period were more than the actual amount of the liability based on information (principally the payment of claims) developed since that liability was first reported.</w:t>
      </w:r>
    </w:p>
    <w:p>
      <w:pPr>
        <w:spacing w:after="0" w:line="292"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26035</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8660"/>
        <w:spacing w:after="0"/>
        <w:tabs>
          <w:tab w:leader="none" w:pos="104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26035</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4,253</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Prior periods</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122"/>
        </w:trPr>
        <w:tc>
          <w:tcPr>
            <w:tcW w:w="7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6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22"/>
        </w:trPr>
        <w:tc>
          <w:tcPr>
            <w:tcW w:w="7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60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6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3,936</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6"/>
                <w:szCs w:val="16"/>
                <w:color w:val="auto"/>
              </w:rPr>
              <w:t>Benefit from prior period as a percentage of:</w:t>
            </w: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Balance at beginning of period</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Premium revenue, trailing twelve months</w:t>
            </w: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Medical care costs, trailing twelve months</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Assuming that our initial estimate of IBNP is accurate, we believe that amounts ultimately paid would generally be between 8% and 10% less than the IBNP liability recorded at the end of the period as a result of the inclusion in that liability of the provision for adverse claims deviation and the accrued cost of settling those claims. Because we establish the provision for adverse claims deviation and the accrued cost of settling claims on a consistent basis every quarter, the lower cost recognized in a subsequent period if such a provision proved unnecessary would be offset by the establishment of a similar provision during that subsequent period.</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the amount of our initial liability is an estimate (and therefore not perfectly accurate), we will always experience variability in that estimate as new information becomes available with the passage of time. Therefore, there can be no assurance that amounts ultimately paid out will fall within the range of 8% to 10% lower than the liability that was initially recorded. Furthermore, because our initial estimate of IBNP is derived from many factors, some of which are qualitative in nature rather than quantitative, we are seldom able to assign specific values to the reasons for a change in estimate—we only know when the circumstances for any one or more factors are out of the ordinary.</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differences between our original estimates and the amounts ultimately paid out for the most part relate to IBNP. While many related factors working in conjunction with one another serve to determine the accuracy of our estimates, we are seldom able to quantify the impact that any single factor has on a change in estimate. In addition,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uncertainties surrounding our IBNP estimates at March 31, 2018 are as follows:</w:t>
      </w:r>
    </w:p>
    <w:p>
      <w:pPr>
        <w:spacing w:after="0" w:line="117" w:lineRule="exact"/>
        <w:rPr>
          <w:sz w:val="20"/>
          <w:szCs w:val="20"/>
          <w:color w:val="auto"/>
        </w:rPr>
      </w:pPr>
    </w:p>
    <w:p>
      <w:pPr>
        <w:ind w:left="660" w:right="1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and into 2018. Changes in claims inventories impact the timing between date of service and the date of claim payment, increasing the volatility of our liability estimates.</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According to The Centers for Disease Control and Prevention, and confirmed by our own claims experience, the influenza season was much more severe this year than last year in several states in which we operate health plans. Although we have established liabilities for additional expected claims related to influenza, our liability estimates are subject to more than the usual amount of uncertainty.</w:t>
      </w:r>
    </w:p>
    <w:p>
      <w:pPr>
        <w:spacing w:after="0" w:line="33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0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our Florida health plan a new clinical service system was implemented in the first quarter of 2018. This system impacted the reporting of inpatient authorizations used in our development of claims liabilities, which makes our liability estimates subject to more than the usual amount of uncertainty.</w:t>
      </w:r>
    </w:p>
    <w:p>
      <w:pPr>
        <w:spacing w:after="0" w:line="93"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recently implemented a new process for increased quality review of claims payments in nine of our health plans. While we do not anticipate this new process will impact the percentage of claims paid within the timely turnaround requirements, we believe it will have a minor impact on the timing of some paid claims. For this reason, our liability estimates in the nine health plans are subject to more than the usual amount of uncertainty.</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recognized favorable prior period claims development in the amount of $241 million for the three months ended March 31, 2018. This amount represents our estimate as of March 31, 2018, of the extent to which our initial estimate of medical claims and benefits payable at December 31, 2017, was more than the amount that will ultimately be paid out in satisfaction of that liability. We believe the overestimation was due primarily to the following factors:</w:t>
      </w:r>
    </w:p>
    <w:p>
      <w:pPr>
        <w:spacing w:after="0" w:line="96" w:lineRule="exact"/>
        <w:rPr>
          <w:sz w:val="20"/>
          <w:szCs w:val="20"/>
          <w:color w:val="auto"/>
        </w:rPr>
      </w:pPr>
    </w:p>
    <w:p>
      <w:pPr>
        <w:ind w:left="660" w:right="240" w:hanging="328"/>
        <w:spacing w:after="0" w:line="256"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impact of the provision for adverse claims deviation and the accrued cost of settling claims as discussed above. Because we re-establish the provision for adverse claims deviation and the accrued cost of settling claims on a consistent basis every quarter, the impact of this item on first quarter 2018 results was minimal.</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In hindsight, the impact of the changes in claims processing timing reduced our liabilities more than we had anticipated.</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December 2017 data from The Centers for Disease Control and Prevention indicated widespread influenza activity in several states in which we operate health plans. The additional liabilities established in consideration of increased claims related to a more severe influenza season turned out to be conservative.</w:t>
      </w:r>
    </w:p>
    <w:p>
      <w:pPr>
        <w:spacing w:after="0" w:line="93" w:lineRule="exact"/>
        <w:rPr>
          <w:rFonts w:ascii="Arial" w:cs="Arial" w:eastAsia="Arial" w:hAnsi="Arial"/>
          <w:sz w:val="18"/>
          <w:szCs w:val="18"/>
          <w:color w:val="auto"/>
        </w:rPr>
      </w:pPr>
    </w:p>
    <w:p>
      <w:pPr>
        <w:ind w:left="660" w:right="260" w:hanging="328"/>
        <w:spacing w:after="0" w:line="256"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establishing our liability at December 31, 2017, we anticipated an increase in the utilization of medical services by Marketplace members concerned about the future of their healthcare coverage as a result of uncertainties related to high premium increases and issuer exits. This induced demand did not materialize to the degree we expected.</w:t>
      </w:r>
    </w:p>
    <w:p>
      <w:pPr>
        <w:spacing w:after="0" w:line="312"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25"/>
          <w:szCs w:val="25"/>
          <w:color w:val="828282"/>
        </w:rPr>
      </w:pPr>
      <w:r>
        <w:rPr>
          <w:rFonts w:ascii="Arial" w:cs="Arial" w:eastAsia="Arial" w:hAnsi="Arial"/>
          <w:sz w:val="25"/>
          <w:szCs w:val="25"/>
          <w:color w:val="828282"/>
        </w:rPr>
        <w:t>Debt</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Substantially all of our debt is held at the parent, which is reported in the Other segment. The following table summarizes our outstanding debt obligations and their classification in the accompanying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46"/>
        </w:trPr>
        <w:tc>
          <w:tcPr>
            <w:tcW w:w="7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gridSpan w:val="4"/>
          </w:tcPr>
          <w:p>
            <w:pPr>
              <w:jc w:val="right"/>
              <w:ind w:right="1100"/>
              <w:spacing w:after="0"/>
              <w:rPr>
                <w:sz w:val="20"/>
                <w:szCs w:val="20"/>
                <w:color w:val="auto"/>
              </w:rPr>
            </w:pPr>
            <w:r>
              <w:rPr>
                <w:rFonts w:ascii="Arial" w:cs="Arial" w:eastAsia="Arial" w:hAnsi="Arial"/>
                <w:sz w:val="16"/>
                <w:szCs w:val="16"/>
                <w:b w:val="1"/>
                <w:bCs w:val="1"/>
                <w:color w:val="auto"/>
              </w:rPr>
              <w:t>(In millions)</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1.125%</w:t>
            </w:r>
          </w:p>
        </w:tc>
        <w:tc>
          <w:tcPr>
            <w:tcW w:w="7380" w:type="dxa"/>
            <w:vAlign w:val="bottom"/>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505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499</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1.625%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Lease financing obligations</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auto"/>
            </w:tcBorders>
            <w:shd w:val="clear" w:color="auto" w:fill="BFE4FF"/>
          </w:tcPr>
          <w:p>
            <w:pPr>
              <w:spacing w:after="0"/>
              <w:rPr>
                <w:sz w:val="23"/>
                <w:szCs w:val="23"/>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653</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portion of long-term debt: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5.375%</w:t>
            </w:r>
          </w:p>
        </w:tc>
        <w:tc>
          <w:tcPr>
            <w:tcW w:w="7380" w:type="dxa"/>
            <w:vAlign w:val="bottom"/>
          </w:tcPr>
          <w:p>
            <w:pPr>
              <w:ind w:left="20"/>
              <w:spacing w:after="0"/>
              <w:rPr>
                <w:sz w:val="20"/>
                <w:szCs w:val="20"/>
                <w:color w:val="auto"/>
              </w:rPr>
            </w:pPr>
            <w:r>
              <w:rPr>
                <w:rFonts w:ascii="Arial" w:cs="Arial" w:eastAsia="Arial" w:hAnsi="Arial"/>
                <w:sz w:val="16"/>
                <w:szCs w:val="16"/>
                <w:color w:val="auto"/>
              </w:rPr>
              <w:t>Notes</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700</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4.875%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Credit Facility</w:t>
            </w:r>
          </w:p>
        </w:tc>
        <w:tc>
          <w:tcPr>
            <w:tcW w:w="2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1,318</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37"/>
        </w:trPr>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2,082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2,169</w:t>
            </w:r>
          </w:p>
        </w:tc>
      </w:tr>
      <w:tr>
        <w:trPr>
          <w:trHeight w:val="20"/>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Interest cost recognized relating to our convertible senior notes for the periods presented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r>
      <w:tr>
        <w:trPr>
          <w:trHeight w:val="247"/>
        </w:trPr>
        <w:tc>
          <w:tcPr>
            <w:tcW w:w="8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8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88"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color w:val="auto"/>
        </w:rPr>
        <w:t>In January 2017, we entered into an amended unsecured $500 million revolving credit facility (Credit Facility). The Credit Facility has a term of five years and all amounts outstanding will be due and payable on January 31, 2022. As of March 31, 2018, $300 million was outstanding under the Credit Facility, and outstanding letters of credit amounting to $6 million reduced our remaining borrowing capacity under the Credit Facility to $194 million.</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In addition to interest payable on the principal amount of indebtedness outstanding from time to time under the Credit Facility, we are required to pay a quarterly commitment fee. The Credit Facility contains customary non-financial and financial covenants, including a net leverage ratio and an interest coverage ratio. As of March 31, 2018, we were in compliance with all financial and non-financial covenants under the Credit Facility and other long-term debt.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2018, we entered into a bridge credit agreement (Bridge Credit Agreement) with several banks. Under the Bridge Credit Agreement, we may borrow up to $550 million to: (i) satisfy conversions of our 1.125% Convertible Notes; (ii) satisfy and/or refinance indebtedness incurred to satisfy conversion of the 1.125% Convertible Notes; (iii) repay or refinance our Credit Facility; and (iv) pay fees and expenses in connection with the foregoing. Subject to the satisfaction of certain conditions, the remaining amount of any borrowing may be used for general corporate purposes.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Bridge Credit Agreement are reduced by the following:</w:t>
      </w:r>
    </w:p>
    <w:p>
      <w:pPr>
        <w:spacing w:after="0" w:line="117" w:lineRule="exact"/>
        <w:rPr>
          <w:sz w:val="20"/>
          <w:szCs w:val="20"/>
          <w:color w:val="auto"/>
        </w:rPr>
      </w:pPr>
    </w:p>
    <w:p>
      <w:pPr>
        <w:ind w:left="660" w:right="2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future debt and/or equity transactions including term loans, but excluding any Credit Facility drawing (excluding transactions with proceeds used for working capital purposes and acquisition financings up to $300 million); and</w:t>
      </w:r>
    </w:p>
    <w:p>
      <w:pPr>
        <w:spacing w:after="0" w:line="88" w:lineRule="exact"/>
        <w:rPr>
          <w:rFonts w:ascii="Arial" w:cs="Arial" w:eastAsia="Arial" w:hAnsi="Arial"/>
          <w:sz w:val="18"/>
          <w:szCs w:val="18"/>
          <w:color w:val="auto"/>
        </w:rPr>
      </w:pPr>
    </w:p>
    <w:p>
      <w:pPr>
        <w:jc w:val="both"/>
        <w:ind w:left="660" w:right="20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20, 2018 (the first put date for the 1.625% Convertible Notes), the Bridge Credit Agreement shall permanently be reduced by the greater of $150 million; and the principal amount of the 1.625% Convertible Notes that are exchanged into equity or otherwise defeased on or prior to that date.</w:t>
      </w:r>
    </w:p>
    <w:p>
      <w:pPr>
        <w:spacing w:after="0" w:line="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Bridge Credit Agreement matures on January 1, 2019 and, subject to the satisfaction of certain conditions, we may elect to extend twice the initial maturity date by a period of six months each. The amount available for borrowing under the Bridge Credit Agreement at March 31, 2018, was $550 million.</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under the Bridge Credit Agreement will bear interest based, at our election, at a base rate or an adjusted LIBOR rate, plus in each case the applicable margin. Our wholly owned subsidiaries that guarantee our obligations under the indenture governing the 4.875% Notes, the 5.375% Notes, and the Credit Facility have jointly and severally guaranteed our obligations under the Bridge Credit Agreement.</w:t>
      </w:r>
    </w:p>
    <w:p>
      <w:pPr>
        <w:spacing w:after="0" w:line="20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Bridge Credit Agreement contains usual and customary (a) affirmative covenants for credit facilities of this type and substantially similar to those contained in the Credit Facility, (b) negative covenants consistent with those contained in the 4.875% Notes and (c) events of default for credit facilities of this type and substantially similar to those contained in the 4.875%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outstanding $ 330 million aggregate principal amount of senior notes (4.875% Notes) due June 15, 2025, unless earlier redeemed. Interest on the 4.875% Notes is payable semiannually in arrears on June 15 and December 15. Guarantees under the 4.875% Notes mirror those of the Credit Facility. See Note 13, “Supplemental Condensed Consolidating Financial Information,” for more information on the guarantors. The 4.875% Notes contain customary non-financial covenants and change of control provisions.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4.875% Notes contain a limitation on the use of proceeds which required us to deposit the net proceeds from their issuance into a segregated deposit account, a current asset reported as “Restricted investments” in our consolidated balance sheets. These funds may be used by us as follows:</w:t>
      </w:r>
    </w:p>
    <w:p>
      <w:pPr>
        <w:spacing w:after="0" w:line="9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prior to August 20, 2018, to:</w:t>
      </w:r>
    </w:p>
    <w:p>
      <w:pPr>
        <w:spacing w:after="0" w:line="117" w:lineRule="exact"/>
        <w:rPr>
          <w:rFonts w:ascii="Arial" w:cs="Arial" w:eastAsia="Arial" w:hAnsi="Arial"/>
          <w:sz w:val="18"/>
          <w:szCs w:val="18"/>
          <w:color w:val="auto"/>
        </w:rPr>
      </w:pPr>
    </w:p>
    <w:p>
      <w:pPr>
        <w:ind w:left="980" w:right="360" w:hanging="324"/>
        <w:spacing w:after="0" w:line="256"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Redeem, repurchase, repay, tender for, or acquire for value all or any portion of our 1.625% Convertible Notes, defined and discussed further below, or to satisfy the cash portion of any consideration due upon any conversion of the 1.625% Convertible Notes; and/or</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Pay any interest due on all or any portion of the 4.875%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after August 20, 2018, to repurchase all or any portion of the 1.625% Convertible Notes that we are obligated to repurchase; and</w:t>
      </w:r>
    </w:p>
    <w:p>
      <w:pPr>
        <w:spacing w:after="0" w:line="117"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Subsequent to August 20, 2018 (or such earlier date in the event that there are no longer any 1.625% Convertible Notes outstanding), in any other manner not otherwise prohibited in the indenture governing the 4.875% Notes.</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investments that constitute the segregated funds are current assets reported as “Restricted investments” in the accompanying consolidated balance sheets. As a result of the 1.625% Exchange described below, approximately $ 94 million of such investments were transferred to unrestricted current investments in the first quarter of 2018. As of March 31, 2018, the balance of current restricted investments was $77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outstanding $700 million aggregate principal amount of senior notes (5.375% Notes) due November 15, 2022, unless earlier redeemed. Interest on the 5.375% Notes is payable semiannually in arrears on May 15 and November 15. Certain of our wholly owned subsidiaries guarantee our obligations under the 5.375% Notes. Such guarantees mirror those of the Credit Facility. See Note 13, “Supplemental Condensed Consolidating Financial Information,” for more information on the guarantors. The 5.375% Notes contain customary non-financial covenants and change in control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We have outstanding $550 million aggregate principal amount of 1.125% cash convertible senior notes due January 15, 2020 (1.125% Convertible Notes), unless earlier repurchased or converted. Interest is payable semiannually in arrears on January 15 and July 15.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1.125% Convertible Notes are convertible only into cash, and not into shares of our common stock or any other securities.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for the 1.125% Convertible Notes is 24.5277 shares of our common stock per $1,000 principal amount, 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$40.77 per share of our common stock. Upon conversion, in lieu of receiving shares of our common stock, a holder will receive an amount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per $1,000 principal amount of 1.125% Convertible Notes, equal to the settlement amount, determined in the manner set forth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indenture. We may not redeem the 1.125% Convertible Notes prior to the maturity date.</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stock price trigger for the 1.125% Convertible Notes is $53.00 per share. The 1.125% Convertible Notes met this trigger in the quarter ended March 31, 2018; therefore, they are convertible into cash and are reported in current portion of long-term debt as of March 31, 2018.</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1.125% Convertible Notes contain an embedded cash conversion option (the 1.125% Conversion Option), which was separated from the 1.125% Convertible Notes and accounted for separately as a derivative liability, with changes in fair value reported in our consolidated statements of income until the 1.125% Conversion Option settles or expires. The effective interest rate approximating what we would have incurred had nonconvertible debt with otherwise similar terms been issued is approximately 6%. As of March 31, 2018, the 1.125% Convertible Notes had a remaining amortization period of 1.8 years. The 1.125% Convertible Notes’ if-converted value exceeded their principal amount by approximately $527 million and $406 million as of March 31, 2018 and December 31, 2017,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Convertible Senior Notes due 2044</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March 2018, we entered into separate, privately negotiated, synthetic exchange agreements (1.625% Exchange) with certain holders of our outstanding 1.625% convertible senior notes due 2044 (1.625% Convertible Notes). In this transaction, we exchanged $97 million aggregate principal amount and accrued interest for 1.8 million shares of our common stock. We recorded a loss on debt extinguishment, including transaction fees, of $10 million, for the transaction, primarily relating to the inducement premium paid to the bondholders, which is recorded in “Other</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expenses (income), net” in the accompanying consolidated statements of income. We did not receive any proceeds from the 1.625% Exchange.</w:t>
      </w:r>
    </w:p>
    <w:p>
      <w:pPr>
        <w:spacing w:after="0" w:line="8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Following the 1.625% Exchange, we have outstanding $64 million aggregate principal amount of the 1.625% Convertible Notes. The initial conversion rate for the 1.625% Convertible Notes is 17.2157 shares of our common stock per $1,000 principal amount, or approximately $58.09 per share of our common stock. Upon conversion, we will pay cash and, if applicable, deliver shares of our common stock to the converting holder in an amount per $1,000 principal amount of 1.625% Notes equal to the settlement amount (as defined in the related indenture).</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stock price trigger for the 1.625% Convertible Notes is $75.51 per share. The 1.625% Convertible Notes did not meet this stock price trigger in the quarter ended March 31, 2018. However, on contractually specified dates beginning in August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March 31, 2018. As noted above, because the proceeds from the 4.875% Notes are initially restricted to payments upon conversion or redemption of the 1.625% Convertible Notes, such restricted investments are also classified as current in the accompanying consolidated balance sheets.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expected life of the 1.625% Convertible Notes is approximately four years, beginning on the issuance date and ending on the first date we may redeem the 1.625% Convertible Notes in August 2018. As of March 31, 2018, the 1.625% Convertible Notes had a remaining amortization period of 0.4 years. The effective interest rate approximating what we would have incurred had nonconvertible debt with otherwise similar terms been issued is approximately 5%. The outstanding 1.625% Convertible Notes’ if-converted value exceeded their principal amount at March 31, 2018 and December 31, 2017 by approximately $19 million and $50 million, respectively. At March 31, 2018 and December 31, 2017, the equity component of the 1.625% Convertible Notes, including the impact of deferred taxes, was $5 million and $12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indentures governing the 4.875% Notes, the 5.375% Notes, the 1.125% Convertible Notes and the 1.625% Convertible Notes contain cross-default provisions that are triggered upon default by us or any of our subsidiaries on any indebtedness in excess of the amount specified in the applicable indenture.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8. Derivatives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120" w:type="dxa"/>
            <w:vAlign w:val="bottom"/>
          </w:tcPr>
          <w:p>
            <w:pPr>
              <w:spacing w:after="0"/>
              <w:rPr>
                <w:sz w:val="17"/>
                <w:szCs w:val="17"/>
                <w:color w:val="auto"/>
              </w:rPr>
            </w:pPr>
          </w:p>
        </w:tc>
        <w:tc>
          <w:tcPr>
            <w:tcW w:w="4240" w:type="dxa"/>
            <w:vAlign w:val="bottom"/>
            <w:gridSpan w:val="2"/>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64"/>
        </w:trPr>
        <w:tc>
          <w:tcPr>
            <w:tcW w:w="4120" w:type="dxa"/>
            <w:vAlign w:val="bottom"/>
          </w:tcPr>
          <w:p>
            <w:pPr>
              <w:spacing w:after="0"/>
              <w:rPr>
                <w:sz w:val="22"/>
                <w:szCs w:val="22"/>
                <w:color w:val="auto"/>
              </w:rPr>
            </w:pPr>
          </w:p>
        </w:tc>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asset:</w:t>
            </w: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9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1.125% Call Option</w:t>
            </w:r>
          </w:p>
        </w:tc>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Current assets: Derivative asset</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522</w:t>
            </w: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liability:</w:t>
            </w:r>
          </w:p>
        </w:tc>
        <w:tc>
          <w:tcPr>
            <w:tcW w:w="4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4"/>
        </w:trPr>
        <w:tc>
          <w:tcPr>
            <w:tcW w:w="4120" w:type="dxa"/>
            <w:vAlign w:val="bottom"/>
          </w:tcPr>
          <w:p>
            <w:pPr>
              <w:ind w:left="380"/>
              <w:spacing w:after="0"/>
              <w:rPr>
                <w:sz w:val="20"/>
                <w:szCs w:val="20"/>
                <w:color w:val="auto"/>
              </w:rPr>
            </w:pPr>
            <w:r>
              <w:rPr>
                <w:rFonts w:ascii="Arial" w:cs="Arial" w:eastAsia="Arial" w:hAnsi="Arial"/>
                <w:sz w:val="16"/>
                <w:szCs w:val="16"/>
                <w:color w:val="auto"/>
              </w:rPr>
              <w:t>1.125% Conversion Option</w:t>
            </w:r>
          </w:p>
        </w:tc>
        <w:tc>
          <w:tcPr>
            <w:tcW w:w="4240" w:type="dxa"/>
            <w:vAlign w:val="bottom"/>
            <w:gridSpan w:val="2"/>
          </w:tcPr>
          <w:p>
            <w:pPr>
              <w:ind w:left="40"/>
              <w:spacing w:after="0"/>
              <w:rPr>
                <w:sz w:val="20"/>
                <w:szCs w:val="20"/>
                <w:color w:val="auto"/>
              </w:rPr>
            </w:pPr>
            <w:r>
              <w:rPr>
                <w:rFonts w:ascii="Arial" w:cs="Arial" w:eastAsia="Arial" w:hAnsi="Arial"/>
                <w:sz w:val="16"/>
                <w:szCs w:val="16"/>
                <w:color w:val="auto"/>
              </w:rPr>
              <w:t>Current liabilities: Derivative liability</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522</w:t>
            </w:r>
          </w:p>
        </w:tc>
      </w:tr>
      <w:tr>
        <w:trPr>
          <w:trHeight w:val="20"/>
        </w:trPr>
        <w:tc>
          <w:tcPr>
            <w:tcW w:w="4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income, and reported in “Other expenses (income), net.” Gains and losses for our derivative financial instruments are presented individually in the accompanying consolidated statements of cash flows, “Supplemental cash flow information.”</w:t>
      </w:r>
    </w:p>
    <w:p>
      <w:pPr>
        <w:spacing w:after="0" w:line="24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 xml:space="preserve">1.125% Notes Call Spread Overlay. </w:t>
      </w:r>
      <w:r>
        <w:rPr>
          <w:rFonts w:ascii="Arial" w:cs="Arial" w:eastAsia="Arial" w:hAnsi="Arial"/>
          <w:sz w:val="17"/>
          <w:szCs w:val="17"/>
          <w:color w:val="auto"/>
        </w:rPr>
        <w:t>Concurrent with the issuance of the 1.125% Convertible Notes in 2013, we entered into privately</w:t>
      </w:r>
      <w:r>
        <w:rPr>
          <w:rFonts w:ascii="Arial" w:cs="Arial" w:eastAsia="Arial" w:hAnsi="Arial"/>
          <w:sz w:val="17"/>
          <w:szCs w:val="17"/>
          <w:i w:val="1"/>
          <w:iCs w:val="1"/>
          <w:color w:val="auto"/>
        </w:rPr>
        <w:t xml:space="preserve"> </w:t>
      </w:r>
      <w:r>
        <w:rPr>
          <w:rFonts w:ascii="Arial" w:cs="Arial" w:eastAsia="Arial" w:hAnsi="Arial"/>
          <w:sz w:val="17"/>
          <w:szCs w:val="17"/>
          <w:color w:val="auto"/>
        </w:rPr>
        <w:t>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w:t>
      </w:r>
    </w:p>
    <w:p>
      <w:pPr>
        <w:spacing w:after="0" w:line="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230" w:lineRule="exact"/>
        <w:rPr>
          <w:sz w:val="20"/>
          <w:szCs w:val="20"/>
          <w:color w:val="auto"/>
        </w:rPr>
      </w:pPr>
    </w:p>
    <w:p>
      <w:pPr>
        <w:jc w:val="both"/>
        <w:ind w:right="480"/>
        <w:spacing w:after="0" w:line="261"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Convertible Notes is accounted for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with changes in fair value reported in our consolidated statements of income until the cash conversion option settles or expires. For further discussion of the inputs used to determine the fair value of the 1.125% Conversion Option, refer to Note 4, “Fair Value Measurements.”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As of March 31, 2018, the 1.125% Call Option and the 1.125% Conversion Option were classified as a current asset and current liability, respectively, because the 1.125% Convertible Notes may be converted within twelve months of March 31, 2018, as described in Note 7, “Debt.”</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Exchange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7, “Debt,” we issued 1.8 million shares of our common stock in connection with the 1.625% Exchange in March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13,490,236 warrants with a strike price of $53.8475 per share. Under certain circumstances, beginning in April 2020, when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Income per Share,” for dilution information for the periods presented. We will not receive any additional proceeds if the 1.125% Warrants are exercised.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connection with our equity incentive plans and employee stock purchase plan, approximately 127,000 shares of common stock vested or were purchased, net of shares used to settle employees’ income tax obligations, during the three months ended March 31, 2018.</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record share-based compensation as “General and administrative expenses” in the accompanying consolidated statements of income. As of March 31, 2018, there was $53 million of total unrecognized compensation expense related to unvested restricted stock awards (RSAs), performance stock awards (PSAs), and performance stock units (PSUs), which we expect to recognize over a remaining weighted-average period of 3.2 years, 0.9 years and 2.7 years, respectively. This unrecognized compensation cost assumes an estimated forfeiture rate of 9.7% for non-executive employees as of March 31, 2018.</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as of March 31, 2018, there was $13 million of total unrecognized compensation expense related to unvested stock options, which we expect to recognize over a weighted-average period of 2.5 years. No stock options were granted or exercised in the three months ended March 31,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PSAs and PSUs, for the three months ended March 31, 2018,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54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Performance Stock</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35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2017</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401,804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84,762</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91,828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578,394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58.35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321,798</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188,455</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510,253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72.46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(163,043)</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(195,972)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55.16</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(59,931)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(44,384)</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62.99</w:t>
            </w:r>
          </w:p>
        </w:tc>
      </w:tr>
      <w:tr>
        <w:trPr>
          <w:trHeight w:val="24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balance, March 31,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500,628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7,449</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232,633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740,710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67.96</w:t>
            </w: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awards granted and vested is presented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r>
      <w:tr>
        <w:trPr>
          <w:trHeight w:val="247"/>
        </w:trPr>
        <w:tc>
          <w:tcPr>
            <w:tcW w:w="8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6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units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8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8120" w:type="dxa"/>
            <w:vAlign w:val="bottom"/>
          </w:tcPr>
          <w:p>
            <w:pPr>
              <w:spacing w:after="0"/>
              <w:rPr>
                <w:sz w:val="20"/>
                <w:szCs w:val="20"/>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828282"/>
        </w:rPr>
        <w:t>10. Restructuring and Separation Costs</w:t>
      </w:r>
    </w:p>
    <w:p>
      <w:pPr>
        <w:spacing w:after="0" w:line="22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Following a management-initiated, broad operational assessment in early 2017, our board of directors approved, and we committed to, a comprehensive restructuring and profitability improvement plan in June 2017 (the 2017 Restructuring Plan). Key activities under this plan to date have included:</w:t>
      </w:r>
    </w:p>
    <w:p>
      <w:pPr>
        <w:spacing w:after="0" w:line="202" w:lineRule="exact"/>
        <w:rPr>
          <w:sz w:val="20"/>
          <w:szCs w:val="20"/>
          <w:color w:val="auto"/>
        </w:rPr>
      </w:pPr>
    </w:p>
    <w:p>
      <w:pPr>
        <w:ind w:left="660" w:right="2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Streamlining of our organizational structure to eliminate redundant layers of management, consolidate regional support services, and other staff reductions to improve efficiency and the speed and quality of decision making;</w:t>
      </w:r>
    </w:p>
    <w:p>
      <w:pPr>
        <w:spacing w:after="0" w:line="196"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of core operating processes such as provider payment, utilization management, quality monitoring and improvement, and information technology, to achieve more effective and cost-efficient outcomes;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Remediation of high-cost provider contracts and enhancement of high quality, cost-effective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including selective exits, of direct delivery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Partnering with the lowest-cost, most effective vendors.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our 2017 Annual Report on Form 10-K, we reported that we had incurred substantially all of the costs associated with the 2017 Restructuring Plan in 2017, amounting to $234 million. In the first quarter of 2018, we incurred an additional $25 million in such costs, primarily as a result of our further evaluation of a utilization and care management project terminated because of its inconsistency with the goals of the 2017 Restructuring Plan. As a result, assets relating to this project were written off. In addition, we recorded nominal amounts for one-time termination benefits, and true-ups of consulting fees and contract termination costs recorded in 2017. We expect to complete all activities under the 2017 Restructuring Plan in 2018, with the exception of the settlement of lease termination liabilities. We expect to continue to settle those liabilities through 2025, unless the leases are terminated sooner.</w:t>
      </w:r>
    </w:p>
    <w:p>
      <w:pPr>
        <w:spacing w:after="0" w:line="207"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Restructuring and separation costs are reported by the same name in the accompanying consolidated statements of income. The following tables present the major types of such costs by segment. Current and long-lived assets include current and non-current capitalized project costs, and capitalized software determined to be unrecoverable.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6"/>
                <w:szCs w:val="16"/>
                <w:b w:val="1"/>
                <w:bCs w:val="1"/>
                <w:color w:val="auto"/>
              </w:rPr>
              <w:t>Three Months Ended March 31, 2018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6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rPr>
              <w:t>Other Restructuring Costs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8"/>
        </w:trPr>
        <w:tc>
          <w:tcPr>
            <w:tcW w:w="4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Write-offs of</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4120" w:type="dxa"/>
            <w:vAlign w:val="bottom"/>
          </w:tcPr>
          <w:p>
            <w:pPr>
              <w:spacing w:after="0"/>
              <w:rPr>
                <w:sz w:val="16"/>
                <w:szCs w:val="16"/>
                <w:color w:val="auto"/>
              </w:rPr>
            </w:pPr>
          </w:p>
        </w:tc>
        <w:tc>
          <w:tcPr>
            <w:tcW w:w="1180" w:type="dxa"/>
            <w:vAlign w:val="bottom"/>
          </w:tcPr>
          <w:p>
            <w:pPr>
              <w:jc w:val="center"/>
              <w:ind w:left="159"/>
              <w:spacing w:after="0"/>
              <w:rPr>
                <w:sz w:val="20"/>
                <w:szCs w:val="20"/>
                <w:color w:val="auto"/>
              </w:rPr>
            </w:pPr>
            <w:r>
              <w:rPr>
                <w:rFonts w:ascii="Arial" w:cs="Arial" w:eastAsia="Arial" w:hAnsi="Arial"/>
                <w:sz w:val="16"/>
                <w:szCs w:val="16"/>
                <w:b w:val="1"/>
                <w:bCs w:val="1"/>
                <w:color w:val="auto"/>
              </w:rPr>
              <w:t>One-Time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Current and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Contract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120" w:type="dxa"/>
            <w:vAlign w:val="bottom"/>
          </w:tcPr>
          <w:p>
            <w:pPr>
              <w:spacing w:after="0"/>
              <w:rPr>
                <w:sz w:val="16"/>
                <w:szCs w:val="16"/>
                <w:color w:val="auto"/>
              </w:rPr>
            </w:pPr>
          </w:p>
        </w:tc>
        <w:tc>
          <w:tcPr>
            <w:tcW w:w="118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Termination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Long-lived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4120" w:type="dxa"/>
            <w:vAlign w:val="bottom"/>
          </w:tcPr>
          <w:p>
            <w:pPr>
              <w:spacing w:after="0"/>
              <w:rPr>
                <w:sz w:val="19"/>
                <w:szCs w:val="19"/>
                <w:color w:val="auto"/>
              </w:rPr>
            </w:pPr>
          </w:p>
        </w:tc>
        <w:tc>
          <w:tcPr>
            <w:tcW w:w="11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Benefits</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Assets</w:t>
            </w: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Consulting Fees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47"/>
        </w:trPr>
        <w:tc>
          <w:tcPr>
            <w:tcW w:w="4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64"/>
        </w:trPr>
        <w:tc>
          <w:tcPr>
            <w:tcW w:w="4120" w:type="dxa"/>
            <w:vAlign w:val="bottom"/>
          </w:tcPr>
          <w:p>
            <w:pPr>
              <w:ind w:left="4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4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0"/>
        </w:trPr>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costs were reported in the first quarter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incurred cumulative restructuring costs under the 2017 Restructuring Plan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Other Restructuring Costs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Write-offs of</w:t>
            </w:r>
          </w:p>
        </w:tc>
        <w:tc>
          <w:tcPr>
            <w:tcW w:w="7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26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Separation Costs</w:t>
            </w:r>
          </w:p>
        </w:tc>
        <w:tc>
          <w:tcPr>
            <w:tcW w:w="2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One-Time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Current and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Contract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 Former</w:t>
            </w:r>
          </w:p>
        </w:tc>
        <w:tc>
          <w:tcPr>
            <w:tcW w:w="2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Long-lived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Termination</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Executives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Assets</w:t>
            </w: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Consulting Fees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8"/>
              </w:rPr>
              <w:t>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47"/>
        </w:trPr>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r>
      <w:tr>
        <w:trPr>
          <w:trHeight w:val="260"/>
        </w:trPr>
        <w:tc>
          <w:tcPr>
            <w:tcW w:w="2620" w:type="dxa"/>
            <w:vAlign w:val="bottom"/>
          </w:tcPr>
          <w:p>
            <w:pPr>
              <w:ind w:left="40"/>
              <w:spacing w:after="0"/>
              <w:rPr>
                <w:sz w:val="20"/>
                <w:szCs w:val="20"/>
                <w:color w:val="auto"/>
              </w:rPr>
            </w:pPr>
            <w:r>
              <w:rPr>
                <w:rFonts w:ascii="Arial" w:cs="Arial" w:eastAsia="Arial" w:hAnsi="Arial"/>
                <w:sz w:val="16"/>
                <w:szCs w:val="16"/>
                <w:color w:val="auto"/>
              </w:rPr>
              <w:t>Molina Medicaid Solutions</w:t>
            </w:r>
          </w:p>
        </w:tc>
        <w:tc>
          <w:tcPr>
            <w:tcW w:w="2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273"/>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r>
      <w:tr>
        <w:trPr>
          <w:trHeight w:val="264"/>
        </w:trPr>
        <w:tc>
          <w:tcPr>
            <w:tcW w:w="2620" w:type="dxa"/>
            <w:vAlign w:val="bottom"/>
          </w:tcPr>
          <w:p>
            <w:pPr>
              <w:spacing w:after="0"/>
              <w:rPr>
                <w:sz w:val="22"/>
                <w:szCs w:val="22"/>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Liability</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those restructuring and separation costs that require cash settlement (primarily separation costs, one-time termination benefits, consulting fees and contract termination costs), the following table presents a roll-forward of the accrued liability, which is reported in “Accounts payable and accrued liabilities” in the accompanying consolidated balance sheets. The adjustments are due to true-ups of consulting fees and contract termination costs recorded in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One-Time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Separation Costs -</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Termination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Restructuring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Former Executives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Benefits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8"/>
              </w:rPr>
              <w:t>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47"/>
        </w:trPr>
        <w:tc>
          <w:tcPr>
            <w:tcW w:w="5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2017</w:t>
            </w: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6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w:t>
            </w:r>
          </w:p>
        </w:tc>
        <w:tc>
          <w:tcPr>
            <w:tcW w:w="6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payments</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March 31, 2018</w:t>
            </w: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828282"/>
        </w:rPr>
        <w:t>11. Segments</w:t>
      </w:r>
    </w:p>
    <w:p>
      <w:pPr>
        <w:spacing w:after="0" w:line="11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have three reportable segments. These segments consist of our Health Plans segment, which constitutes the vast majority of our operations; our Molina Medicaid Solutions segment; and our Other segment. Our reportable segments are consistent with how we currently manage the business and view the markets we serve.</w:t>
      </w:r>
    </w:p>
    <w:p>
      <w:pPr>
        <w:spacing w:after="0" w:line="9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Gross 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Medical margin represents the amount earned by the Health Plans segment after medical care costs are deducted from premium revenue. The medical care ratio represents medical care costs as a percentage of premium revenue, and is one of the key metrics used to assess the performance of the Health Plans segment. Therefore, the underlying medical margin is the most important measure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of earnings reviewed by the chief operating decision maker. The service margin is equal to service revenue minus cost of service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is insignificant for all periods presented.</w:t>
      </w:r>
    </w:p>
    <w:p>
      <w:pPr>
        <w:spacing w:after="0" w:line="32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084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8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r>
      <w:tr>
        <w:trPr>
          <w:trHeight w:val="27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080" w:type="dxa"/>
            <w:vAlign w:val="bottom"/>
          </w:tcPr>
          <w:p>
            <w:pPr>
              <w:ind w:left="260"/>
              <w:spacing w:after="0"/>
              <w:rPr>
                <w:sz w:val="20"/>
                <w:szCs w:val="20"/>
                <w:color w:val="auto"/>
              </w:rPr>
            </w:pPr>
            <w:r>
              <w:rPr>
                <w:rFonts w:ascii="Arial" w:cs="Arial" w:eastAsia="Arial" w:hAnsi="Arial"/>
                <w:sz w:val="16"/>
                <w:szCs w:val="16"/>
                <w:color w:val="auto"/>
              </w:rPr>
              <w:t>Health Plans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4,509</w:t>
            </w:r>
          </w:p>
        </w:tc>
        <w:tc>
          <w:tcPr>
            <w:tcW w:w="12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4,771</w:t>
            </w:r>
          </w:p>
        </w:tc>
      </w:tr>
      <w:tr>
        <w:trPr>
          <w:trHeight w:val="280"/>
        </w:trPr>
        <w:tc>
          <w:tcPr>
            <w:tcW w:w="8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Molina Medicaid Solutions</w:t>
            </w: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r>
      <w:tr>
        <w:trPr>
          <w:trHeight w:val="264"/>
        </w:trPr>
        <w:tc>
          <w:tcPr>
            <w:tcW w:w="80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87</w:t>
            </w:r>
          </w:p>
        </w:tc>
      </w:tr>
      <w:tr>
        <w:trPr>
          <w:trHeight w:val="240"/>
        </w:trPr>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Consolidated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4,646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4,904</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gross margin by segment to consolidated income before income tax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60" w:type="dxa"/>
            <w:vAlign w:val="bottom"/>
          </w:tcPr>
          <w:p>
            <w:pPr>
              <w:jc w:val="right"/>
              <w:ind w:right="8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2"/>
                <w:szCs w:val="22"/>
                <w:color w:val="auto"/>
              </w:rPr>
            </w:pPr>
          </w:p>
        </w:tc>
        <w:tc>
          <w:tcPr>
            <w:tcW w:w="110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Molina Medicaid Solutions</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gross margin</w:t>
            </w: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40"/>
        </w:trPr>
        <w:tc>
          <w:tcPr>
            <w:tcW w:w="8120" w:type="dxa"/>
            <w:vAlign w:val="bottom"/>
          </w:tcPr>
          <w:p>
            <w:pPr>
              <w:ind w:left="280"/>
              <w:spacing w:after="0"/>
              <w:rPr>
                <w:sz w:val="20"/>
                <w:szCs w:val="20"/>
                <w:color w:val="auto"/>
              </w:rPr>
            </w:pPr>
            <w:r>
              <w:rPr>
                <w:rFonts w:ascii="Arial" w:cs="Arial" w:eastAsia="Arial" w:hAnsi="Arial"/>
                <w:sz w:val="16"/>
                <w:szCs w:val="16"/>
                <w:color w:val="auto"/>
              </w:rPr>
              <w:t>Operating income</w:t>
            </w:r>
          </w:p>
        </w:tc>
        <w:tc>
          <w:tcPr>
            <w:tcW w:w="106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(income), net</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113"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restructuring and separation costs.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828282"/>
        </w:rPr>
        <w:t>12.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health plans, which are operated by our wholly owned subsidiaries in the states in which our health plans operate, are subject to state laws and regulations that, among other things, require the maintenance of minimum levels of statutory capital, as defined by each state. Regulators in some states may also attempt to enforce capital requirements that require the retention of net worth in excess of amounts formally required by statute or regulation. Such 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(after intercompany eliminations) which may not be transferable to us in the form of loans, advances, or cash dividends was approximately $1,777 million at March 31, 2018, and $1,691 million at December 31, 2017. Because of the statutory restrictions that inhibit the ability of our health plans to transfer net assets to us, the amount of retained earnings readily available to pay dividends to our stockholders is generally limited to cash, cash equivalents and investments (excluding restricted investments) held by the parent company—Molina Healthcare, Inc. Such cash, cash equivalents and investments (excluding restricted investments) amounted to $706 million and $696 million as of March 31, 2018 and December 31, 2017, respectively.</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National Association of Insurance Commissioners (NAIC) adopted rules effective December 31, 1998, which, if implemented by the states, set minimum capitalization requirements for insurance companies, HMOs, and other entities bearing risk for health care coverage. The requirements take the form of risk-based capital (RBC) rules which may vary from state to state. All of the states and Commonwealth in which our health plans operate, except California, Florida and New York, have adopted these rules. Such requirements, if adopted by California, Florida and New York, may increase the minimum capital required for those states.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2018, our health plans had aggregate statutory capital and surplus of approximately $1,904 million compared with the required minimum aggregate statutory capital and surplus of approximately $1,181 million. All of our health plans were in compliance with the minimum capital requirements at March 31, 2018. We have the ability, and have committed to provide, additional capital to each of our health plans as necessary to ensure compliance with statutory capital and surplus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 care and Medicaid-related business process outsourcing industries are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exclusion from participating in publicly funded programs, and the repayment of previously billed and collected revenues.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involved in legal actions in the ordinary course of business,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and/or development of important factual information and legal issues is insufficient to enable us to estimate a range of possible loss, if any. An adverse determination in one or more of these pending matters could have a material adverse effect on our consolidated financial position, results of operations, or cash flows.</w:t>
      </w:r>
    </w:p>
    <w:p>
      <w:pPr>
        <w:spacing w:after="0" w:line="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Steamfitters Local 449 Pension Plan v. Molina Healthcare, Inc, et al. </w:t>
      </w:r>
      <w:r>
        <w:rPr>
          <w:rFonts w:ascii="Arial" w:cs="Arial" w:eastAsia="Arial" w:hAnsi="Arial"/>
          <w:sz w:val="18"/>
          <w:szCs w:val="18"/>
          <w:color w:val="auto"/>
        </w:rPr>
        <w:t>On April 27, 2018, the Steamfitters Local 449 Pension Plan filed a class</w:t>
      </w:r>
      <w:r>
        <w:rPr>
          <w:rFonts w:ascii="Arial" w:cs="Arial" w:eastAsia="Arial" w:hAnsi="Arial"/>
          <w:sz w:val="18"/>
          <w:szCs w:val="18"/>
          <w:i w:val="1"/>
          <w:iCs w:val="1"/>
          <w:color w:val="auto"/>
        </w:rPr>
        <w:t xml:space="preserve"> </w:t>
      </w:r>
      <w:r>
        <w:rPr>
          <w:rFonts w:ascii="Arial" w:cs="Arial" w:eastAsia="Arial" w:hAnsi="Arial"/>
          <w:sz w:val="18"/>
          <w:szCs w:val="18"/>
          <w:color w:val="auto"/>
        </w:rPr>
        <w:t>action securities complaint in the Central District Court of California against the Company and its former executive officers, J. Mario Molina, John C. Molina, Terry P. Bayer, and Rick Hopfer, Case 2:18-cv-03579. The complaint purports to seek recovery on behalf of all persons or entities who purchased Molina common stock between October 31, 2014 and August 2, 2017 for alleged violations under Sections 10(b) and 20(a) of the Securities Exchange Act and Rule 10b-5 promulgated thereunder. The plaintiff alleges the defendants misled investors regarding the scalability of the Company’s administrative infrastructure during the identified class period. The Company believes it has meritorious defenses to the alleged claims and intends to defend the matter vigorously.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3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CHIP programs. The states and Commonwealth in which we operate our health plans regularly face significant budgetary pressures.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13. Supplemental Condensed Consolidating Financial Information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discussed in Note 7, “Debt,” we have outstanding $700 million aggregate principal amount of 5.375% Notes due November 15, 2022, unless earlier redeemed. The 5.375% Notes were registered in September 2016, and are fully and unconditionally guaranteed by certain of our wholly owned subsidiaries on a joint and several basis, with exceptions considered customary for such guarantees.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all periods presented, the following condensed consolidating financial statements present Molina Healthcare, Inc. (as “Parent Guarantor”), the subsidiary guarantors (as “Other Guarantors”), the subsidiary non-guarantors (as “Non-Guarantors”) and “Eliminations”, according to the guarantor structure as assessed as of and for the three months ended March 31, 2018.</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27</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4,646</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3,722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4,424</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before equity in net losses of</w:t>
            </w: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4,904</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439</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4,822</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(losses) before equity in earnings</w:t>
            </w: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(losses) of subsidiaries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8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70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8,196</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9,133</w:t>
            </w: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520" w:type="dxa"/>
            <w:vAlign w:val="bottom"/>
            <w:gridSpan w:val="8"/>
            <w:shd w:val="clear" w:color="auto" w:fill="CCEEFF"/>
          </w:tcPr>
          <w:p>
            <w:pPr>
              <w:jc w:val="center"/>
              <w:ind w:right="7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7,580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1,553</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9,133</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30</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7,511</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520" w:type="dxa"/>
            <w:vAlign w:val="bottom"/>
            <w:gridSpan w:val="8"/>
            <w:shd w:val="clear" w:color="auto" w:fill="CCEEFF"/>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64"/>
        </w:trPr>
        <w:tc>
          <w:tcPr>
            <w:tcW w:w="3540" w:type="dxa"/>
            <w:vAlign w:val="bottom"/>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522</w:t>
            </w:r>
          </w:p>
        </w:tc>
      </w:tr>
      <w:tr>
        <w:trPr>
          <w:trHeight w:val="257"/>
        </w:trPr>
        <w:tc>
          <w:tcPr>
            <w:tcW w:w="3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cash (used in) provided by investing</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40" w:type="dxa"/>
            <w:vAlign w:val="bottom"/>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paid for financing transaction fees</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(decrease) increase in cash, cash</w:t>
            </w: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0"/>
              <w:spacing w:after="0"/>
              <w:rPr>
                <w:sz w:val="20"/>
                <w:szCs w:val="20"/>
                <w:color w:val="auto"/>
              </w:rPr>
            </w:pPr>
            <w:r>
              <w:rPr>
                <w:rFonts w:ascii="Arial" w:cs="Arial" w:eastAsia="Arial" w:hAnsi="Arial"/>
                <w:sz w:val="16"/>
                <w:szCs w:val="16"/>
                <w:color w:val="auto"/>
              </w:rPr>
              <w:t>equivalents, and restricted cash and cash</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7"/>
                <w:szCs w:val="17"/>
                <w:color w:val="auto"/>
              </w:rPr>
            </w:pPr>
          </w:p>
        </w:tc>
        <w:tc>
          <w:tcPr>
            <w:tcW w:w="52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198"/>
        </w:trPr>
        <w:tc>
          <w:tcPr>
            <w:tcW w:w="3540" w:type="dxa"/>
            <w:vAlign w:val="bottom"/>
          </w:tcPr>
          <w:p>
            <w:pPr>
              <w:ind w:left="200"/>
              <w:spacing w:after="0"/>
              <w:rPr>
                <w:sz w:val="20"/>
                <w:szCs w:val="20"/>
                <w:color w:val="auto"/>
              </w:rPr>
            </w:pPr>
            <w:r>
              <w:rPr>
                <w:rFonts w:ascii="Arial" w:cs="Arial" w:eastAsia="Arial" w:hAnsi="Arial"/>
                <w:sz w:val="16"/>
                <w:szCs w:val="16"/>
                <w:color w:val="auto"/>
              </w:rPr>
              <w:t>cash equivalents at end of period</w:t>
            </w:r>
          </w:p>
        </w:tc>
        <w:tc>
          <w:tcPr>
            <w:tcW w:w="6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 March 31,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 restricted investments held-to-</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maturity</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from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employee stock plans</w:t>
            </w:r>
          </w:p>
        </w:tc>
        <w:tc>
          <w:tcPr>
            <w:tcW w:w="6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 and cash equivalents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end of period</w:t>
            </w:r>
          </w:p>
        </w:tc>
        <w:tc>
          <w:tcPr>
            <w:tcW w:w="6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32</w:t>
      </w:r>
    </w:p>
    <w:p>
      <w:pPr>
        <w:sectPr>
          <w:pgSz w:w="11900" w:h="16838" w:orient="portrait"/>
          <w:cols w:equalWidth="0" w:num="1">
            <w:col w:w="11420"/>
          </w:cols>
          <w:pgMar w:left="240" w:top="140"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40"/>
        <w:spacing w:after="0" w:line="278" w:lineRule="auto"/>
        <w:rPr>
          <w:sz w:val="20"/>
          <w:szCs w:val="20"/>
          <w:color w:val="auto"/>
        </w:rPr>
      </w:pPr>
      <w:r>
        <w:rPr>
          <w:rFonts w:ascii="Arial" w:cs="Arial" w:eastAsia="Arial" w:hAnsi="Arial"/>
          <w:sz w:val="29"/>
          <w:szCs w:val="29"/>
          <w:b w:val="1"/>
          <w:bCs w:val="1"/>
          <w:color w:val="0F7C7F"/>
        </w:rPr>
        <w:t>MANAGEMENT’S DISCUSSION AND ANALYSIS OF FINANCIAL CONDITION AND RESULTS OF OPERATIONS (MD&amp;A)</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other than statements of historical facts, included in this quarterly report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expected, or contemplated. Those known risks and uncertainties include, but are not limited to, the following:</w:t>
      </w:r>
    </w:p>
    <w:p>
      <w:pPr>
        <w:spacing w:after="0" w:line="85" w:lineRule="exact"/>
        <w:rPr>
          <w:sz w:val="20"/>
          <w:szCs w:val="20"/>
          <w:color w:val="auto"/>
        </w:rPr>
      </w:pPr>
    </w:p>
    <w:p>
      <w:pPr>
        <w:ind w:left="340" w:right="280" w:hanging="332"/>
        <w:spacing w:after="0" w:line="26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profit improvement and maintenance initiatives, including the timing and amounts of the benefits realized, and administrative savings achieved;</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w:t>
      </w:r>
    </w:p>
    <w:p>
      <w:pPr>
        <w:spacing w:after="0" w:line="9" w:lineRule="exact"/>
        <w:rPr>
          <w:rFonts w:ascii="Arial" w:cs="Arial" w:eastAsia="Arial" w:hAnsi="Arial"/>
          <w:sz w:val="16"/>
          <w:szCs w:val="16"/>
          <w:i w:val="1"/>
          <w:iCs w:val="1"/>
          <w:color w:val="auto"/>
        </w:rPr>
      </w:pPr>
    </w:p>
    <w:p>
      <w:pPr>
        <w:ind w:left="340" w:right="28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transfer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adjustment/risk transfer;</w:t>
      </w: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the Company’s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right="52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manage its operations, including maintaining and creating adequate internal systems and controls relating to authorizations, approvals, provider payments, and the overall success of its care management initiatives;</w:t>
      </w: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consummate and realize benefits from acquisitions or divestitures;</w:t>
      </w:r>
    </w:p>
    <w:p>
      <w:pPr>
        <w:spacing w:after="0" w:line="9" w:lineRule="exact"/>
        <w:rPr>
          <w:rFonts w:ascii="Arial" w:cs="Arial" w:eastAsia="Arial" w:hAnsi="Arial"/>
          <w:sz w:val="18"/>
          <w:szCs w:val="18"/>
          <w:i w:val="1"/>
          <w:iCs w:val="1"/>
          <w:color w:val="auto"/>
        </w:rPr>
      </w:pPr>
    </w:p>
    <w:p>
      <w:pPr>
        <w:ind w:left="340" w:right="26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receipt of adequate premium rates to support increasing pharmacy costs, including costs associated with specialty drugs and costs resulting from formulary changes that allow the option of higher-priced non-generic drugs;</w:t>
      </w:r>
    </w:p>
    <w:p>
      <w:pPr>
        <w:ind w:left="340" w:right="4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26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estimates of amounts owed for such cost expenditure floors, administrative cost and profit ceilings, premium stabilization programs, profit-sharing arrangements, and risk adjustment provisions;</w:t>
      </w:r>
    </w:p>
    <w:p>
      <w:pPr>
        <w:ind w:left="340" w:right="12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160" w:hanging="332"/>
        <w:spacing w:after="0" w:line="262"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the Company’s ability to recognize revenue amounts associated therewith;</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27" w:lineRule="exact"/>
        <w:rPr>
          <w:rFonts w:ascii="Arial" w:cs="Arial" w:eastAsia="Arial" w:hAnsi="Arial"/>
          <w:sz w:val="16"/>
          <w:szCs w:val="16"/>
          <w:i w:val="1"/>
          <w:iCs w:val="1"/>
          <w:color w:val="auto"/>
        </w:rPr>
      </w:pPr>
    </w:p>
    <w:p>
      <w:pPr>
        <w:ind w:left="340" w:right="16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the Company’s health plan in Puerto Rico, including the resolution of the Puerto Rico debt crisis, payment of all amounts due under the Company’s Medicaid contract, the effect of the PROMESA law, the impact of Hurricane Maria and the Company’s efforts to better manage the health care costs of its Puerto Rico health plan;</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and renewal of the Company’s duals demonstration programs in California, Illinois, Michigan, Ohio, South Carolina, and Texas;</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the Company’s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6"/>
          <w:szCs w:val="16"/>
          <w:i w:val="1"/>
          <w:iCs w:val="1"/>
          <w:color w:val="auto"/>
        </w:rPr>
      </w:pPr>
    </w:p>
    <w:p>
      <w:pPr>
        <w:ind w:left="340" w:right="46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w:t>
      </w: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the Company’s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the Company’s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the Company’s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6"/>
          <w:szCs w:val="16"/>
          <w:i w:val="1"/>
          <w:iCs w:val="1"/>
          <w:color w:val="auto"/>
        </w:rPr>
      </w:pPr>
    </w:p>
    <w:p>
      <w:pPr>
        <w:ind w:left="340" w:right="76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the Company’s California, Ohio, Texas, and Washington health plans;</w:t>
      </w:r>
    </w:p>
    <w:p>
      <w:pPr>
        <w:ind w:left="340" w:right="30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availability of adequate financing on acceptable terms to fund and capitalize the Company’s expansion and growth, repay the Company’s outstanding indebtedness at maturity and meet its liquidity needs, including the interest expense and other costs associated with such financing;</w:t>
      </w:r>
    </w:p>
    <w:p>
      <w:pPr>
        <w:spacing w:after="0" w:line="1" w:lineRule="exact"/>
        <w:rPr>
          <w:rFonts w:ascii="Arial" w:cs="Arial" w:eastAsia="Arial" w:hAnsi="Arial"/>
          <w:sz w:val="16"/>
          <w:szCs w:val="16"/>
          <w:i w:val="1"/>
          <w:iCs w:val="1"/>
          <w:color w:val="auto"/>
        </w:rPr>
      </w:pPr>
    </w:p>
    <w:p>
      <w:pPr>
        <w:ind w:left="340" w:right="240" w:hanging="332"/>
        <w:spacing w:after="0" w:line="250"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the Company’s failure to comply with the financial or other covenants in its credit agreements or the indentures governing its outstanding notes;</w:t>
      </w: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the Company’s funds on hand to pay the amounts due upon conversion or maturity of its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Readers should refer to the section entitled “Risk Factors” in each of our Annual Report on Form 10-K for the year ended December 31, 2017, and this Quarterly Report on Form 10-Q,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ABOUT MOLINA HEALTHCARE</w:t>
      </w:r>
    </w:p>
    <w:p>
      <w:pPr>
        <w:spacing w:after="0" w:line="262" w:lineRule="exact"/>
        <w:rPr>
          <w:sz w:val="20"/>
          <w:szCs w:val="20"/>
          <w:color w:val="auto"/>
        </w:rPr>
      </w:pPr>
    </w:p>
    <w:p>
      <w:pPr>
        <w:ind w:right="80"/>
        <w:spacing w:after="0" w:line="261" w:lineRule="auto"/>
        <w:rPr>
          <w:sz w:val="20"/>
          <w:szCs w:val="20"/>
          <w:color w:val="auto"/>
        </w:rPr>
      </w:pPr>
      <w:r>
        <w:rPr>
          <w:rFonts w:ascii="Arial" w:cs="Arial" w:eastAsia="Arial" w:hAnsi="Arial"/>
          <w:sz w:val="25"/>
          <w:szCs w:val="25"/>
          <w:color w:val="828282"/>
        </w:rPr>
        <w:t>OUR MISSION IS TO PROVIDE QUALITY HEALTHCARE TO PEOPLE RECEIVING GOVERNMENT ASSISTANCE.</w:t>
      </w:r>
    </w:p>
    <w:p>
      <w:pPr>
        <w:spacing w:after="0" w:line="18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These segments consist of our Health Plans segment, which constitutes the vast majority of our operations; our Molina Medicaid Solutions segment; and our Other segment.</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34</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KEY PERFORMANCE INDICATORS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79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198"/>
        </w:trPr>
        <w:tc>
          <w:tcPr>
            <w:tcW w:w="7980" w:type="dxa"/>
            <w:vAlign w:val="bottom"/>
          </w:tcPr>
          <w:p>
            <w:pPr>
              <w:spacing w:after="0"/>
              <w:rPr>
                <w:sz w:val="17"/>
                <w:szCs w:val="17"/>
                <w:color w:val="auto"/>
              </w:rPr>
            </w:pPr>
          </w:p>
        </w:tc>
        <w:tc>
          <w:tcPr>
            <w:tcW w:w="3440" w:type="dxa"/>
            <w:vAlign w:val="bottom"/>
            <w:gridSpan w:val="4"/>
          </w:tcPr>
          <w:p>
            <w:pPr>
              <w:jc w:val="center"/>
              <w:spacing w:after="0"/>
              <w:rPr>
                <w:sz w:val="20"/>
                <w:szCs w:val="20"/>
                <w:color w:val="auto"/>
              </w:rPr>
            </w:pPr>
            <w:r>
              <w:rPr>
                <w:rFonts w:ascii="Arial" w:cs="Arial" w:eastAsia="Arial" w:hAnsi="Arial"/>
                <w:sz w:val="16"/>
                <w:szCs w:val="16"/>
                <w:b w:val="1"/>
                <w:bCs w:val="1"/>
                <w:i w:val="1"/>
                <w:iCs w:val="1"/>
                <w:color w:val="auto"/>
              </w:rPr>
              <w:t>(Dollar amounts in millions, except per-</w:t>
            </w:r>
          </w:p>
        </w:tc>
      </w:tr>
      <w:tr>
        <w:trPr>
          <w:trHeight w:val="224"/>
        </w:trPr>
        <w:tc>
          <w:tcPr>
            <w:tcW w:w="7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rPr>
              <w:t>share amounts)</w:t>
            </w:r>
          </w:p>
        </w:tc>
        <w:tc>
          <w:tcPr>
            <w:tcW w:w="1060" w:type="dxa"/>
            <w:vAlign w:val="bottom"/>
          </w:tcPr>
          <w:p>
            <w:pPr>
              <w:spacing w:after="0"/>
              <w:rPr>
                <w:sz w:val="19"/>
                <w:szCs w:val="19"/>
                <w:color w:val="auto"/>
              </w:rPr>
            </w:pP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r>
      <w:tr>
        <w:trPr>
          <w:trHeight w:val="284"/>
        </w:trPr>
        <w:tc>
          <w:tcPr>
            <w:tcW w:w="7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4,323</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4,648</w:t>
            </w: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601</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537</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222</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w:t>
            </w:r>
          </w:p>
        </w:tc>
      </w:tr>
      <w:tr>
        <w:trPr>
          <w:trHeight w:val="284"/>
        </w:trPr>
        <w:tc>
          <w:tcPr>
            <w:tcW w:w="7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Net income per diluted share</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1.64</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1.37</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65.2</w:t>
            </w: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56.2</w:t>
            </w:r>
          </w:p>
        </w:tc>
      </w:tr>
      <w:tr>
        <w:trPr>
          <w:trHeight w:val="284"/>
        </w:trPr>
        <w:tc>
          <w:tcPr>
            <w:tcW w:w="7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income per diluted share*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1.71</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EBITDA*</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246</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203</w:t>
            </w:r>
          </w:p>
        </w:tc>
      </w:tr>
      <w:tr>
        <w:trPr>
          <w:trHeight w:val="293"/>
        </w:trPr>
        <w:tc>
          <w:tcPr>
            <w:tcW w:w="7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980" w:type="dxa"/>
            <w:vAlign w:val="bottom"/>
            <w:shd w:val="clear" w:color="auto" w:fill="CCEEFF"/>
          </w:tcPr>
          <w:p>
            <w:pPr>
              <w:ind w:left="40"/>
              <w:spacing w:after="0" w:line="280" w:lineRule="exact"/>
              <w:rPr>
                <w:sz w:val="20"/>
                <w:szCs w:val="20"/>
                <w:color w:val="auto"/>
              </w:rPr>
            </w:pPr>
            <w:r>
              <w:rPr>
                <w:rFonts w:ascii="Arial" w:cs="Arial" w:eastAsia="Arial" w:hAnsi="Arial"/>
                <w:sz w:val="32"/>
                <w:szCs w:val="32"/>
                <w:color w:val="auto"/>
                <w:vertAlign w:val="subscript"/>
              </w:rPr>
              <w:t>MCR</w:t>
            </w:r>
            <w:r>
              <w:rPr>
                <w:rFonts w:ascii="Arial" w:cs="Arial" w:eastAsia="Arial" w:hAnsi="Arial"/>
                <w:sz w:val="11"/>
                <w:szCs w:val="11"/>
                <w:color w:val="auto"/>
              </w:rPr>
              <w:t xml:space="preserve"> (2)</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(3)</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Effective income tax expense rate</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40.3%</w:t>
            </w:r>
          </w:p>
        </w:tc>
        <w:tc>
          <w:tcPr>
            <w:tcW w:w="6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profit margin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Medical margin is equal to premium revenue minus medical care costs.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Net profit margin represents net income as a percentage of total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use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 These non-GAAP financial measures should be considered as supplements to, and not as substitutes for or superior to, GAAP measures.</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further information regarding non-GAAP measures in the “Supplemental Information” section of this MD&amp;A, including the reconciliations to U.S. GAAP. Non-GAAP financial measures referred to in this report are designated with an asterisk (*).</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CONSOLIDATED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for the first quarter of 2018 was $107 million, compared with net income of $77 million for the first quarter of 2017. Net income per diluted share was $1.64 for the first quarter of 2018 compared with $1.37 reported for the first quarter of 2017. Improved performance in the first quarter of 2018 resulted from improved medical and administrative cost efficiency.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for the first quarter of 2018 included a net benefit of $35 million ($0.38 per diluted share) for certain items significant to our financial performance described below. Net income for the first quarter of 2017 included a benefit of $75 million ($0.84 per diluted share) for the receipt of an acquisition termination fee.</w:t>
      </w:r>
    </w:p>
    <w:p>
      <w:pPr>
        <w:spacing w:after="0" w:line="20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Premium revenue decreased approximately 7% when compared with the first quarter of 2017. Lower premium revenue was driven by a decrease in Marketplace membership of over 50%, partially offset by Marketplace premium rate increases. As previously disclosed, we have increased premium rates and reduced our Marketplace presence effective January 1, 2018, as part of our overall program to improve profitability.</w:t>
      </w:r>
    </w:p>
    <w:p>
      <w:pPr>
        <w:spacing w:after="0" w:line="204"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Overall, the medical care ratio decreased to 86.1%, from 88.4% in the first quarter of 2017. Excluding the benefit of the 2017 CSR reimbursement, the consolidated medical care ratio was 87.7% in the first quarter of 2018.</w:t>
      </w:r>
    </w:p>
    <w:p>
      <w:pPr>
        <w:spacing w:after="0" w:line="196" w:lineRule="exact"/>
        <w:rPr>
          <w:sz w:val="20"/>
          <w:szCs w:val="20"/>
          <w:color w:val="auto"/>
        </w:rPr>
      </w:pPr>
    </w:p>
    <w:p>
      <w:pPr>
        <w:ind w:left="340" w:right="26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medical care ratio for the Medicaid and Medicare programs combined decreased to 90.0%, from 91.0% in the first quarter of 2017. Improved performance at the Florida, Illinois, Ohio and South Carolina health plans, partially offset by a decline in performance at the Washington health plan, drove the decrease in the consolidated medical care ratio for Medicaid and Medicare combined. The 2017 CSR reimbursement had no impact on the medical care ratio for the Company’s Medicaid and Medicare programs.</w:t>
      </w:r>
    </w:p>
    <w:p>
      <w:pPr>
        <w:spacing w:after="0" w:line="204"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medical care ratio for the Marketplace operations was 50.6% for the first quarter of 2018. Excluding the impact of the 2017 Marketplace CSR adjustment noted below, the medical care ratio for Marketplace operations decreased to approximately 67%, from 75% in the first quarter of 2017. Improved profitability in Marketplace operations is primarily the result of premium increases implemented effective January 1, 2018.</w:t>
      </w:r>
    </w:p>
    <w:p>
      <w:pPr>
        <w:spacing w:after="0" w:line="204"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The general and administrative (G&amp;A) expense ratio decreased to 7.6%, from 8.9% in the first quarter of 2017. Excluding the impact of Marketplace broker commissions and exchange fees in both periods, the G&amp;A ratio decreased to 6.8%, from 7.5% in the first quarter of 2017.This improvement is primarily the result of our efforts to reduce G&amp;A costs under the 2017 Restructuring Plan.</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recognized a benefit of approximately $70 million ($0.83 per diluted share) in reduced medical expense related to 2017 dates of service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Approximately $25 million ($0.30 per diluted share) of restructuring costs were recognized in the first quarter, primarily relating to the write-off of prepaid and other assets in connection with the continuing re-design of core processes.</w:t>
      </w:r>
    </w:p>
    <w:p>
      <w:pPr>
        <w:spacing w:after="0" w:line="1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Approximately $10 million ($0.15 per diluted share) loss on debt extinguishment was recognized in the first quarter in connection with the issuance of 1.8 million common shares in exchange for $97 million principal amount of our 1.625% Convertible Notes.</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table below summarizes the impact of certain items significant to our financial performance in the periods presented. The individual items presented below increase (decrease) income before income tax expense.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Diluted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Per Diluted</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4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10"/>
          </w:tcPr>
          <w:p>
            <w:pPr>
              <w:jc w:val="center"/>
              <w:ind w:right="99"/>
              <w:spacing w:after="0"/>
              <w:rPr>
                <w:sz w:val="20"/>
                <w:szCs w:val="20"/>
                <w:color w:val="auto"/>
              </w:rPr>
            </w:pPr>
            <w:r>
              <w:rPr>
                <w:rFonts w:ascii="Arial" w:cs="Arial" w:eastAsia="Arial" w:hAnsi="Arial"/>
                <w:sz w:val="16"/>
                <w:szCs w:val="16"/>
                <w:b w:val="1"/>
                <w:bCs w:val="1"/>
                <w:i w:val="1"/>
                <w:iCs w:val="1"/>
                <w:color w:val="auto"/>
              </w:rPr>
              <w:t>(In millions, except per diluted share amounts)</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Reimbursement of Marketplace CSR subsidies, for 2017 dates of service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Fee received for terminated acquisition</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40" w:right="18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for certain items that are not deductible for tax purposes, per diluted share amounts are generally calculated at statutory income tax rates of 22% and 37% for the first quarters of 2018 and 2017,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36</w:t>
      </w:r>
    </w:p>
    <w:p>
      <w:pPr>
        <w:sectPr>
          <w:pgSz w:w="11900" w:h="16838" w:orient="portrait"/>
          <w:cols w:equalWidth="0" w:num="1">
            <w:col w:w="11420"/>
          </w:cols>
          <w:pgMar w:left="240" w:top="14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TRENDS AND UNCERTAINTIES</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828282"/>
        </w:rPr>
        <w:t>MEDICAID CONTRACT RE-PROCUREMENT</w:t>
      </w:r>
    </w:p>
    <w:p>
      <w:pPr>
        <w:spacing w:after="0" w:line="11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illustrates Health Plans segment Medicaid contracts scheduled for re-procurement in the near term. While we have been notified of the Medicaid regulators’ intention to re-procure the contracts, the anticipated award dates and effective dates are management’s current best estimates; such dates are subject to change. Premium revenue is stated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Premium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3"/>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340"/>
              <w:spacing w:after="0"/>
              <w:rPr>
                <w:sz w:val="20"/>
                <w:szCs w:val="20"/>
                <w:color w:val="auto"/>
              </w:rPr>
            </w:pPr>
            <w:r>
              <w:rPr>
                <w:rFonts w:ascii="Arial" w:cs="Arial" w:eastAsia="Arial" w:hAnsi="Arial"/>
                <w:sz w:val="16"/>
                <w:szCs w:val="16"/>
                <w:b w:val="1"/>
                <w:bCs w:val="1"/>
                <w:color w:val="auto"/>
              </w:rPr>
              <w:t>Membership as of</w:t>
            </w: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Anticipated</w:t>
            </w:r>
          </w:p>
        </w:tc>
      </w:tr>
      <w:tr>
        <w:trPr>
          <w:trHeight w:val="26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State Health Plan</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Medicaid Program(s)</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Award Date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Effective Date</w:t>
            </w:r>
          </w:p>
        </w:tc>
      </w:tr>
      <w:tr>
        <w:trPr>
          <w:trHeight w:val="257"/>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Puerto Rico</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All</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10/1/2018</w:t>
            </w:r>
          </w:p>
        </w:tc>
      </w:tr>
      <w:tr>
        <w:trPr>
          <w:trHeight w:val="260"/>
        </w:trPr>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rPr>
              <w:t>ABD, MMP</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99,000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Q3 2018</w:t>
            </w:r>
          </w:p>
        </w:tc>
        <w:tc>
          <w:tcPr>
            <w:tcW w:w="1480" w:type="dxa"/>
            <w:vAlign w:val="bottom"/>
          </w:tcPr>
          <w:p>
            <w:pPr>
              <w:jc w:val="center"/>
              <w:spacing w:after="0"/>
              <w:rPr>
                <w:sz w:val="20"/>
                <w:szCs w:val="20"/>
                <w:color w:val="auto"/>
              </w:rPr>
            </w:pPr>
            <w:r>
              <w:rPr>
                <w:rFonts w:ascii="Arial" w:cs="Arial" w:eastAsia="Arial" w:hAnsi="Arial"/>
                <w:sz w:val="16"/>
                <w:szCs w:val="16"/>
                <w:color w:val="auto"/>
              </w:rPr>
              <w:t>1/1/2020</w:t>
            </w:r>
          </w:p>
        </w:tc>
      </w:tr>
      <w:tr>
        <w:trPr>
          <w:trHeight w:val="280"/>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TANF, CHIP</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Q1 2019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1/1/2020</w:t>
            </w:r>
          </w:p>
        </w:tc>
      </w:tr>
      <w:tr>
        <w:trPr>
          <w:trHeight w:val="269"/>
        </w:trPr>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 xml:space="preserve">Washington </w:t>
            </w:r>
            <w:r>
              <w:rPr>
                <w:rFonts w:ascii="Arial" w:cs="Arial" w:eastAsia="Arial" w:hAnsi="Arial"/>
                <w:sz w:val="21"/>
                <w:szCs w:val="21"/>
                <w:color w:val="auto"/>
                <w:w w:val="96"/>
                <w:vertAlign w:val="superscript"/>
              </w:rPr>
              <w:t>(1)</w:t>
            </w: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All in 7 of 9 regions</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606,000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Q2 2018</w:t>
            </w:r>
          </w:p>
        </w:tc>
        <w:tc>
          <w:tcPr>
            <w:tcW w:w="1480" w:type="dxa"/>
            <w:vAlign w:val="bottom"/>
          </w:tcPr>
          <w:p>
            <w:pPr>
              <w:jc w:val="center"/>
              <w:spacing w:after="0"/>
              <w:rPr>
                <w:sz w:val="20"/>
                <w:szCs w:val="20"/>
                <w:color w:val="auto"/>
              </w:rPr>
            </w:pPr>
            <w:r>
              <w:rPr>
                <w:rFonts w:ascii="Arial" w:cs="Arial" w:eastAsia="Arial" w:hAnsi="Arial"/>
                <w:sz w:val="16"/>
                <w:szCs w:val="16"/>
                <w:color w:val="auto"/>
              </w:rPr>
              <w:t>1/1/2019</w:t>
            </w:r>
          </w:p>
        </w:tc>
      </w:tr>
    </w:tbl>
    <w:p>
      <w:pPr>
        <w:spacing w:after="0"/>
        <w:rPr>
          <w:sz w:val="20"/>
          <w:szCs w:val="20"/>
          <w:color w:val="auto"/>
        </w:rPr>
      </w:pPr>
      <w:r>
        <w:rPr>
          <w:rFonts w:ascii="Arial" w:cs="Arial" w:eastAsia="Arial" w:hAnsi="Arial"/>
          <w:sz w:val="18"/>
          <w:szCs w:val="18"/>
          <w:color w:val="auto"/>
        </w:rPr>
        <w:t>__________________</w:t>
      </w:r>
    </w:p>
    <w:p>
      <w:pPr>
        <w:spacing w:after="0" w:line="228" w:lineRule="exact"/>
        <w:rPr>
          <w:sz w:val="20"/>
          <w:szCs w:val="20"/>
          <w:color w:val="auto"/>
        </w:rPr>
      </w:pPr>
    </w:p>
    <w:p>
      <w:pPr>
        <w:ind w:left="340" w:right="6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re-procurement information presented for the Washington health plan includes all Medicaid membership in the following regions: Northeast, Northwest, Central and Southeast, Pierce County, King County, Olympic Peninsula, and West-Central. Five of the seven largest regions’ contracts that are awarded will be effective January 1, 2019. The remaining two will be effective on January 1, 2020.</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Florida and New Mexico RFP Update</w:t>
      </w:r>
      <w:r>
        <w:rPr>
          <w:rFonts w:ascii="Arial" w:cs="Arial" w:eastAsia="Arial" w:hAnsi="Arial"/>
          <w:sz w:val="18"/>
          <w:szCs w:val="18"/>
          <w:color w:val="auto"/>
        </w:rPr>
        <w:t>. In our Form 10-K Annual Report for 2017, we reported that we were selected by Florida’s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agency to negotiate for a tentative award of a 2019 Medicaid contract in Region 11 of the state. We were selected for no other regions besides Region 11. On April 24, 2018, the state notified us that we were not awarded a contract for Region 11. While we protest the Florida RFP awards, we continue to evaluate our options for 2019 participation in the Florida Marketplace, which business has shown signs of improvement. Also in our Form 10-K for 2017, we reported that we were notified by the New Mexico Medicaid agency that we had not been selected for a tentative award of a 2019 Medicaid contract. We are pursuing a protest of the New Mexico RFP awards. Without a reversal of the RFP awards, our New Mexico health plan will be in run-off. Subject to future developments, we will continue to evaluate our business profile in New Mexico for 2019.</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828282"/>
        </w:rPr>
        <w:t>PRESSURES ON MEDICAID FUNDING</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Currently, there are a number of different legislative proposals being considered, some of which would involve significantly reduced federal spending on the Medicaid program, and constitute a fundamental change in the federal role in health care. These proposals include elements such as the following:</w:t>
      </w:r>
    </w:p>
    <w:p>
      <w:pPr>
        <w:spacing w:after="0" w:line="202" w:lineRule="exact"/>
        <w:rPr>
          <w:sz w:val="20"/>
          <w:szCs w:val="20"/>
          <w:color w:val="auto"/>
        </w:rPr>
      </w:pPr>
    </w:p>
    <w:p>
      <w:pPr>
        <w:ind w:left="660" w:right="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Ending the entitlement nature of Medicaid by capping future increases in federal health spending for these programs, and shifting more of the risk for health costs in the future to states and consumers;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 (a “per capita cap”);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Medicaid beneficiaries to 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Numerous other potential changes and reforms.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828282"/>
        </w:rPr>
        <w:t>ACA AND THE MARKETPLACE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future of the Affordable Care Act (ACA) and its underlying programs, including the Marketplace, are subject to substantial uncertainty.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2018, we have:</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Exited the Utah and Wisconsin Marketplaces;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the scope of our Washington state participation;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premiums averaging 58%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Mitigated our exposure to uncertainties relating to cost share reduction (CSR) funding and reconciliation;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broker commissions to market rates.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REPORTABLE SEGMENTS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derive our revenues primarily from health insurance premiums, and our primary customers are state Medicaid agencies and the federal government.</w:t>
      </w:r>
    </w:p>
    <w:p>
      <w:pPr>
        <w:spacing w:after="0" w:line="88"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One of the key metrics used to assess the performance of our most significant segment, the Health Plans segment, is the medical care ratio, (“MCR”). The medical care ratio represents medical care costs as a percentage of premium revenue. Therefore, the underlying gross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Gross margin for our Health Plans segment is referred to as “Medical margin,” and for our Molina Medicaid Solutions and Other segments, as “Service margin.” The service margin is equal to service revenue minus cost of service revenue. Management’s discussion and analysis of the changes in the individual components of medical margin and service margin follows.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SEGMENT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8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0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8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 xml:space="preserve">Molina Medicaid Solutions segment service margin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segment service margin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311"/>
        </w:trPr>
        <w:tc>
          <w:tcPr>
            <w:tcW w:w="80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0" w:type="dxa"/>
            <w:vAlign w:val="bottom"/>
          </w:tcPr>
          <w:p>
            <w:pPr>
              <w:ind w:left="40"/>
              <w:spacing w:after="0"/>
              <w:rPr>
                <w:sz w:val="20"/>
                <w:szCs w:val="20"/>
                <w:color w:val="auto"/>
              </w:rPr>
            </w:pPr>
            <w:r>
              <w:rPr>
                <w:rFonts w:ascii="Arial" w:cs="Arial" w:eastAsia="Arial" w:hAnsi="Arial"/>
                <w:sz w:val="16"/>
                <w:szCs w:val="16"/>
                <w:color w:val="auto"/>
              </w:rPr>
              <w:t>Health Plans segment medical care ratio</w:t>
            </w:r>
          </w:p>
        </w:tc>
        <w:tc>
          <w:tcPr>
            <w:tcW w:w="10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premium revenue minus medical care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service revenue minus cost of service revenue.</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HEALTH PLANS</w:t>
      </w:r>
    </w:p>
    <w:p>
      <w:pPr>
        <w:spacing w:after="0" w:line="2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March 31, 2018, these health plans served approximately 4.1 million members eligible for Medicaid, Medicare, and other government-sponsored health care programs for low-income families and individuals. This membership includes Affordable Care Act Marketplace (Marketplace) members, most of whom receive government premium subsidies.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BUSINESS OVERVIEW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Membership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740" w:type="dxa"/>
            <w:vAlign w:val="bottom"/>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 Program</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00"/>
              <w:spacing w:after="0"/>
              <w:rPr>
                <w:sz w:val="20"/>
                <w:szCs w:val="20"/>
                <w:color w:val="auto"/>
              </w:rPr>
            </w:pPr>
            <w:r>
              <w:rPr>
                <w:rFonts w:ascii="Arial" w:cs="Arial" w:eastAsia="Arial" w:hAnsi="Arial"/>
                <w:sz w:val="16"/>
                <w:szCs w:val="16"/>
                <w:color w:val="auto"/>
              </w:rPr>
              <w:t>(CHIP)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2,435,000</w:t>
            </w:r>
          </w:p>
        </w:tc>
        <w:tc>
          <w:tcPr>
            <w:tcW w:w="12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2,457,000</w:t>
            </w: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2,548,000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662,000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684,000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Aged, Blind or Disabled (ABD)</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411,000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401,000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Medicaid</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3,508,000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3,537,000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3,633,000</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Medicare-Medicaid Plan (MMP)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57,000</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Medicare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Non-Marketplace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3,608,000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3,638,000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3,731,000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453,000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815,000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1,035,000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4,061,000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4,766,000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656,000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746,000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765,000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711,000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Idaho </w:t>
            </w:r>
            <w:r>
              <w:rPr>
                <w:rFonts w:ascii="Arial" w:cs="Arial" w:eastAsia="Arial" w:hAnsi="Arial"/>
                <w:sz w:val="21"/>
                <w:szCs w:val="21"/>
                <w:color w:val="auto"/>
                <w:vertAlign w:val="superscript"/>
              </w:rPr>
              <w:t>(2)</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151,000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388,000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398,000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417,000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New York</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32,000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316,000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314,000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326,000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476,000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430,000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493,000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779,000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777,000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785,000</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62,000</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118,000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137,000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4,061,000</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4,766,000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  MMP members receive both Medicaid and Medicare coverage from Molina Healthcare.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  Idaho operations commenced January 1, 2018.</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by Program</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amount of the premiums paid to our health plans may vary substantially between states and among various government programs. The following table sets forth the ranges of premiums paid to our state health plans by program on a per member per month (PMPM) basis, for the three months ended March 31, 2018. The “Consolidated” column represents the weighted-average amounts for our total membership by program.</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PMPM Premiums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2"/>
                <w:szCs w:val="22"/>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MMP – Integrated</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3,200.00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2,140.00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1,190.00</w:t>
            </w:r>
          </w:p>
        </w:tc>
      </w:tr>
      <w:tr>
        <w:trPr>
          <w:trHeight w:val="251"/>
        </w:trPr>
        <w:tc>
          <w:tcPr>
            <w:tcW w:w="6740" w:type="dxa"/>
            <w:vAlign w:val="bottom"/>
          </w:tcPr>
          <w:p>
            <w:pPr>
              <w:ind w:left="40"/>
              <w:spacing w:after="0"/>
              <w:rPr>
                <w:sz w:val="20"/>
                <w:szCs w:val="20"/>
                <w:color w:val="auto"/>
              </w:rPr>
            </w:pPr>
            <w:r>
              <w:rPr>
                <w:rFonts w:ascii="Arial" w:cs="Arial" w:eastAsia="Arial" w:hAnsi="Arial"/>
                <w:sz w:val="16"/>
                <w:szCs w:val="16"/>
                <w:color w:val="auto"/>
              </w:rPr>
              <w:t>Marketplace</w:t>
            </w:r>
          </w:p>
        </w:tc>
        <w:tc>
          <w:tcPr>
            <w:tcW w:w="3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310.00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first quarter of 2018, premium revenue decreased approximately 7%, or $325 million, when compared with the first quarter of 2017. Member months declined 13%, partially offset by a revenue PMPM increase of 6%. Medical margin increased 12% in the first quarter of 2018 compared with the first quarter of 2017.</w:t>
      </w:r>
    </w:p>
    <w:p>
      <w:pPr>
        <w:spacing w:after="0" w:line="202"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Medical care costs as a percent of premium revenue decreased to 86.1% in the first quarter of 2018 from 88.4% in the first quarter of 2017. This improvement reflects improved performance and favorable medical cost trends that were partially offset by a lower mix of Marketplace revenue. On balance, inpatient and physician utilization as well as unit costs improved in the quarter, while pharmacy costs ran higher than expected. This netted to an overall favorable medical cost trend despite the higher pharmacy costs and approximately $18 million of above normal influenza-related expenses.</w:t>
      </w:r>
    </w:p>
    <w:p>
      <w:pPr>
        <w:spacing w:after="0" w:line="20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have also started to see some of the early benefits from contracting efforts that we undertook last year in Florida, South Carolina and Texas, where we eliminated or renegotiated high cost provider contracts for in-patient, and ancillary services.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PROGRAM</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program for the periods indicated (PMPM amounts are in whole dollars; member months and other dollar amounts are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6"/>
                <w:szCs w:val="16"/>
                <w:b w:val="1"/>
                <w:bCs w:val="1"/>
                <w:color w:val="auto"/>
              </w:rPr>
              <w:t>Three Months Ended March 31, 2018</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9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4"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171.56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372.75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317.46</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1,014.23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934.55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316.69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287.56</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2,137.88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1,824.21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1,188.97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994.81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1,718.61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1,457.75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47"/>
        </w:trPr>
        <w:tc>
          <w:tcPr>
            <w:tcW w:w="1940" w:type="dxa"/>
            <w:vAlign w:val="bottom"/>
          </w:tcPr>
          <w:p>
            <w:pPr>
              <w:ind w:left="40"/>
              <w:spacing w:after="0"/>
              <w:rPr>
                <w:sz w:val="20"/>
                <w:szCs w:val="20"/>
                <w:color w:val="auto"/>
              </w:rPr>
            </w:pPr>
            <w:r>
              <w:rPr>
                <w:rFonts w:ascii="Arial" w:cs="Arial" w:eastAsia="Arial" w:hAnsi="Arial"/>
                <w:sz w:val="16"/>
                <w:szCs w:val="16"/>
                <w:color w:val="auto"/>
              </w:rPr>
              <w:t>Non-Marketplace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319.48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312.87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158.40</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0"/>
        </w:trPr>
        <w:tc>
          <w:tcPr>
            <w:tcW w:w="194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4,323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350.25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301.55</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6"/>
                <w:szCs w:val="16"/>
                <w:b w:val="1"/>
                <w:bCs w:val="1"/>
                <w:color w:val="auto"/>
              </w:rPr>
              <w:t>Three Months Ended March 31, 2017</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9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380"/>
              <w:spacing w:after="0" w:line="234"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182.69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170.02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398.70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336.51</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1,006.84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951.32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312.98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286.35</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2,088.96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1,859.41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1,068.20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902.67</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1,640.63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1,439.20</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7"/>
        </w:trPr>
        <w:tc>
          <w:tcPr>
            <w:tcW w:w="1940" w:type="dxa"/>
            <w:vAlign w:val="bottom"/>
          </w:tcPr>
          <w:p>
            <w:pPr>
              <w:ind w:left="40"/>
              <w:spacing w:after="0"/>
              <w:rPr>
                <w:sz w:val="20"/>
                <w:szCs w:val="20"/>
                <w:color w:val="auto"/>
              </w:rPr>
            </w:pPr>
            <w:r>
              <w:rPr>
                <w:rFonts w:ascii="Arial" w:cs="Arial" w:eastAsia="Arial" w:hAnsi="Arial"/>
                <w:sz w:val="16"/>
                <w:szCs w:val="16"/>
                <w:color w:val="auto"/>
              </w:rPr>
              <w:t>Non-Marketplace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347.84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316.62</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196.72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4,648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330.39</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4,111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292.20</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3810</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20955</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3810</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20955</wp:posOffset>
            </wp:positionV>
            <wp:extent cx="797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3810</wp:posOffset>
            </wp:positionV>
            <wp:extent cx="165544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TANF and CHIP</w:t>
      </w:r>
      <w:r>
        <w:rPr>
          <w:rFonts w:ascii="Arial" w:cs="Arial" w:eastAsia="Arial" w:hAnsi="Arial"/>
          <w:sz w:val="18"/>
          <w:szCs w:val="18"/>
          <w:color w:val="auto"/>
        </w:rPr>
        <w:t>. The medical care ratio for TANF and CHIP was 92.7% in the first quarter of 2018, a slight improvement from 93.1%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However, the current quarter results modestly underperformed our expectations due to high acuity inpatient cases in Washington, and higher behavioral health costs in New Mexico.</w:t>
      </w:r>
    </w:p>
    <w:p>
      <w:pPr>
        <w:spacing w:after="0" w:line="17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The medical care ratio for Medicaid Expansion was 85.2% in the first quarter of 2018, compared with 84.4%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This increase was primarily due to the premium reduction we received in California last July. Medicaid Expansion has performed well because rate adequacy has trended favorably, and membership is concentrated in our higher performing health plans, particularly, California, Michigan and Ohio.</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ABD</w:t>
      </w:r>
      <w:r>
        <w:rPr>
          <w:rFonts w:ascii="Arial" w:cs="Arial" w:eastAsia="Arial" w:hAnsi="Arial"/>
          <w:sz w:val="18"/>
          <w:szCs w:val="18"/>
          <w:color w:val="auto"/>
        </w:rPr>
        <w:t>. The medical care ratio for ABD was 92.1% in the first quarter of 2018, compared with 94.5% in the first quarter of 2017. The year over</w:t>
      </w:r>
      <w:r>
        <w:rPr>
          <w:rFonts w:ascii="Arial" w:cs="Arial" w:eastAsia="Arial" w:hAnsi="Arial"/>
          <w:sz w:val="18"/>
          <w:szCs w:val="18"/>
          <w:i w:val="1"/>
          <w:iCs w:val="1"/>
          <w:color w:val="auto"/>
        </w:rPr>
        <w:t xml:space="preserve"> </w:t>
      </w:r>
      <w:r>
        <w:rPr>
          <w:rFonts w:ascii="Arial" w:cs="Arial" w:eastAsia="Arial" w:hAnsi="Arial"/>
          <w:sz w:val="18"/>
          <w:szCs w:val="18"/>
          <w:color w:val="auto"/>
        </w:rPr>
        <w:t>year improvement can be attributed to our continued advancement on key, high acuity management fundamentals.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MMP</w:t>
      </w:r>
    </w:p>
    <w:p>
      <w:pPr>
        <w:spacing w:after="0" w:line="247" w:lineRule="exact"/>
        <w:rPr>
          <w:sz w:val="20"/>
          <w:szCs w:val="20"/>
          <w:color w:val="auto"/>
        </w:rPr>
      </w:pPr>
    </w:p>
    <w:p>
      <w:pPr>
        <w:ind w:right="220"/>
        <w:spacing w:after="0" w:line="216" w:lineRule="exact"/>
        <w:rPr>
          <w:sz w:val="20"/>
          <w:szCs w:val="20"/>
          <w:color w:val="auto"/>
        </w:rPr>
      </w:pPr>
      <w:r>
        <w:rPr>
          <w:rFonts w:ascii="Arial" w:cs="Arial" w:eastAsia="Arial" w:hAnsi="Arial"/>
          <w:sz w:val="18"/>
          <w:szCs w:val="18"/>
          <w:color w:val="auto"/>
        </w:rPr>
        <w:t>The medical care ratio for the combined Medicare programs decreased to 84.8% in the first quarter of 2018, from 87.7% in the first quarter of 2017. Much of this improvement relates to the recognition of additional MMP at</w:t>
      </w:r>
      <w:r>
        <w:rPr>
          <w:rFonts w:ascii="MS PGothic" w:cs="MS PGothic" w:eastAsia="MS PGothic" w:hAnsi="MS PGothic"/>
          <w:sz w:val="18"/>
          <w:szCs w:val="18"/>
          <w:color w:val="auto"/>
        </w:rPr>
        <w:t>‑</w:t>
      </w:r>
      <w:r>
        <w:rPr>
          <w:rFonts w:ascii="Arial" w:cs="Arial" w:eastAsia="Arial" w:hAnsi="Arial"/>
          <w:sz w:val="18"/>
          <w:szCs w:val="18"/>
          <w:color w:val="auto"/>
        </w:rPr>
        <w:t>risk revenue for dates of service in 2016 and 2017, because at</w:t>
      </w:r>
      <w:r>
        <w:rPr>
          <w:rFonts w:ascii="MS PGothic" w:cs="MS PGothic" w:eastAsia="MS PGothic" w:hAnsi="MS PGothic"/>
          <w:sz w:val="18"/>
          <w:szCs w:val="18"/>
          <w:color w:val="auto"/>
        </w:rPr>
        <w:t>‑</w:t>
      </w:r>
      <w:r>
        <w:rPr>
          <w:rFonts w:ascii="Arial" w:cs="Arial" w:eastAsia="Arial" w:hAnsi="Arial"/>
          <w:sz w:val="18"/>
          <w:szCs w:val="18"/>
          <w:color w:val="auto"/>
        </w:rPr>
        <w:t>risk revenue is often recognized long after medical services have been provided. The Medicare business also benefited from favorable medical care trends and improved medical management of inpatient utilization for this population. Our Michigan health plan, which serves about 25% of our Medicare membership, has shown particular improvement in the first quarter of 2018. Accurate and complete risk score documentation and effective management of chronic and high acuity conditions are critical to the successful management of this program for the rest of the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Lower Marketplace premium revenue was driven by a decrease in membership of over 50%, partially offset by premium rate increases. As previously disclosed, we have increased premium rates and reduced our Marketplace presence effective January 1, 2018, as part of our overall program to improve profitability.</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medical care ratio for the Marketplace program decreased to 50.6% in the first quarter of 2018, from 75.0% in the first quarter of 2017. The lower medical care ratio in 2018 was the result of the premium increases implemented effective January 2018 and the 2017 Marketplace CSR adjustment described in “Consolidated Results” above. Absent the 2017 Marketplace CSR adjustment, the medical care ratio for our Marketplace program would have been approximately 67% in the first quarter of 2018.</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STATE</w:t>
      </w:r>
    </w:p>
    <w:p>
      <w:pPr>
        <w:spacing w:after="0" w:line="1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medical care ratio, and medical margin by state health plan for the periods indicated (PMPM amounts are in whole dollars; member months and other dollar amounts are in millions):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Non-Marketplace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272.61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351.58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317.41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Idaho </w:t>
            </w:r>
            <w:r>
              <w:rPr>
                <w:rFonts w:ascii="Arial" w:cs="Arial" w:eastAsia="Arial" w:hAnsi="Arial"/>
                <w:sz w:val="21"/>
                <w:szCs w:val="21"/>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977.00</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298.17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257.50</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296.19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466.17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453.30</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468.91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396.76</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576.60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481.26</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181.39</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297.52</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809.90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747.53</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339.71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284.61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252.41</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183.97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154.53</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3,893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354.94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3,504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319.48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2017</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308.57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339.30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328.45</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Idaho </w:t>
            </w:r>
            <w:r>
              <w:rPr>
                <w:rFonts w:ascii="Arial" w:cs="Arial" w:eastAsia="Arial" w:hAnsi="Arial"/>
                <w:sz w:val="21"/>
                <w:szCs w:val="21"/>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310.08</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327.41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284.58</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422.87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410.75</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409.63</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527.79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469.04</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168.18</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317.07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293.34</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751.86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696.43</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Utah</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313.20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253.75</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241.77</w:t>
            </w:r>
          </w:p>
        </w:tc>
        <w:tc>
          <w:tcPr>
            <w:tcW w:w="130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Wisconsin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135.91</w:t>
            </w:r>
          </w:p>
        </w:tc>
        <w:tc>
          <w:tcPr>
            <w:tcW w:w="1300" w:type="dxa"/>
            <w:vAlign w:val="bottom"/>
            <w:gridSpan w:val="2"/>
          </w:tcPr>
          <w:p>
            <w:pPr>
              <w:jc w:val="right"/>
              <w:ind w:right="103"/>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3,897</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347.84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3,547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316.62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jc w:val="right"/>
              <w:spacing w:after="0"/>
              <w:rPr>
                <w:sz w:val="20"/>
                <w:szCs w:val="20"/>
                <w:color w:val="auto"/>
              </w:rPr>
            </w:pPr>
            <w:r>
              <w:rPr>
                <w:rFonts w:ascii="Arial" w:cs="Arial" w:eastAsia="Arial" w:hAnsi="Arial"/>
                <w:sz w:val="16"/>
                <w:szCs w:val="16"/>
                <w:color w:val="auto"/>
              </w:rPr>
              <w:t>______________________</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Idaho operations commenced January 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medical care costs include primarily medically related administrative costs at the parent company.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2018 Form 10-Q | 42</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1"/>
          </w:tcPr>
          <w:p>
            <w:pPr>
              <w:jc w:val="right"/>
              <w:ind w:right="599"/>
              <w:spacing w:after="0"/>
              <w:rPr>
                <w:sz w:val="20"/>
                <w:szCs w:val="20"/>
                <w:color w:val="auto"/>
              </w:rPr>
            </w:pPr>
            <w:r>
              <w:rPr>
                <w:rFonts w:ascii="Arial" w:cs="Arial" w:eastAsia="Arial" w:hAnsi="Arial"/>
                <w:sz w:val="16"/>
                <w:szCs w:val="16"/>
                <w:b w:val="1"/>
                <w:bCs w:val="1"/>
                <w:color w:val="auto"/>
              </w:rPr>
              <w:t>Three Months Ended March 31, 2018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Member</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8"/>
          </w:tcPr>
          <w:p>
            <w:pPr>
              <w:ind w:left="300"/>
              <w:spacing w:after="0"/>
              <w:rPr>
                <w:sz w:val="20"/>
                <w:szCs w:val="20"/>
                <w:color w:val="auto"/>
              </w:rPr>
            </w:pPr>
            <w:r>
              <w:rPr>
                <w:rFonts w:ascii="Arial" w:cs="Arial" w:eastAsia="Arial" w:hAnsi="Arial"/>
                <w:sz w:val="16"/>
                <w:szCs w:val="16"/>
                <w:b w:val="1"/>
                <w:bCs w:val="1"/>
                <w:color w:val="auto"/>
              </w:rPr>
              <w:t>Premium Revenue</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60" w:type="dxa"/>
            <w:vAlign w:val="bottom"/>
            <w:gridSpan w:val="6"/>
          </w:tcPr>
          <w:p>
            <w:pPr>
              <w:ind w:left="260"/>
              <w:spacing w:after="0"/>
              <w:rPr>
                <w:sz w:val="20"/>
                <w:szCs w:val="20"/>
                <w:color w:val="auto"/>
              </w:rPr>
            </w:pPr>
            <w:r>
              <w:rPr>
                <w:rFonts w:ascii="Arial" w:cs="Arial" w:eastAsia="Arial" w:hAnsi="Arial"/>
                <w:sz w:val="16"/>
                <w:szCs w:val="16"/>
                <w:b w:val="1"/>
                <w:bCs w:val="1"/>
                <w:color w:val="auto"/>
              </w:rPr>
              <w:t>Medical Care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Medical</w:t>
            </w:r>
          </w:p>
        </w:tc>
        <w:tc>
          <w:tcPr>
            <w:tcW w:w="0" w:type="dxa"/>
            <w:vAlign w:val="bottom"/>
          </w:tcPr>
          <w:p>
            <w:pPr>
              <w:spacing w:after="0"/>
              <w:rPr>
                <w:sz w:val="1"/>
                <w:szCs w:val="1"/>
                <w:color w:val="auto"/>
              </w:rPr>
            </w:pPr>
          </w:p>
        </w:tc>
      </w:tr>
      <w:tr>
        <w:trPr>
          <w:trHeight w:val="36"/>
        </w:trPr>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PMPM</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253.93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162.64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64.0 %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271.12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(95.60)</w:t>
            </w: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224.11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144.16</w:t>
            </w:r>
          </w:p>
        </w:tc>
        <w:tc>
          <w:tcPr>
            <w:tcW w:w="1360" w:type="dxa"/>
            <w:vAlign w:val="bottom"/>
            <w:gridSpan w:val="4"/>
            <w:shd w:val="clear" w:color="auto" w:fill="CCEEFF"/>
          </w:tcPr>
          <w:p>
            <w:pPr>
              <w:jc w:val="right"/>
              <w:ind w:right="159"/>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438.67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246.50</w:t>
            </w:r>
          </w:p>
        </w:tc>
        <w:tc>
          <w:tcPr>
            <w:tcW w:w="1360" w:type="dxa"/>
            <w:vAlign w:val="bottom"/>
            <w:gridSpan w:val="4"/>
          </w:tcPr>
          <w:p>
            <w:pPr>
              <w:jc w:val="right"/>
              <w:ind w:right="15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403.44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262.87</w:t>
            </w:r>
          </w:p>
        </w:tc>
        <w:tc>
          <w:tcPr>
            <w:tcW w:w="1360" w:type="dxa"/>
            <w:vAlign w:val="bottom"/>
            <w:gridSpan w:val="4"/>
            <w:shd w:val="clear" w:color="auto" w:fill="CCEEFF"/>
          </w:tcPr>
          <w:p>
            <w:pPr>
              <w:jc w:val="right"/>
              <w:ind w:right="15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308.74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196.89</w:t>
            </w:r>
          </w:p>
        </w:tc>
        <w:tc>
          <w:tcPr>
            <w:tcW w:w="1360" w:type="dxa"/>
            <w:vAlign w:val="bottom"/>
            <w:gridSpan w:val="4"/>
          </w:tcPr>
          <w:p>
            <w:pPr>
              <w:jc w:val="right"/>
              <w:ind w:right="15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Utah </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NM</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NM</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4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526.36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405.40</w:t>
            </w:r>
          </w:p>
        </w:tc>
        <w:tc>
          <w:tcPr>
            <w:tcW w:w="1360" w:type="dxa"/>
            <w:vAlign w:val="bottom"/>
            <w:gridSpan w:val="4"/>
          </w:tcPr>
          <w:p>
            <w:pPr>
              <w:jc w:val="right"/>
              <w:ind w:right="15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Wisconsin </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NM</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NM</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c>
          <w:tcPr>
            <w:tcW w:w="360" w:type="dxa"/>
            <w:vAlign w:val="bottom"/>
            <w:tcBorders>
              <w:top w:val="single" w:sz="8" w:color="CCEEFF"/>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312.87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158.40</w:t>
            </w:r>
          </w:p>
        </w:tc>
        <w:tc>
          <w:tcPr>
            <w:tcW w:w="136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50.6 %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1"/>
          </w:tcPr>
          <w:p>
            <w:pPr>
              <w:jc w:val="right"/>
              <w:ind w:right="579"/>
              <w:spacing w:after="0"/>
              <w:rPr>
                <w:sz w:val="20"/>
                <w:szCs w:val="20"/>
                <w:color w:val="auto"/>
              </w:rPr>
            </w:pPr>
            <w:r>
              <w:rPr>
                <w:rFonts w:ascii="Arial" w:cs="Arial" w:eastAsia="Arial" w:hAnsi="Arial"/>
                <w:sz w:val="16"/>
                <w:szCs w:val="16"/>
                <w:b w:val="1"/>
                <w:bCs w:val="1"/>
                <w:color w:val="auto"/>
              </w:rPr>
              <w:t>Three Months Ended March 31, 2017</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Member</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8"/>
          </w:tcPr>
          <w:p>
            <w:pPr>
              <w:ind w:left="360"/>
              <w:spacing w:after="0"/>
              <w:rPr>
                <w:sz w:val="20"/>
                <w:szCs w:val="20"/>
                <w:color w:val="auto"/>
              </w:rPr>
            </w:pPr>
            <w:r>
              <w:rPr>
                <w:rFonts w:ascii="Arial" w:cs="Arial" w:eastAsia="Arial" w:hAnsi="Arial"/>
                <w:sz w:val="16"/>
                <w:szCs w:val="16"/>
                <w:b w:val="1"/>
                <w:bCs w:val="1"/>
                <w:color w:val="auto"/>
              </w:rPr>
              <w:t>Premium Revenue</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60" w:type="dxa"/>
            <w:vAlign w:val="bottom"/>
            <w:gridSpan w:val="6"/>
          </w:tcPr>
          <w:p>
            <w:pPr>
              <w:jc w:val="right"/>
              <w:ind w:right="459"/>
              <w:spacing w:after="0"/>
              <w:rPr>
                <w:sz w:val="20"/>
                <w:szCs w:val="20"/>
                <w:color w:val="auto"/>
              </w:rPr>
            </w:pPr>
            <w:r>
              <w:rPr>
                <w:rFonts w:ascii="Arial" w:cs="Arial" w:eastAsia="Arial" w:hAnsi="Arial"/>
                <w:sz w:val="16"/>
                <w:szCs w:val="16"/>
                <w:b w:val="1"/>
                <w:bCs w:val="1"/>
                <w:color w:val="auto"/>
              </w:rPr>
              <w:t>Medical Care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8"/>
              </w:rPr>
              <w:t>Medical</w:t>
            </w:r>
          </w:p>
        </w:tc>
        <w:tc>
          <w:tcPr>
            <w:tcW w:w="0" w:type="dxa"/>
            <w:vAlign w:val="bottom"/>
          </w:tcPr>
          <w:p>
            <w:pPr>
              <w:spacing w:after="0"/>
              <w:rPr>
                <w:sz w:val="1"/>
                <w:szCs w:val="1"/>
                <w:color w:val="auto"/>
              </w:rPr>
            </w:pPr>
          </w:p>
        </w:tc>
      </w:tr>
      <w:tr>
        <w:trPr>
          <w:trHeight w:val="36"/>
        </w:trPr>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Months</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PMPM</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PMPM</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65.53</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205.91</w:t>
            </w: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95.92</w:t>
            </w:r>
          </w:p>
        </w:tc>
        <w:tc>
          <w:tcPr>
            <w:tcW w:w="13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232.50</w:t>
            </w: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w:t>
            </w:r>
          </w:p>
        </w:tc>
        <w:tc>
          <w:tcPr>
            <w:tcW w:w="13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222.40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161.02</w:t>
            </w: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Utah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228.20</w:t>
            </w:r>
          </w:p>
        </w:tc>
        <w:tc>
          <w:tcPr>
            <w:tcW w:w="13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112.7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302.51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365.94</w:t>
            </w: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Wisconsin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389.80</w:t>
            </w:r>
          </w:p>
        </w:tc>
        <w:tc>
          <w:tcPr>
            <w:tcW w:w="13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262.16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196.72</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8890</wp:posOffset>
            </wp:positionV>
            <wp:extent cx="720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8890</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8890</wp:posOffset>
            </wp:positionV>
            <wp:extent cx="1732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28" w:lineRule="exact"/>
        <w:rPr>
          <w:sz w:val="20"/>
          <w:szCs w:val="20"/>
          <w:color w:val="auto"/>
        </w:rPr>
      </w:pPr>
    </w:p>
    <w:p>
      <w:pPr>
        <w:ind w:left="340" w:right="2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terminated Marketplace operations at our Utah and Wisconsin health plans effective January 1, 2018, so the ratios for 2018 periods are not meaningful for those health plans.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221.03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340.91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262.65</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Idaho</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960.33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977.00</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257.50</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331.08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288.68</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463.33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431.94</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468.91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396.76</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565.62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467.41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181.39</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297.52</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463.37</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246.78</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265.20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257.25</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172.09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110.91</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3"/>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4,323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350.25</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3,722</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301.55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2017</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286.92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269.33</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Idaho</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276.58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310.08</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316.80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273.36</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392.72</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441.19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409.63</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516.00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457.14</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168.18</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293.34</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428.55</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Utah</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242.57</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274.74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248.40</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Wisconsin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311.30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264.53</w:t>
            </w:r>
          </w:p>
        </w:tc>
        <w:tc>
          <w:tcPr>
            <w:tcW w:w="1320" w:type="dxa"/>
            <w:vAlign w:val="bottom"/>
            <w:gridSpan w:val="2"/>
          </w:tcPr>
          <w:p>
            <w:pPr>
              <w:jc w:val="right"/>
              <w:ind w:right="103"/>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3"/>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4,648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330.39</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4,111</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292.20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COSTS BY TYPE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consolidated medical care costs by category for the periods indicated (dollars in millions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PMPM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64"/>
        </w:trPr>
        <w:tc>
          <w:tcPr>
            <w:tcW w:w="1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222.38</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219.32</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47.25</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43.76</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15.0</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25.28</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23.06</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301.55</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292.20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828282"/>
        </w:rPr>
        <w:t>PREMIUM TAXES</w:t>
      </w:r>
    </w:p>
    <w:p>
      <w:pPr>
        <w:spacing w:after="0" w:line="22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2.3% in both the first quarter of 2018 and 2017.</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2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Health insurer fees reimbursed amounted to $61 million, and health insurer fees amounted to $75 million, in the first quarter of 2018. Approximately $10 million of revenue related to the reimbursement of Medicaid health insurer fees from New Mexico, New York and Puerto Rico was not recognized in the first quarter of 2018 because as of March 31, 2018 we had not received adequate documentation of the intent to reimburse such fees.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reimbursed or expensed in 2017 due to the HIF moratorium under the Consolidated Appropriations Act of 2016.</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MOLINA MEDICAID SOLUTIONS</w:t>
      </w:r>
    </w:p>
    <w:p>
      <w:pPr>
        <w:spacing w:after="0" w:line="25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Molina Medicaid Solutions segment provides support to state government agencies’ administration of their Medicaid programs, including business processing, information technology development and administrative services.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Molina Medicaid Solutions segment service margin for the three months ended March 31, 2018 and 2017, was insignificant.</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OTHER</w:t>
      </w:r>
    </w:p>
    <w:p>
      <w:pPr>
        <w:spacing w:after="0" w:line="25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Other segment service margin for the three months ended March 31, 2018 and 2017, was insignificant.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OTHER CONSOLIDATED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EXPENSES</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G&amp;A ratio decreased to 7.6% for the first quarter of 2018, compared with 8.9% for the first quarter of 2017. Refer to discussion above, in “Consolidated Results.”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DEPRECIATION AND AMORTIZATION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as a percentage of total revenue, was 0.6% and 0.8% in the first quarter of 2018 and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RESTRUCTURING AND SEPARATION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10, “Restructuring and Separation Costs.”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expense was $33 million for the first quarter of 2018, compared with $26 million for the first quarter of 2017. Interest expense includes non-cash interest expense relating primarily to the amortization of the discount on convertible senior notes, which amounted to $7 million and $8 million in the first quarter of 2018 and 2017, respectively. See further discussion in Notes to Consolidated Financial Statements, Note 7, “Debt.”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the first quarter of 2018, we recorded other expenses of $10 million due to the loss on debt extinguishment resulting from our 1.625% Exchange. The 1.625% Exchange is described further in Notes to Consolidated Financial Statements, Note 7, “Debt.” In the first quarter of 2017, we received a $75 million fee in connection with a terminated Medicare acquisition transaction.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provision for income taxes was recorded at an effective rate of 40.3% for the first quarter of 2018, compared with 41.6% for the first quarter of 2017. The effective tax rate for 2018 is lower than 2017 as a result of the reduction in the federal statutory rate from 35% to 21% under the TCJA, combined with higher non-deductible expenses in 2018 primarily related to the non-deductible HIF. The HIF was not applicable in 2017 due to the 2017 HIF moratorium.</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LIQUIDITY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828282"/>
        </w:rPr>
        <w:t>INTRODUCTION</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 majority of the assets held by our Health Plans segment regulated subsidiaries is in the form of cash, cash equivalents, and investments. 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that conform to applicable state laws and regulations.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investments are classified as current assets, except for our held-to-maturity restricted investments, which are classified as non-current assets, and which are not included in the totals below. Our held-to-maturity restricted investments are invested principally in certificates of deposit and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291465</wp:posOffset>
            </wp:positionV>
            <wp:extent cx="7212330" cy="3078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Investment income increased to $19 million for the three months ended March 31, 2018, compared with $10 million for the three months ended March 31, 2017, primarily due to the increase in invested assets.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MARKET RISK</w:t>
      </w:r>
    </w:p>
    <w:p>
      <w:pPr>
        <w:spacing w:after="0" w:line="22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March 31, 2018, the fair value of our fixed income investments would decrease by approximately $21 million. Declines in interest rates over time will reduce our investment income.</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96"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As of March 31, 2018, $300 million was outstanding under the Credit Facility.</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condensed schedule of cash flows to facilitate our discussion of liquidity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22"/>
                <w:szCs w:val="22"/>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482</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0"/>
        </w:trPr>
        <w:tc>
          <w:tcPr>
            <w:tcW w:w="6740" w:type="dxa"/>
            <w:vAlign w:val="bottom"/>
          </w:tcPr>
          <w:p>
            <w:pPr>
              <w:ind w:left="18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Net cash provided by operating activities decreased $325 million in the first quarter of 2018, compared with the first quarter of 2017, primarily due to the following:</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Prepaid expenses and other current assets, and accounts payable and accrued liabilities. </w:t>
      </w:r>
      <w:r>
        <w:rPr>
          <w:rFonts w:ascii="Arial" w:cs="Arial" w:eastAsia="Arial" w:hAnsi="Arial"/>
          <w:sz w:val="18"/>
          <w:szCs w:val="18"/>
          <w:color w:val="auto"/>
        </w:rPr>
        <w:t>Each of these accounts increased significantly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2018, primarily due to amounts recorded in connection with the reinstatement of the HIF in 2018; such increase in accounts payable and accrued liabilities was largely offset by the increase in prepaid expenses and other current assets.</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In the first quarter of 2018, the change in medical claims and benefits payable decreased cash flows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by $160 million, primarily due to a decline in reserves as a result of reduced Marketplace membership in Florida, Utah and Wisconsin.</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Amounts due government agencies. </w:t>
      </w:r>
      <w:r>
        <w:rPr>
          <w:rFonts w:ascii="Arial" w:cs="Arial" w:eastAsia="Arial" w:hAnsi="Arial"/>
          <w:sz w:val="18"/>
          <w:szCs w:val="18"/>
          <w:color w:val="auto"/>
        </w:rPr>
        <w:t>While amounts due government agencies increased $172 million in the first quarter of 2018,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less than the increase experienced in the first quarter of 2017, resulting in a year over year decrease of cash flows from operations of $201 million. This decrease was primarily due to a decline in the amounts accrued for Marketplace CSR subsidies year over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Investing activities were a source of cash of $145 million in the first quarter of 2018, and a use of cash of $337 million in the first quarter of 2017, primarily due to reduced purchases of investments and higher proceeds from sales and maturities of investments, in the first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cash used in financing activities increased $ 4 million in the first quarter of 2018 compared with the first quarter of 2017, due to cash paid for financing transaction fees, including the 1.625% Exchange and our Bridge Credit Agreement, in the first quarter of 2018.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believe that our cash resources, our borrowing capacity available under our Bridge Credit Agreement and Credit Facility as discussed further below in “Future Sources and Uses of Liquidity—Sources,” and internally generated funds will be sufficient to support operations, regulatory requirements, debt repayment obligations and capital expenditures for at least the next 12 months.</w:t>
      </w:r>
    </w:p>
    <w:p>
      <w:pPr>
        <w:spacing w:after="0" w:line="20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On a consolidated basis, at March 31, 2018, our working capital was $2,191 million, compared with $1,954 million at December 31, 2017. At March 31, 2018, our cash and investments amounted to $6,372 million, compared with $6,000 million at December 31, 2017.</w:t>
      </w:r>
    </w:p>
    <w:p>
      <w:pPr>
        <w:spacing w:after="0" w:line="196"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Because of the statutory restrictions that inhibit the ability of our health plans to transfer net assets to us, the amount of retained earnings readily available to pay dividends to our stockholders is generally limited to cash, cash equivalents and investments (excluding restricted investments) held by the parent company—Molina Healthcare, Inc. Such cash, cash equivalents and investments (excluding restricted investments) amounted to $706 million and $696 million as of March 31, 2018 and December 31, 2017, respectively.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48</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Debt Ratings. </w:t>
      </w:r>
      <w:r>
        <w:rPr>
          <w:rFonts w:ascii="Arial" w:cs="Arial" w:eastAsia="Arial" w:hAnsi="Arial"/>
          <w:sz w:val="18"/>
          <w:szCs w:val="18"/>
          <w:color w:val="auto"/>
        </w:rPr>
        <w:t>Our 5.375% Notes are rated “BB-” by Standard &amp; Poor’s, and “B3” by Moody’s Investor Service, Inc. A significant downgrade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ratings could adversely affect our borrowing capacity and increase our borrowing costs.</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Our Credit Facility contains customary non-financial and financial covenants, including a net leverage ratio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coverage ratio. Such ratios, presented below, are computed as defined by the terms of the Credit Facility.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ind w:left="200"/>
              <w:spacing w:after="0"/>
              <w:rPr>
                <w:sz w:val="20"/>
                <w:szCs w:val="20"/>
                <w:color w:val="auto"/>
              </w:rPr>
            </w:pPr>
            <w:r>
              <w:rPr>
                <w:rFonts w:ascii="Arial" w:cs="Arial" w:eastAsia="Arial" w:hAnsi="Arial"/>
                <w:sz w:val="16"/>
                <w:szCs w:val="16"/>
                <w:b w:val="1"/>
                <w:bCs w:val="1"/>
                <w:color w:val="auto"/>
              </w:rPr>
              <w:t>As of March 31,</w:t>
            </w:r>
          </w:p>
        </w:tc>
      </w:tr>
      <w:tr>
        <w:trPr>
          <w:trHeight w:val="228"/>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Credit Facility Financial Covenants</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2018</w:t>
            </w:r>
          </w:p>
        </w:tc>
      </w:tr>
      <w:tr>
        <w:trPr>
          <w:trHeight w:val="324"/>
        </w:trPr>
        <w:tc>
          <w:tcPr>
            <w:tcW w:w="556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260" w:type="dxa"/>
            <w:vAlign w:val="bottom"/>
            <w:gridSpan w:val="2"/>
            <w:shd w:val="clear" w:color="auto" w:fill="CCEEFF"/>
          </w:tcPr>
          <w:p>
            <w:pPr>
              <w:jc w:val="center"/>
              <w:ind w:left="237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2.7x</w:t>
            </w:r>
          </w:p>
        </w:tc>
      </w:tr>
      <w:tr>
        <w:trPr>
          <w:trHeight w:val="251"/>
        </w:trPr>
        <w:tc>
          <w:tcPr>
            <w:tcW w:w="556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6.9x</w:t>
            </w:r>
          </w:p>
        </w:tc>
      </w:tr>
    </w:tbl>
    <w:p>
      <w:pPr>
        <w:spacing w:after="0" w:line="2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the indentures governing the 4.875% Notes, the 5.375% Notes, the 1.125% Convertible Notes and the 1.625% Convertible Notes contain cross-default provisions that are triggered upon default by us or any of our subsidiaries on any indebtedness in excess of the amount specified in the applicable indenture. As of March 31, 2018, we were in compliance with all covenants under the Credit Facility and the indentures governing our outstanding notes.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In the first quarter of 2018, we did not receive dividends from our subsidiaries. In the first quarter of 2017, we received $50 million in dividends from our regulated health plan subsidiaries. See further discussion in Notes to Consolidated Financial Statements, Note 12, “Commitments and Contingencies—Regulatory Capital Requirements and Dividend Restrictions.”</w:t>
      </w:r>
    </w:p>
    <w:p>
      <w:pPr>
        <w:spacing w:after="0" w:line="18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Borrowing Capacity and Debt Financing. </w:t>
      </w:r>
      <w:r>
        <w:rPr>
          <w:rFonts w:ascii="Arial" w:cs="Arial" w:eastAsia="Arial" w:hAnsi="Arial"/>
          <w:sz w:val="18"/>
          <w:szCs w:val="18"/>
          <w:color w:val="auto"/>
        </w:rPr>
        <w:t>We have available borrowing capacity of $550 million under our Bridge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is subject to the use of proceeds restrictions set forth in the Bridge Credit Agreement), and $194 million under our Credit Facility. We have adequate cash held in a restricted account available to repay the $64 million principal balance outstanding under our 1.625% Convertible Notes, if noteholders exercise their conversion or put rights in 2018. See further discussion in the Notes to Consolidated Financial Statements, Note 7, “Debt.”</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2017 Restructuring Plan. </w:t>
      </w:r>
      <w:r>
        <w:rPr>
          <w:rFonts w:ascii="Arial" w:cs="Arial" w:eastAsia="Arial" w:hAnsi="Arial"/>
          <w:sz w:val="18"/>
          <w:szCs w:val="18"/>
          <w:color w:val="auto"/>
        </w:rPr>
        <w:t>As previously disclosed, we estimate that the 2017 Restructuring Plan will reduce annualized run-rate expenses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$300 million to $ 400 million when completed by the end of 2018. This estimate includes run-rate savings of approximately $10 million relating to actions taken in the first quarter of 2018. We expect the cost savings to reduce both “General and administrative expenses” and “Medical care costs” reported in our consolidated statements of income. The following table illustrates our estimates of run-rate savings associated with the 2017 Restructuring Plan, which have not changed significantly since our estimate at December 31, 2017. Such savings will be offset, through the end of 2018, by the costs referred to below in “</w:t>
      </w:r>
      <w:r>
        <w:rPr>
          <w:rFonts w:ascii="Arial" w:cs="Arial" w:eastAsia="Arial" w:hAnsi="Arial"/>
          <w:sz w:val="18"/>
          <w:szCs w:val="18"/>
          <w:i w:val="1"/>
          <w:iCs w:val="1"/>
          <w:color w:val="auto"/>
        </w:rPr>
        <w:t>Uses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 Savings Expected to be Realized by Reportable Segment</w:t>
            </w: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Health Plans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Other</w:t>
            </w:r>
          </w:p>
        </w:tc>
        <w:tc>
          <w:tcPr>
            <w:tcW w:w="1480" w:type="dxa"/>
            <w:vAlign w:val="bottom"/>
          </w:tcPr>
          <w:p>
            <w:pPr>
              <w:ind w:left="560"/>
              <w:spacing w:after="0"/>
              <w:rPr>
                <w:sz w:val="20"/>
                <w:szCs w:val="20"/>
                <w:color w:val="auto"/>
              </w:rPr>
            </w:pPr>
            <w:r>
              <w:rPr>
                <w:rFonts w:ascii="Arial" w:cs="Arial" w:eastAsia="Arial" w:hAnsi="Arial"/>
                <w:sz w:val="16"/>
                <w:szCs w:val="16"/>
                <w:b w:val="1"/>
                <w:bCs w:val="1"/>
                <w:color w:val="auto"/>
              </w:rPr>
              <w:t>Total</w:t>
            </w:r>
          </w:p>
        </w:tc>
      </w:tr>
      <w:tr>
        <w:trPr>
          <w:trHeight w:val="260"/>
        </w:trPr>
        <w:tc>
          <w:tcPr>
            <w:tcW w:w="6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Borders>
              <w:top w:val="single" w:sz="8" w:color="auto"/>
            </w:tcBorders>
          </w:tcPr>
          <w:p>
            <w:pPr>
              <w:spacing w:after="0"/>
              <w:rPr>
                <w:sz w:val="22"/>
                <w:szCs w:val="22"/>
                <w:color w:val="auto"/>
              </w:rPr>
            </w:pPr>
          </w:p>
        </w:tc>
      </w:tr>
      <w:tr>
        <w:trPr>
          <w:trHeight w:val="28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 to $152</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$157 to $217</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Medical care costs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 to $166</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$143 to $183</w:t>
            </w:r>
          </w:p>
        </w:tc>
      </w:tr>
      <w:tr>
        <w:trPr>
          <w:trHeight w:val="237"/>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 to $231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 to $169</w:t>
            </w:r>
          </w:p>
        </w:tc>
        <w:tc>
          <w:tcPr>
            <w:tcW w:w="1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$300 to $400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Refer to Notes to Consolidated Financial Statements, Note 7, “Debt,” for a detailed discussion of our Credit Facility.</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We have a shelf registration statement on file with the Securities and Exchange Commission to register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amount of any combination of debt or equity securities in one or more offerings. Specific information regarding the terms and securities being offered will be provided at the time of an offering. Proceeds from future offerings are expected to be used for general corporate purposes, including, but not limited to, the repayment of debt, investments in or extensions of credit to our subsidiaries and the financing of possible acquisitions or business expansion.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In the first quarter of 2018 and 2017, the parent company contributed capital of</w:t>
      </w:r>
      <w:r>
        <w:rPr>
          <w:rFonts w:ascii="Arial" w:cs="Arial" w:eastAsia="Arial" w:hAnsi="Arial"/>
          <w:sz w:val="18"/>
          <w:szCs w:val="18"/>
          <w:i w:val="1"/>
          <w:iCs w:val="1"/>
          <w:color w:val="auto"/>
        </w:rPr>
        <w:t xml:space="preserve"> </w:t>
      </w:r>
      <w:r>
        <w:rPr>
          <w:rFonts w:ascii="Arial" w:cs="Arial" w:eastAsia="Arial" w:hAnsi="Arial"/>
          <w:sz w:val="18"/>
          <w:szCs w:val="18"/>
          <w:color w:val="auto"/>
        </w:rPr>
        <w:t>$80 million and $106 million, respectively, to our health plans subsidiaries to satisfy statutory net worth requirements. For more information on our regulatory capital requirements and dividend restrictions, refer to Notes to Consolidated Financial Statements, Note 12, “Commitments and Contingencies.”</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2017 Restructuring Plan</w:t>
      </w:r>
      <w:r>
        <w:rPr>
          <w:rFonts w:ascii="Arial" w:cs="Arial" w:eastAsia="Arial" w:hAnsi="Arial"/>
          <w:sz w:val="18"/>
          <w:szCs w:val="18"/>
          <w:color w:val="auto"/>
        </w:rPr>
        <w:t>. Refer to Notes to Consolidated Financial Statements, Note 10, “Restructuring and Separation Costs,” for a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update of the 2017 Restructuring Plan, including costs incurred in the first quarter of 2018.</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Refer to the Notes to Consolidated Financial Statements, Note 7, “Debt,” for a detailed discussion of our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The principal amounts of both our 1.625% Convertible Notes and our 1.125% Convertible Notes are convertible into cash prior to their respective maturity dates under certain circumstances, one of which relates to the closing price of our common stock over a specified period. We refer to this conversion trigger as the stock price trigger.</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stock price trigger for the 1.625% Notes is $75.51 per share. The 1.625% Convertible Notes did not meet this trigger in the quarter ended March 31, 2018. However, on contractually specified dates beginning in August 2018, holders of the 1.625% Convertible Notes may require us to repurchase some or all of such notes. In addition, beginning May 15, 2018 until August 19, 2018, holders may convert some or all of the 1.625% Convertible Notes. Because of these put and conversion features, the 1.625% Convertible Notes are reported in current portion of long-term debt as of March 31, 2018. As described above, we have adequate cash held in a restricted account available to repay the 1.625% Convertible Notes, if noteholders exercise their conversion or put rights in 2018.</w:t>
      </w:r>
    </w:p>
    <w:p>
      <w:pPr>
        <w:spacing w:after="0" w:line="20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stock price trigger for the 1.125% Notes is $ 53.00 per share. The 1.125% Convertible Notes met this trigger in the quarter ended March 31, 2018, and are convertible to cash through at least June 30, 2018. Because the 1.125% Convertible Notes may be converted into cash within 12 months, the $550 million carrying amount is reported in current portion of long-term debt as of March 31, 2018. For economic reasons related to the trading market for our 1.125% Convertible Notes, we believe that the amount of the notes that may be converted over the next twelve months, if any, will not be significant. However, if the trading market for our 1.125% Convertible Notes becomes closed or restricted due to market turmoil or other reasons such that the notes cannot be traded, or if the trading price of our 1.125% Notes, which normally trade at a marginal premium to the underlying composite stock-and-interest economic value, no longer includes that marginal premium, holders of our</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1.125% Convertible Notes may elect to convert the notes to cash. If conversion requests are received, the settlement of the notes must be paid in cash pursuant to the terms of the relevant indentures. We have sufficient available cash, combined with borrowing capacity available under our Credit Facility and Bridge Credit Agreement, to fund conversions should they occur.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CONTRACTUAL OBLIGATIONS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2017, was disclosed in our 2017 Annual Report on Form 10-K. Other than the Bridge Credit Agreement we executed in January 2018, and the 1.625% Exchange in March 2018, there were no material changes to this previously filed information outside the ordinary course of business during the three months ended March 31, 2018. Refer to Notes to Consolidated Financial Statements, Note 7, “Debt,” for further information on the transactions noted above.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50</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CRITICAL ACCOUNTING ESTIMATES</w:t>
      </w:r>
    </w:p>
    <w:p>
      <w:pPr>
        <w:spacing w:after="0" w:line="2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78" w:lineRule="exact"/>
        <w:rPr>
          <w:sz w:val="20"/>
          <w:szCs w:val="20"/>
          <w:color w:val="auto"/>
        </w:rPr>
      </w:pPr>
    </w:p>
    <w:p>
      <w:pPr>
        <w:ind w:left="660" w:right="8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Health Plans segment medical claims and benefits payable</w:t>
      </w:r>
      <w:r>
        <w:rPr>
          <w:rFonts w:ascii="Arial" w:cs="Arial" w:eastAsia="Arial" w:hAnsi="Arial"/>
          <w:sz w:val="18"/>
          <w:szCs w:val="18"/>
          <w:color w:val="auto"/>
        </w:rPr>
        <w:t>. Refer to Notes to Consolidated Financial Statements, Note 6,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three months ended March 31, 2018, to our disclosure reported in “Critical Accounting Estimates” in our Annual Report on Form 10-K for the year ended December 31, 2017.</w:t>
      </w:r>
    </w:p>
    <w:p>
      <w:pPr>
        <w:spacing w:after="0" w:line="182" w:lineRule="exact"/>
        <w:rPr>
          <w:rFonts w:ascii="Arial" w:cs="Arial" w:eastAsia="Arial" w:hAnsi="Arial"/>
          <w:sz w:val="18"/>
          <w:szCs w:val="18"/>
          <w:color w:val="auto"/>
        </w:rPr>
      </w:pPr>
    </w:p>
    <w:p>
      <w:pPr>
        <w:jc w:val="both"/>
        <w:ind w:left="660" w:right="60" w:hanging="328"/>
        <w:spacing w:after="0" w:line="26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Health Plans segment contractual provisions that may adjust or limit revenue or profit</w:t>
      </w:r>
      <w:r>
        <w:rPr>
          <w:rFonts w:ascii="Arial" w:cs="Arial" w:eastAsia="Arial" w:hAnsi="Arial"/>
          <w:sz w:val="18"/>
          <w:szCs w:val="18"/>
          <w:color w:val="auto"/>
        </w:rPr>
        <w:t>. For a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Notes to Consolidated Financial Statements, Note 2, “Significant Accounting Policies.”</w:t>
      </w:r>
    </w:p>
    <w:p>
      <w:pPr>
        <w:spacing w:after="0" w:line="176" w:lineRule="exact"/>
        <w:rPr>
          <w:rFonts w:ascii="Arial" w:cs="Arial" w:eastAsia="Arial" w:hAnsi="Arial"/>
          <w:sz w:val="18"/>
          <w:szCs w:val="18"/>
          <w:color w:val="auto"/>
        </w:rPr>
      </w:pPr>
    </w:p>
    <w:p>
      <w:pPr>
        <w:ind w:left="660" w:right="620" w:hanging="328"/>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Health Plans segment quality incentives</w:t>
      </w:r>
      <w:r>
        <w:rPr>
          <w:rFonts w:ascii="Arial" w:cs="Arial" w:eastAsia="Arial" w:hAnsi="Arial"/>
          <w:sz w:val="18"/>
          <w:szCs w:val="18"/>
          <w:color w:val="auto"/>
        </w:rPr>
        <w:t>. For a discussion of this topic, including amounts recorded in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refer to Notes to Consolidated Financial Statements, Note 2, “Significant Accounting Policies.”</w:t>
      </w:r>
    </w:p>
    <w:p>
      <w:pPr>
        <w:spacing w:after="0" w:line="161"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There have been no significant changes during the three months ended March 31, 2018, to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reported in “Critical Accounting Estimates” in our Annual Report on Form 10-K for the year ended December 31, 2017.</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SUPPLEMENTAL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828282"/>
        </w:rPr>
        <w:t>FINANCIAL MEASURES THAT SUPPLEMENT U.S. GAAP (NON-GAAP FINANCIAL MEASURES)</w:t>
      </w:r>
    </w:p>
    <w:p>
      <w:pPr>
        <w:spacing w:after="0" w:line="22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use these non-GAAP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believe that earnings before interest, taxes, depreciation and amortization (EBITDA*) is helpful in assessing our ability to meet the cash demands of our operating units.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4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 capitalized software</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EBITDA*</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NET INCOME PER SHARE*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adjusted net income* and adjusted net income per diluted share* are helpful in assessing our financial performance exclusive of the non-cash impact of the amortization of purchased intangibles. The following table reconciles net income, which we believe to be the most comparable GAAP measure, to adjusted net income*.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51</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64"/>
        </w:trPr>
        <w:tc>
          <w:tcPr>
            <w:tcW w:w="65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2018</w:t>
            </w: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r>
      <w:tr>
        <w:trPr>
          <w:trHeight w:val="250"/>
        </w:trPr>
        <w:tc>
          <w:tcPr>
            <w:tcW w:w="6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(In millions, except diluted per-share amounts)</w:t>
            </w:r>
          </w:p>
        </w:tc>
        <w:tc>
          <w:tcPr>
            <w:tcW w:w="66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1.37</w:t>
            </w: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0.08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0.16</w:t>
            </w:r>
          </w:p>
        </w:tc>
      </w:tr>
      <w:tr>
        <w:trPr>
          <w:trHeight w:val="270"/>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r>
        <w:trPr>
          <w:trHeight w:val="244"/>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net of tax effect</w:t>
            </w:r>
          </w:p>
        </w:tc>
        <w:tc>
          <w:tcPr>
            <w:tcW w:w="4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0.10</w:t>
            </w:r>
          </w:p>
        </w:tc>
      </w:tr>
      <w:tr>
        <w:trPr>
          <w:trHeight w:val="240"/>
        </w:trPr>
        <w:tc>
          <w:tcPr>
            <w:tcW w:w="6500" w:type="dxa"/>
            <w:vAlign w:val="bottom"/>
          </w:tcPr>
          <w:p>
            <w:pPr>
              <w:ind w:left="40"/>
              <w:spacing w:after="0"/>
              <w:rPr>
                <w:sz w:val="20"/>
                <w:szCs w:val="20"/>
                <w:color w:val="auto"/>
              </w:rPr>
            </w:pPr>
            <w:r>
              <w:rPr>
                <w:rFonts w:ascii="Arial" w:cs="Arial" w:eastAsia="Arial" w:hAnsi="Arial"/>
                <w:sz w:val="16"/>
                <w:szCs w:val="16"/>
                <w:color w:val="auto"/>
              </w:rPr>
              <w:t>Adjusted net income*</w:t>
            </w:r>
          </w:p>
        </w:tc>
        <w:tc>
          <w:tcPr>
            <w:tcW w:w="440" w:type="dxa"/>
            <w:vAlign w:val="bottom"/>
          </w:tcPr>
          <w:p>
            <w:pPr>
              <w:jc w:val="right"/>
              <w:ind w:right="23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111</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480" w:type="dxa"/>
            <w:vAlign w:val="bottom"/>
          </w:tcPr>
          <w:p>
            <w:pPr>
              <w:jc w:val="right"/>
              <w:ind w:right="277"/>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7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1.47</w:t>
            </w:r>
          </w:p>
        </w:tc>
      </w:tr>
      <w:tr>
        <w:trPr>
          <w:trHeight w:val="20"/>
        </w:trPr>
        <w:tc>
          <w:tcPr>
            <w:tcW w:w="6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28" w:lineRule="exact"/>
        <w:rPr>
          <w:sz w:val="20"/>
          <w:szCs w:val="20"/>
          <w:color w:val="auto"/>
        </w:rPr>
      </w:pPr>
    </w:p>
    <w:p>
      <w:pPr>
        <w:ind w:left="340" w:right="280" w:hanging="332"/>
        <w:spacing w:after="0" w:line="260"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Income tax effect of adjustments calculated at the blended federal and state statutory tax rates of 22% and 37% for the first quarters of 2018 and 2017,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CONTROLS AND PROCEDURES</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concluded, based upon its evaluation as of the end of the period covered by this report, that the Company’s “disclosure controls and procedures” (as defined in Rules 13a-15(e) and 15d-15(e) under the Securities Exchange Act of 1934, as amended (the “Exchange Act”)), are effective to ensure that information required to be disclosed in the reports that we file or submit under the Exchange Act is recorded, processed, summarized, and reported within the time periods specified in the SEC’s rules and forms.</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2018 that has materially affected, or is reasonably likely to materially affect, our internal controls over financial reporting.</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LEGAL PROCEEDINGS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RISK FACTORS</w:t>
      </w:r>
    </w:p>
    <w:p>
      <w:pPr>
        <w:spacing w:after="0" w:line="2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In addition to the other information set forth in this report, you should carefully consider the risk factors discussed in “Risk Factors,” in our Annual Report on Form 10-K for the year ended December 31, 2017. The risk factors described in our 2017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52</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UNREGISTERED SALES OF EQUITY SECURITIES AND 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March 31, 2018,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91.83</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February 1 - February 28</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17,365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90.63</w:t>
            </w:r>
          </w:p>
        </w:tc>
        <w:tc>
          <w:tcPr>
            <w:tcW w:w="100" w:type="dxa"/>
            <w:vAlign w:val="bottom"/>
          </w:tcPr>
          <w:p>
            <w:pPr>
              <w:spacing w:after="0"/>
              <w:rPr>
                <w:sz w:val="22"/>
                <w:szCs w:val="22"/>
                <w:color w:val="auto"/>
              </w:rPr>
            </w:pP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 March 31</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48,853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68,923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77.73</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500" w:hanging="492"/>
        <w:spacing w:after="0" w:line="260"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three months ended March 31, 2018, we withheld 68,923 shares of common stock under our 2011 Equity Incentive Plan to settle employee income tax obligations.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53</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INDEX TO EXHIBITS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60" w:val="left"/>
          <w:tab w:leader="none" w:pos="778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 w:type="dxa"/>
            <w:vAlign w:val="bottom"/>
            <w:gridSpan w:val="2"/>
          </w:tcPr>
          <w:p>
            <w:pPr>
              <w:spacing w:after="0"/>
              <w:rPr>
                <w:rFonts w:ascii="Arial" w:cs="Arial" w:eastAsia="Arial" w:hAnsi="Arial"/>
                <w:sz w:val="16"/>
                <w:szCs w:val="16"/>
                <w:color w:val="0000FF"/>
              </w:rPr>
            </w:pPr>
            <w:hyperlink r:id="rId31">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360" w:type="dxa"/>
            <w:vAlign w:val="bottom"/>
          </w:tcPr>
          <w:p>
            <w:pPr>
              <w:spacing w:after="0"/>
              <w:rPr>
                <w:sz w:val="16"/>
                <w:szCs w:val="16"/>
                <w:color w:val="auto"/>
              </w:rPr>
            </w:pPr>
          </w:p>
        </w:tc>
        <w:tc>
          <w:tcPr>
            <w:tcW w:w="6900" w:type="dxa"/>
            <w:vAlign w:val="bottom"/>
          </w:tcPr>
          <w:p>
            <w:pPr>
              <w:ind w:left="360"/>
              <w:spacing w:after="0"/>
              <w:rPr>
                <w:sz w:val="20"/>
                <w:szCs w:val="20"/>
                <w:color w:val="auto"/>
              </w:rPr>
            </w:pPr>
            <w:r>
              <w:rPr>
                <w:rFonts w:ascii="Arial" w:cs="Arial" w:eastAsia="Arial" w:hAnsi="Arial"/>
                <w:sz w:val="16"/>
                <w:szCs w:val="16"/>
                <w:color w:val="auto"/>
              </w:rPr>
              <w:t>Fourth Amended and Restated Bylaws of Molina Healthcare, Inc.</w:t>
            </w: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534"/>
        </w:trPr>
        <w:tc>
          <w:tcPr>
            <w:tcW w:w="680" w:type="dxa"/>
            <w:vAlign w:val="bottom"/>
            <w:gridSpan w:val="3"/>
          </w:tcPr>
          <w:p>
            <w:pPr>
              <w:spacing w:after="0"/>
              <w:rPr>
                <w:rFonts w:ascii="Arial" w:cs="Arial" w:eastAsia="Arial" w:hAnsi="Arial"/>
                <w:sz w:val="16"/>
                <w:szCs w:val="16"/>
                <w:color w:val="0000FF"/>
              </w:rPr>
            </w:pPr>
            <w:hyperlink r:id="rId32">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6900" w:type="dxa"/>
            <w:vAlign w:val="bottom"/>
          </w:tcPr>
          <w:p>
            <w:pPr>
              <w:ind w:left="360"/>
              <w:spacing w:after="0"/>
              <w:rPr>
                <w:sz w:val="20"/>
                <w:szCs w:val="20"/>
                <w:color w:val="auto"/>
              </w:rPr>
            </w:pPr>
            <w:r>
              <w:rPr>
                <w:rFonts w:ascii="Arial" w:cs="Arial" w:eastAsia="Arial" w:hAnsi="Arial"/>
                <w:sz w:val="16"/>
                <w:szCs w:val="16"/>
                <w:color w:val="auto"/>
              </w:rPr>
              <w:t>Amended and Restated Commitment Letter, dated as of January 2, 2018, by and among</w:t>
            </w:r>
          </w:p>
        </w:tc>
      </w:tr>
      <w:tr>
        <w:trPr>
          <w:trHeight w:val="198"/>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tcPr>
          <w:p>
            <w:pPr>
              <w:ind w:left="360"/>
              <w:spacing w:after="0"/>
              <w:rPr>
                <w:sz w:val="20"/>
                <w:szCs w:val="20"/>
                <w:color w:val="auto"/>
              </w:rPr>
            </w:pPr>
            <w:r>
              <w:rPr>
                <w:rFonts w:ascii="Arial" w:cs="Arial" w:eastAsia="Arial" w:hAnsi="Arial"/>
                <w:sz w:val="16"/>
                <w:szCs w:val="16"/>
                <w:color w:val="auto"/>
              </w:rPr>
              <w:t>Molina Healthcare, Inc., SunTrust Bank, SunTrust Robinson Humphrey, Inc., Barclays Bank</w:t>
            </w:r>
          </w:p>
        </w:tc>
      </w:t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00" w:type="dxa"/>
            <w:vAlign w:val="bottom"/>
          </w:tcPr>
          <w:p>
            <w:pPr>
              <w:ind w:left="360"/>
              <w:spacing w:after="0"/>
              <w:rPr>
                <w:sz w:val="20"/>
                <w:szCs w:val="20"/>
                <w:color w:val="auto"/>
              </w:rPr>
            </w:pPr>
            <w:r>
              <w:rPr>
                <w:rFonts w:ascii="Arial" w:cs="Arial" w:eastAsia="Arial" w:hAnsi="Arial"/>
                <w:sz w:val="16"/>
                <w:szCs w:val="16"/>
                <w:color w:val="auto"/>
              </w:rPr>
              <w:t>PLC, MUFG, Bank of America, N.A., Merrill Lynch, Pierce, Fenner &amp; Smith Incorporated,</w:t>
            </w:r>
          </w:p>
        </w:tc>
      </w:tr>
      <w:tr>
        <w:trPr>
          <w:trHeight w:val="19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00" w:type="dxa"/>
            <w:vAlign w:val="bottom"/>
          </w:tcPr>
          <w:p>
            <w:pPr>
              <w:ind w:left="360"/>
              <w:spacing w:after="0"/>
              <w:rPr>
                <w:sz w:val="20"/>
                <w:szCs w:val="20"/>
                <w:color w:val="auto"/>
              </w:rPr>
            </w:pPr>
            <w:r>
              <w:rPr>
                <w:rFonts w:ascii="Arial" w:cs="Arial" w:eastAsia="Arial" w:hAnsi="Arial"/>
                <w:sz w:val="16"/>
                <w:szCs w:val="16"/>
                <w:color w:val="auto"/>
              </w:rPr>
              <w:t>and Morgan Stanley Senior Funding, Inc.</w:t>
            </w:r>
          </w:p>
        </w:tc>
      </w:tr>
    </w:tbl>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Filed as Exhibit 3.1 to registrant’s Form 8-K filed March 2, 2018.</w:t>
      </w:r>
    </w:p>
    <w:p>
      <w:pPr>
        <w:spacing w:after="0" w:line="15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Filed as Exhibit 10.1 to registrant’s Form 8-K filed January 2, 2018.</w:t>
      </w:r>
    </w:p>
    <w:p>
      <w:pPr>
        <w:spacing w:after="0" w:line="509" w:lineRule="exact"/>
        <w:rPr>
          <w:sz w:val="20"/>
          <w:szCs w:val="20"/>
          <w:color w:val="auto"/>
        </w:rPr>
      </w:pPr>
    </w:p>
    <w:p>
      <w:pPr>
        <w:sectPr>
          <w:pgSz w:w="11900" w:h="16838" w:orient="portrait"/>
          <w:cols w:equalWidth="0" w:num="2">
            <w:col w:w="7620" w:space="180"/>
            <w:col w:w="3620"/>
          </w:cols>
          <w:pgMar w:left="240" w:top="140" w:right="2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680" w:type="dxa"/>
            <w:vAlign w:val="bottom"/>
            <w:gridSpan w:val="2"/>
          </w:tcPr>
          <w:p>
            <w:pPr>
              <w:jc w:val="right"/>
              <w:ind w:right="360"/>
              <w:spacing w:after="0"/>
              <w:rPr>
                <w:rFonts w:ascii="Arial" w:cs="Arial" w:eastAsia="Arial" w:hAnsi="Arial"/>
                <w:sz w:val="16"/>
                <w:szCs w:val="16"/>
                <w:color w:val="0000FF"/>
                <w:w w:val="96"/>
              </w:rPr>
            </w:pPr>
            <w:hyperlink r:id="rId3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6760" w:type="dxa"/>
            <w:vAlign w:val="bottom"/>
          </w:tcPr>
          <w:p>
            <w:pPr>
              <w:ind w:left="360"/>
              <w:spacing w:after="0"/>
              <w:rPr>
                <w:sz w:val="20"/>
                <w:szCs w:val="20"/>
                <w:color w:val="auto"/>
              </w:rPr>
            </w:pPr>
            <w:r>
              <w:rPr>
                <w:rFonts w:ascii="Arial" w:cs="Arial" w:eastAsia="Arial" w:hAnsi="Arial"/>
                <w:sz w:val="16"/>
                <w:szCs w:val="16"/>
                <w:color w:val="auto"/>
              </w:rPr>
              <w:t>Bridge Credit Agreement, dated as of January 2, 2018, by and among Molina Healthcare,</w:t>
            </w:r>
          </w:p>
        </w:tc>
      </w:tr>
      <w:tr>
        <w:trPr>
          <w:trHeight w:val="198"/>
        </w:trPr>
        <w:tc>
          <w:tcPr>
            <w:tcW w:w="3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Inc., as the Borrower, Molina Information Systems, LLC, Molina Pathways LLC and</w:t>
            </w:r>
          </w:p>
        </w:tc>
      </w:tr>
    </w:tbl>
    <w:p>
      <w:pPr>
        <w:ind w:left="1080" w:right="60"/>
        <w:spacing w:after="0" w:line="251" w:lineRule="auto"/>
        <w:rPr>
          <w:sz w:val="20"/>
          <w:szCs w:val="20"/>
          <w:color w:val="auto"/>
        </w:rPr>
      </w:pPr>
      <w:r>
        <w:rPr>
          <w:rFonts w:ascii="Arial" w:cs="Arial" w:eastAsia="Arial" w:hAnsi="Arial"/>
          <w:sz w:val="16"/>
          <w:szCs w:val="16"/>
          <w:color w:val="auto"/>
        </w:rPr>
        <w:t>Pathways Health and Community Support LLC, as the Guarantors, SunTrust Bank, Barclays Bank PLC, The Bank of Tokyo-Mitsubishi UFJ, Ltd., Bank of America, N.A., and Morgan Stanley Senior Funding, Inc., as Lenders, and SunTrust Bank, as Administrative Agent.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Filed as Exhibit 10.2 to registrant’s Form 8-K filed January 2, 2018.</w:t>
      </w:r>
    </w:p>
    <w:p>
      <w:pPr>
        <w:spacing w:after="0" w:line="887" w:lineRule="exact"/>
        <w:rPr>
          <w:sz w:val="20"/>
          <w:szCs w:val="20"/>
          <w:color w:val="auto"/>
        </w:rPr>
      </w:pPr>
    </w:p>
    <w:p>
      <w:pPr>
        <w:sectPr>
          <w:pgSz w:w="11900" w:h="16838" w:orient="portrait"/>
          <w:cols w:equalWidth="0" w:num="2">
            <w:col w:w="7480" w:space="320"/>
            <w:col w:w="3620"/>
          </w:cols>
          <w:pgMar w:left="240" w:top="140" w:right="2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56">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20" w:type="dxa"/>
            <w:vAlign w:val="bottom"/>
          </w:tcPr>
          <w:p>
            <w:pPr>
              <w:spacing w:after="0"/>
              <w:rPr>
                <w:sz w:val="16"/>
                <w:szCs w:val="16"/>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Section 302 Certification of Chief Executive Officer</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72"/>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57">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Section 302 Certification of Chief Financial Officer</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72"/>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58">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pursuant to Section 906 of the Sarbanes-Oxley Act of 2002.</w:t>
            </w:r>
          </w:p>
        </w:tc>
        <w:tc>
          <w:tcPr>
            <w:tcW w:w="1320" w:type="dxa"/>
            <w:vAlign w:val="bottom"/>
          </w:tcPr>
          <w:p>
            <w:pPr>
              <w:spacing w:after="0"/>
              <w:rPr>
                <w:sz w:val="17"/>
                <w:szCs w:val="17"/>
                <w:color w:val="auto"/>
              </w:rPr>
            </w:pPr>
          </w:p>
        </w:tc>
      </w:tr>
      <w:tr>
        <w:trPr>
          <w:trHeight w:val="33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59">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2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color w:val="auto"/>
              </w:rPr>
              <w:t>pursuant to Section 906 of the Sarbanes-Oxley Act of 2002.</w:t>
            </w:r>
          </w:p>
        </w:tc>
        <w:tc>
          <w:tcPr>
            <w:tcW w:w="1320" w:type="dxa"/>
            <w:vAlign w:val="bottom"/>
          </w:tcPr>
          <w:p>
            <w:pPr>
              <w:spacing w:after="0"/>
              <w:rPr>
                <w:sz w:val="17"/>
                <w:szCs w:val="17"/>
                <w:color w:val="auto"/>
              </w:rPr>
            </w:pPr>
          </w:p>
        </w:tc>
      </w:tr>
      <w:tr>
        <w:trPr>
          <w:trHeight w:val="365"/>
        </w:trPr>
        <w:tc>
          <w:tcPr>
            <w:tcW w:w="8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Instance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92"/>
        </w:trPr>
        <w:tc>
          <w:tcPr>
            <w:tcW w:w="8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92"/>
        </w:trPr>
        <w:tc>
          <w:tcPr>
            <w:tcW w:w="8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92"/>
        </w:trPr>
        <w:tc>
          <w:tcPr>
            <w:tcW w:w="8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92"/>
        </w:trPr>
        <w:tc>
          <w:tcPr>
            <w:tcW w:w="8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r>
        <w:trPr>
          <w:trHeight w:val="392"/>
        </w:trPr>
        <w:tc>
          <w:tcPr>
            <w:tcW w:w="8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666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c>
          <w:tcPr>
            <w:tcW w:w="1320" w:type="dxa"/>
            <w:vAlign w:val="bottom"/>
          </w:tcPr>
          <w:p>
            <w:pPr>
              <w:ind w:left="260"/>
              <w:spacing w:after="0"/>
              <w:rPr>
                <w:sz w:val="20"/>
                <w:szCs w:val="20"/>
                <w:color w:val="auto"/>
              </w:rPr>
            </w:pPr>
            <w:r>
              <w:rPr>
                <w:rFonts w:ascii="Arial" w:cs="Arial" w:eastAsia="Arial" w:hAnsi="Arial"/>
                <w:sz w:val="16"/>
                <w:szCs w:val="16"/>
                <w:color w:val="auto"/>
                <w:w w:val="99"/>
              </w:rPr>
              <w:t>Filed herewith.</w:t>
            </w:r>
          </w:p>
        </w:tc>
      </w:tr>
    </w:tbl>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54</w:t>
      </w:r>
    </w:p>
    <w:p>
      <w:pPr>
        <w:sectPr>
          <w:pgSz w:w="11900" w:h="16838" w:orient="portrait"/>
          <w:cols w:equalWidth="0" w:num="1">
            <w:col w:w="11420"/>
          </w:cols>
          <w:pgMar w:left="240" w:top="140"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0F7C7F"/>
        </w:rPr>
        <w:t>SIGNATURES</w:t>
      </w:r>
    </w:p>
    <w:p>
      <w:pPr>
        <w:spacing w:after="0" w:line="25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April 30, 2018</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April 30, 2018</w:t>
      </w:r>
      <w:r>
        <w:rPr>
          <w:sz w:val="20"/>
          <w:szCs w:val="20"/>
          <w:color w:val="auto"/>
        </w:rPr>
        <w:tab/>
      </w:r>
      <w:r>
        <w:rPr>
          <w:rFonts w:ascii="Arial" w:cs="Arial" w:eastAsia="Arial" w:hAnsi="Arial"/>
          <w:sz w:val="16"/>
          <w:szCs w:val="16"/>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Joseph W. White</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2018 Form 10-Q | 55</w:t>
      </w:r>
    </w:p>
    <w:p>
      <w:pPr>
        <w:sectPr>
          <w:pgSz w:w="11900" w:h="16838" w:orient="portrait"/>
          <w:cols w:equalWidth="0" w:num="1">
            <w:col w:w="11420"/>
          </w:cols>
          <w:pgMar w:left="240" w:top="14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White, certify that:</w:t>
      </w:r>
    </w:p>
    <w:p>
      <w:pPr>
        <w:spacing w:after="0" w:line="90" w:lineRule="exact"/>
        <w:rPr>
          <w:sz w:val="20"/>
          <w:szCs w:val="20"/>
          <w:color w:val="auto"/>
        </w:rPr>
      </w:pPr>
    </w:p>
    <w:p>
      <w:pPr>
        <w:ind w:left="640" w:hanging="200"/>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2018</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W. White</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2018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8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2018 (the “Report”), I, Joseph W. White,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2018</w:t>
      </w:r>
      <w:r>
        <w:rPr>
          <w:sz w:val="20"/>
          <w:szCs w:val="20"/>
          <w:color w:val="auto"/>
        </w:rPr>
        <w:tab/>
      </w:r>
      <w:r>
        <w:rPr>
          <w:rFonts w:ascii="Arial" w:cs="Arial" w:eastAsia="Arial" w:hAnsi="Arial"/>
          <w:sz w:val="17"/>
          <w:szCs w:val="17"/>
          <w:color w:val="auto"/>
        </w:rPr>
        <w:t>/s/ Joseph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W. White</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lvl w:ilvl="1">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lvl w:ilvl="1">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6"/>
    </w:lvl>
    <w:lvl w:ilvl="1">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2"/>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31" Type="http://schemas.openxmlformats.org/officeDocument/2006/relationships/hyperlink" Target="http://www.sec.gov/Archives/edgar/data/1179929/000115752318000490/a51767698ex3_1.htm" TargetMode="External"/><Relationship Id="rId32" Type="http://schemas.openxmlformats.org/officeDocument/2006/relationships/hyperlink" Target="http://www.sec.gov/Archives/edgar/data/1179929/000115752318000005/a51736219ex10_1.htm" TargetMode="External"/><Relationship Id="rId33" Type="http://schemas.openxmlformats.org/officeDocument/2006/relationships/hyperlink" Target="http://www.sec.gov/Archives/edgar/data/1179929/000115752318000005/a5173621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2019-12-28T22:44:58Z</dcterms:created>
  <dcterms:modified xsi:type="dcterms:W3CDTF">2019-12-28T22:44:58Z</dcterms:modified>
</cp:coreProperties>
</file>