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1809750</wp:posOffset>
            </wp:positionH>
            <wp:positionV relativeFrom="paragraph">
              <wp:posOffset>44450</wp:posOffset>
            </wp:positionV>
            <wp:extent cx="35407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0760" cy="6985"/>
                    </a:xfrm>
                    <a:prstGeom prst="rect">
                      <a:avLst/>
                    </a:prstGeom>
                    <a:noFill/>
                  </pic:spPr>
                </pic:pic>
              </a:graphicData>
            </a:graphic>
          </wp:anchor>
        </w:drawing>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1816735</wp:posOffset>
            </wp:positionH>
            <wp:positionV relativeFrom="paragraph">
              <wp:posOffset>60325</wp:posOffset>
            </wp:positionV>
            <wp:extent cx="35274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27425" cy="698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ind w:left="660" w:hanging="638"/>
        <w:spacing w:after="0" w:line="183" w:lineRule="auto"/>
        <w:tabs>
          <w:tab w:leader="none" w:pos="660" w:val="left"/>
        </w:tabs>
        <w:numPr>
          <w:ilvl w:val="0"/>
          <w:numId w:val="1"/>
        </w:numPr>
        <w:rPr>
          <w:rFonts w:ascii="MS PGothic" w:cs="MS PGothic" w:eastAsia="MS PGothic" w:hAnsi="MS PGothic"/>
          <w:sz w:val="33"/>
          <w:szCs w:val="33"/>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2025</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17" w:lineRule="exact"/>
        <w:rPr>
          <w:sz w:val="24"/>
          <w:szCs w:val="24"/>
          <w:color w:val="auto"/>
        </w:rPr>
      </w:pPr>
    </w:p>
    <w:p>
      <w:pPr>
        <w:ind w:left="660" w:hanging="638"/>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For the transition period from ________ to ________</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1789430</wp:posOffset>
            </wp:positionH>
            <wp:positionV relativeFrom="paragraph">
              <wp:posOffset>43815</wp:posOffset>
            </wp:positionV>
            <wp:extent cx="358267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826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MOLINA HEALTHCARE,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1789430</wp:posOffset>
            </wp:positionH>
            <wp:positionV relativeFrom="paragraph">
              <wp:posOffset>43180</wp:posOffset>
            </wp:positionV>
            <wp:extent cx="35826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82670" cy="6985"/>
                    </a:xfrm>
                    <a:prstGeom prst="rect">
                      <a:avLst/>
                    </a:prstGeom>
                    <a:noFill/>
                  </pic:spPr>
                </pic:pic>
              </a:graphicData>
            </a:graphic>
          </wp:anchor>
        </w:drawing>
      </w:r>
    </w:p>
    <w:p>
      <w:pPr>
        <w:spacing w:after="0" w:line="157" w:lineRule="exact"/>
        <w:rPr>
          <w:sz w:val="24"/>
          <w:szCs w:val="24"/>
          <w:color w:val="auto"/>
        </w:rPr>
      </w:pPr>
    </w:p>
    <w:tbl>
      <w:tblPr>
        <w:tblLayout w:type="fixed"/>
        <w:tblInd w:w="2620" w:type="dxa"/>
        <w:tblCellMar>
          <w:top w:w="0" w:type="dxa"/>
          <w:left w:w="0" w:type="dxa"/>
          <w:bottom w:w="0" w:type="dxa"/>
          <w:right w:w="0" w:type="dxa"/>
        </w:tblCellMar>
      </w:tblPr>
      <w:tr>
        <w:trPr>
          <w:trHeight w:val="179"/>
        </w:trPr>
        <w:tc>
          <w:tcPr>
            <w:tcW w:w="3340" w:type="dxa"/>
            <w:vAlign w:val="bottom"/>
          </w:tcPr>
          <w:p>
            <w:pPr>
              <w:jc w:val="center"/>
              <w:ind w:right="1098"/>
              <w:spacing w:after="0"/>
              <w:rPr>
                <w:sz w:val="20"/>
                <w:szCs w:val="20"/>
                <w:color w:val="auto"/>
              </w:rPr>
            </w:pPr>
            <w:r>
              <w:rPr>
                <w:rFonts w:ascii="Arial" w:cs="Arial" w:eastAsia="Arial" w:hAnsi="Arial"/>
                <w:sz w:val="13"/>
                <w:szCs w:val="13"/>
                <w:b w:val="1"/>
                <w:bCs w:val="1"/>
                <w:color w:val="auto"/>
              </w:rPr>
              <w:t>Delaware</w:t>
            </w:r>
          </w:p>
        </w:tc>
        <w:tc>
          <w:tcPr>
            <w:tcW w:w="2120" w:type="dxa"/>
            <w:vAlign w:val="bottom"/>
          </w:tcPr>
          <w:p>
            <w:pPr>
              <w:jc w:val="right"/>
              <w:ind w:right="79"/>
              <w:spacing w:after="0"/>
              <w:rPr>
                <w:sz w:val="20"/>
                <w:szCs w:val="20"/>
                <w:color w:val="auto"/>
              </w:rPr>
            </w:pPr>
            <w:r>
              <w:rPr>
                <w:rFonts w:ascii="Arial" w:cs="Arial" w:eastAsia="Arial" w:hAnsi="Arial"/>
                <w:sz w:val="13"/>
                <w:szCs w:val="13"/>
                <w:b w:val="1"/>
                <w:bCs w:val="1"/>
                <w:color w:val="auto"/>
              </w:rPr>
              <w:t>13-4204626</w:t>
            </w:r>
          </w:p>
        </w:tc>
      </w:tr>
      <w:tr>
        <w:trPr>
          <w:trHeight w:val="138"/>
        </w:trPr>
        <w:tc>
          <w:tcPr>
            <w:tcW w:w="3340" w:type="dxa"/>
            <w:vAlign w:val="bottom"/>
          </w:tcPr>
          <w:p>
            <w:pPr>
              <w:jc w:val="center"/>
              <w:ind w:right="1078"/>
              <w:spacing w:after="0"/>
              <w:rPr>
                <w:sz w:val="20"/>
                <w:szCs w:val="20"/>
                <w:color w:val="auto"/>
              </w:rPr>
            </w:pPr>
            <w:r>
              <w:rPr>
                <w:rFonts w:ascii="Arial" w:cs="Arial" w:eastAsia="Arial" w:hAnsi="Arial"/>
                <w:sz w:val="12"/>
                <w:szCs w:val="12"/>
                <w:b w:val="1"/>
                <w:bCs w:val="1"/>
                <w:color w:val="auto"/>
                <w:w w:val="97"/>
              </w:rPr>
              <w:t>(State or other jurisdiction of</w:t>
            </w:r>
          </w:p>
        </w:tc>
        <w:tc>
          <w:tcPr>
            <w:tcW w:w="2120" w:type="dxa"/>
            <w:vAlign w:val="bottom"/>
          </w:tcPr>
          <w:p>
            <w:pPr>
              <w:jc w:val="center"/>
              <w:ind w:left="1079"/>
              <w:spacing w:after="0"/>
              <w:rPr>
                <w:sz w:val="20"/>
                <w:szCs w:val="20"/>
                <w:color w:val="auto"/>
              </w:rPr>
            </w:pPr>
            <w:r>
              <w:rPr>
                <w:rFonts w:ascii="Arial" w:cs="Arial" w:eastAsia="Arial" w:hAnsi="Arial"/>
                <w:sz w:val="12"/>
                <w:szCs w:val="12"/>
                <w:b w:val="1"/>
                <w:bCs w:val="1"/>
                <w:color w:val="auto"/>
                <w:w w:val="97"/>
              </w:rPr>
              <w:t>(I.R.S. Employer</w:t>
            </w:r>
          </w:p>
        </w:tc>
      </w:tr>
      <w:tr>
        <w:trPr>
          <w:trHeight w:val="159"/>
        </w:trPr>
        <w:tc>
          <w:tcPr>
            <w:tcW w:w="3340" w:type="dxa"/>
            <w:vAlign w:val="bottom"/>
          </w:tcPr>
          <w:p>
            <w:pPr>
              <w:jc w:val="center"/>
              <w:ind w:right="1098"/>
              <w:spacing w:after="0"/>
              <w:rPr>
                <w:sz w:val="20"/>
                <w:szCs w:val="20"/>
                <w:color w:val="auto"/>
              </w:rPr>
            </w:pPr>
            <w:r>
              <w:rPr>
                <w:rFonts w:ascii="Arial" w:cs="Arial" w:eastAsia="Arial" w:hAnsi="Arial"/>
                <w:sz w:val="12"/>
                <w:szCs w:val="12"/>
                <w:b w:val="1"/>
                <w:bCs w:val="1"/>
                <w:color w:val="auto"/>
                <w:w w:val="96"/>
              </w:rPr>
              <w:t>incorporation or organization)</w:t>
            </w:r>
          </w:p>
        </w:tc>
        <w:tc>
          <w:tcPr>
            <w:tcW w:w="2120" w:type="dxa"/>
            <w:vAlign w:val="bottom"/>
          </w:tcPr>
          <w:p>
            <w:pPr>
              <w:jc w:val="center"/>
              <w:ind w:left="1079"/>
              <w:spacing w:after="0"/>
              <w:rPr>
                <w:sz w:val="20"/>
                <w:szCs w:val="20"/>
                <w:color w:val="auto"/>
              </w:rPr>
            </w:pPr>
            <w:r>
              <w:rPr>
                <w:rFonts w:ascii="Arial" w:cs="Arial" w:eastAsia="Arial" w:hAnsi="Arial"/>
                <w:sz w:val="12"/>
                <w:szCs w:val="12"/>
                <w:b w:val="1"/>
                <w:bCs w:val="1"/>
                <w:color w:val="auto"/>
                <w:w w:val="96"/>
              </w:rPr>
              <w:t>Identification No.)</w:t>
            </w:r>
          </w:p>
        </w:tc>
      </w:tr>
      <w:tr>
        <w:trPr>
          <w:trHeight w:val="213"/>
        </w:trPr>
        <w:tc>
          <w:tcPr>
            <w:tcW w:w="3340" w:type="dxa"/>
            <w:vAlign w:val="bottom"/>
          </w:tcPr>
          <w:p>
            <w:pPr>
              <w:jc w:val="center"/>
              <w:ind w:right="1098"/>
              <w:spacing w:after="0"/>
              <w:rPr>
                <w:sz w:val="20"/>
                <w:szCs w:val="20"/>
                <w:color w:val="auto"/>
              </w:rPr>
            </w:pPr>
            <w:r>
              <w:rPr>
                <w:rFonts w:ascii="Arial" w:cs="Arial" w:eastAsia="Arial" w:hAnsi="Arial"/>
                <w:sz w:val="13"/>
                <w:szCs w:val="13"/>
                <w:b w:val="1"/>
                <w:bCs w:val="1"/>
                <w:color w:val="auto"/>
              </w:rPr>
              <w:t>200 Oceangate, Suite 100</w:t>
            </w:r>
          </w:p>
        </w:tc>
        <w:tc>
          <w:tcPr>
            <w:tcW w:w="2120" w:type="dxa"/>
            <w:vAlign w:val="bottom"/>
          </w:tcPr>
          <w:p>
            <w:pPr>
              <w:spacing w:after="0"/>
              <w:rPr>
                <w:sz w:val="18"/>
                <w:szCs w:val="18"/>
                <w:color w:val="auto"/>
              </w:rPr>
            </w:pPr>
          </w:p>
        </w:tc>
      </w:tr>
      <w:tr>
        <w:trPr>
          <w:trHeight w:val="177"/>
        </w:trPr>
        <w:tc>
          <w:tcPr>
            <w:tcW w:w="3340" w:type="dxa"/>
            <w:vAlign w:val="bottom"/>
          </w:tcPr>
          <w:p>
            <w:pPr>
              <w:jc w:val="center"/>
              <w:ind w:right="1098"/>
              <w:spacing w:after="0"/>
              <w:rPr>
                <w:sz w:val="20"/>
                <w:szCs w:val="20"/>
                <w:color w:val="auto"/>
              </w:rPr>
            </w:pPr>
            <w:r>
              <w:rPr>
                <w:rFonts w:ascii="Arial" w:cs="Arial" w:eastAsia="Arial" w:hAnsi="Arial"/>
                <w:sz w:val="13"/>
                <w:szCs w:val="13"/>
                <w:b w:val="1"/>
                <w:bCs w:val="1"/>
                <w:color w:val="auto"/>
              </w:rPr>
              <w:t>Long Beach, California</w:t>
            </w:r>
          </w:p>
        </w:tc>
        <w:tc>
          <w:tcPr>
            <w:tcW w:w="2120" w:type="dxa"/>
            <w:vAlign w:val="bottom"/>
          </w:tcPr>
          <w:p>
            <w:pPr>
              <w:jc w:val="right"/>
              <w:ind w:right="239"/>
              <w:spacing w:after="0"/>
              <w:rPr>
                <w:sz w:val="20"/>
                <w:szCs w:val="20"/>
                <w:color w:val="auto"/>
              </w:rPr>
            </w:pPr>
            <w:r>
              <w:rPr>
                <w:rFonts w:ascii="Arial" w:cs="Arial" w:eastAsia="Arial" w:hAnsi="Arial"/>
                <w:sz w:val="13"/>
                <w:szCs w:val="13"/>
                <w:b w:val="1"/>
                <w:bCs w:val="1"/>
                <w:color w:val="auto"/>
              </w:rPr>
              <w:t>90802</w:t>
            </w:r>
          </w:p>
        </w:tc>
      </w:tr>
      <w:tr>
        <w:trPr>
          <w:trHeight w:val="159"/>
        </w:trPr>
        <w:tc>
          <w:tcPr>
            <w:tcW w:w="3340" w:type="dxa"/>
            <w:vAlign w:val="bottom"/>
          </w:tcPr>
          <w:p>
            <w:pPr>
              <w:jc w:val="center"/>
              <w:ind w:right="1098"/>
              <w:spacing w:after="0"/>
              <w:rPr>
                <w:sz w:val="20"/>
                <w:szCs w:val="20"/>
                <w:color w:val="auto"/>
              </w:rPr>
            </w:pPr>
            <w:r>
              <w:rPr>
                <w:rFonts w:ascii="Arial" w:cs="Arial" w:eastAsia="Arial" w:hAnsi="Arial"/>
                <w:sz w:val="12"/>
                <w:szCs w:val="12"/>
                <w:b w:val="1"/>
                <w:bCs w:val="1"/>
                <w:color w:val="auto"/>
                <w:w w:val="97"/>
              </w:rPr>
              <w:t>(Address of principal executive offices)</w:t>
            </w:r>
          </w:p>
        </w:tc>
        <w:tc>
          <w:tcPr>
            <w:tcW w:w="2120" w:type="dxa"/>
            <w:vAlign w:val="bottom"/>
          </w:tcPr>
          <w:p>
            <w:pPr>
              <w:jc w:val="center"/>
              <w:ind w:left="1079"/>
              <w:spacing w:after="0"/>
              <w:rPr>
                <w:sz w:val="20"/>
                <w:szCs w:val="20"/>
                <w:color w:val="auto"/>
              </w:rPr>
            </w:pPr>
            <w:r>
              <w:rPr>
                <w:rFonts w:ascii="Arial" w:cs="Arial" w:eastAsia="Arial" w:hAnsi="Arial"/>
                <w:sz w:val="12"/>
                <w:szCs w:val="12"/>
                <w:b w:val="1"/>
                <w:bCs w:val="1"/>
                <w:color w:val="auto"/>
                <w:w w:val="97"/>
              </w:rPr>
              <w:t>(Zip Code)</w:t>
            </w:r>
          </w:p>
        </w:tc>
      </w:tr>
    </w:tbl>
    <w:p>
      <w:pPr>
        <w:spacing w:after="0" w:line="57" w:lineRule="exact"/>
        <w:rPr>
          <w:sz w:val="24"/>
          <w:szCs w:val="24"/>
          <w:color w:val="auto"/>
        </w:rPr>
      </w:pPr>
    </w:p>
    <w:p>
      <w:pPr>
        <w:ind w:left="5200"/>
        <w:spacing w:after="0"/>
        <w:rPr>
          <w:sz w:val="20"/>
          <w:szCs w:val="20"/>
          <w:color w:val="auto"/>
        </w:rPr>
      </w:pPr>
      <w:r>
        <w:rPr>
          <w:rFonts w:ascii="Arial" w:cs="Arial" w:eastAsia="Arial" w:hAnsi="Arial"/>
          <w:sz w:val="13"/>
          <w:szCs w:val="13"/>
          <w:b w:val="1"/>
          <w:bCs w:val="1"/>
          <w:color w:val="auto"/>
        </w:rPr>
        <w:t>(562) 435-3666</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1789430</wp:posOffset>
            </wp:positionH>
            <wp:positionV relativeFrom="paragraph">
              <wp:posOffset>98425</wp:posOffset>
            </wp:positionV>
            <wp:extent cx="35826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2670" cy="6985"/>
                    </a:xfrm>
                    <a:prstGeom prst="rect">
                      <a:avLst/>
                    </a:prstGeom>
                    <a:noFill/>
                  </pic:spPr>
                </pic:pic>
              </a:graphicData>
            </a:graphic>
          </wp:anchor>
        </w:drawing>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9" w:lineRule="exact"/>
        <w:rPr>
          <w:sz w:val="24"/>
          <w:szCs w:val="24"/>
          <w:color w:val="auto"/>
        </w:rPr>
      </w:pPr>
    </w:p>
    <w:tbl>
      <w:tblPr>
        <w:tblLayout w:type="fixed"/>
        <w:tblInd w:w="1850" w:type="dxa"/>
        <w:tblCellMar>
          <w:top w:w="0" w:type="dxa"/>
          <w:left w:w="0" w:type="dxa"/>
          <w:bottom w:w="0" w:type="dxa"/>
          <w:right w:w="0" w:type="dxa"/>
        </w:tblCellMar>
      </w:tblPr>
      <w:tr>
        <w:trPr>
          <w:trHeight w:val="194"/>
        </w:trPr>
        <w:tc>
          <w:tcPr>
            <w:tcW w:w="2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Title of each class</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Trading Symbol(s)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Name of each exchange on which registered</w:t>
            </w:r>
          </w:p>
        </w:tc>
      </w:tr>
      <w:tr>
        <w:trPr>
          <w:trHeight w:val="185"/>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Common Stock, $0.001 Par Value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MOH</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New York Stock Exchange</w:t>
            </w:r>
          </w:p>
        </w:tc>
      </w:tr>
    </w:tbl>
    <w:p>
      <w:pPr>
        <w:spacing w:after="0" w:line="121" w:lineRule="exact"/>
        <w:rPr>
          <w:sz w:val="24"/>
          <w:szCs w:val="24"/>
          <w:color w:val="auto"/>
        </w:rPr>
      </w:pPr>
    </w:p>
    <w:p>
      <w:pPr>
        <w:ind w:right="26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10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360"/>
        <w:spacing w:after="0" w:line="28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40"/>
        <w:spacing w:after="0" w:line="150" w:lineRule="exact"/>
        <w:tabs>
          <w:tab w:leader="none" w:pos="1620" w:val="left"/>
          <w:tab w:leader="none" w:pos="2760" w:val="left"/>
          <w:tab w:leader="none" w:pos="4140" w:val="left"/>
          <w:tab w:leader="none" w:pos="5780" w:val="left"/>
        </w:tabs>
        <w:rPr>
          <w:sz w:val="20"/>
          <w:szCs w:val="20"/>
          <w:color w:val="auto"/>
        </w:rPr>
      </w:pPr>
      <w:r>
        <w:rPr>
          <w:rFonts w:ascii="Arial" w:cs="Arial" w:eastAsia="Arial" w:hAnsi="Arial"/>
          <w:sz w:val="13"/>
          <w:szCs w:val="13"/>
          <w:color w:val="auto"/>
        </w:rPr>
        <w:t>L</w:t>
      </w:r>
      <w:r>
        <w:rPr>
          <w:rFonts w:ascii="Arial" w:cs="Arial" w:eastAsia="Arial" w:hAnsi="Arial"/>
          <w:sz w:val="11"/>
          <w:szCs w:val="11"/>
          <w:color w:val="auto"/>
        </w:rPr>
        <w:t>arge Accelerated Filer</w:t>
      </w:r>
      <w:r>
        <w:rPr>
          <w:rFonts w:ascii="Arial" w:cs="Arial" w:eastAsia="Arial" w:hAnsi="Arial"/>
          <w:sz w:val="13"/>
          <w:szCs w:val="13"/>
          <w:color w:val="auto"/>
        </w:rPr>
        <w:t xml:space="preserve"> </w:t>
      </w:r>
      <w:r>
        <w:rPr>
          <w:rFonts w:ascii="MS PGothic" w:cs="MS PGothic" w:eastAsia="MS PGothic" w:hAnsi="MS PGothic"/>
          <w:sz w:val="11"/>
          <w:szCs w:val="11"/>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ab/>
        <w:t xml:space="preserve">Non-Accelerated Filer </w:t>
      </w:r>
      <w:r>
        <w:rPr>
          <w:rFonts w:ascii="MS PGothic" w:cs="MS PGothic" w:eastAsia="MS PGothic" w:hAnsi="MS PGothic"/>
          <w:sz w:val="12"/>
          <w:szCs w:val="12"/>
          <w:color w:val="auto"/>
        </w:rPr>
        <w:t>☐</w:t>
      </w:r>
      <w:r>
        <w:rPr>
          <w:rFonts w:ascii="Arial" w:cs="Arial" w:eastAsia="Arial" w:hAnsi="Arial"/>
          <w:sz w:val="12"/>
          <w:szCs w:val="12"/>
          <w:color w:val="auto"/>
        </w:rPr>
        <w:tab/>
        <w:t xml:space="preserve">Smaller reporting company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59" w:lineRule="exact"/>
        <w:rPr>
          <w:sz w:val="24"/>
          <w:szCs w:val="24"/>
          <w:color w:val="auto"/>
        </w:rPr>
      </w:pPr>
    </w:p>
    <w:p>
      <w:pPr>
        <w:spacing w:after="0" w:line="17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71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issuer’s Common Stock, $0.001 par value, outstanding as of April 18, 2025, was approximately 54.2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475615</wp:posOffset>
            </wp:positionV>
            <wp:extent cx="718375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212" w:right="339" w:bottom="1440" w:gutter="0" w:footer="0" w:header="0"/>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MOLINA HEALTHCARE, INC. FORM 10-Q</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FOR THE QUARTERLY PERIOD ENDED MARCH 31, 2025</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gridSpan w:val="11"/>
          </w:tcPr>
          <w:p>
            <w:pPr>
              <w:ind w:left="20"/>
              <w:spacing w:after="0"/>
              <w:rPr>
                <w:sz w:val="20"/>
                <w:szCs w:val="20"/>
                <w:color w:val="auto"/>
              </w:rPr>
            </w:pPr>
            <w:r>
              <w:rPr>
                <w:rFonts w:ascii="Arial" w:cs="Arial" w:eastAsia="Arial" w:hAnsi="Arial"/>
                <w:sz w:val="13"/>
                <w:szCs w:val="13"/>
                <w:b w:val="1"/>
                <w:bCs w:val="1"/>
                <w:color w:val="auto"/>
              </w:rPr>
              <w:t>ITEM NUMBER</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0F7C7F"/>
              </w:rPr>
              <w:t>Page</w:t>
            </w:r>
          </w:p>
        </w:tc>
      </w:tr>
      <w:tr>
        <w:trPr>
          <w:trHeight w:val="236"/>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ind w:right="874"/>
              <w:spacing w:after="0"/>
              <w:rPr>
                <w:sz w:val="20"/>
                <w:szCs w:val="20"/>
                <w:color w:val="auto"/>
              </w:rPr>
            </w:pPr>
            <w:r>
              <w:rPr>
                <w:rFonts w:ascii="Arial" w:cs="Arial" w:eastAsia="Arial" w:hAnsi="Arial"/>
                <w:sz w:val="13"/>
                <w:szCs w:val="13"/>
                <w:b w:val="1"/>
                <w:bCs w:val="1"/>
                <w:color w:val="auto"/>
                <w:w w:val="98"/>
              </w:rPr>
              <w:t>PART I</w:t>
            </w:r>
          </w:p>
        </w:tc>
        <w:tc>
          <w:tcPr>
            <w:tcW w:w="5180" w:type="dxa"/>
            <w:vAlign w:val="bottom"/>
          </w:tcPr>
          <w:p>
            <w:pPr>
              <w:spacing w:after="0"/>
              <w:rPr>
                <w:sz w:val="20"/>
                <w:szCs w:val="20"/>
                <w:color w:val="auto"/>
              </w:rPr>
            </w:pPr>
          </w:p>
        </w:tc>
        <w:tc>
          <w:tcPr>
            <w:tcW w:w="160" w:type="dxa"/>
            <w:vAlign w:val="bottom"/>
            <w:tcBorders>
              <w:top w:val="single" w:sz="8" w:color="0F7C7F"/>
            </w:tcBorders>
          </w:tcPr>
          <w:p>
            <w:pPr>
              <w:spacing w:after="0"/>
              <w:rPr>
                <w:sz w:val="20"/>
                <w:szCs w:val="20"/>
                <w:color w:val="auto"/>
              </w:rPr>
            </w:pPr>
          </w:p>
        </w:tc>
        <w:tc>
          <w:tcPr>
            <w:tcW w:w="140" w:type="dxa"/>
            <w:vAlign w:val="bottom"/>
            <w:tcBorders>
              <w:top w:val="single" w:sz="8" w:color="0F7C7F"/>
            </w:tcBorders>
          </w:tcPr>
          <w:p>
            <w:pPr>
              <w:spacing w:after="0"/>
              <w:rPr>
                <w:sz w:val="20"/>
                <w:szCs w:val="20"/>
                <w:color w:val="auto"/>
              </w:rPr>
            </w:pPr>
          </w:p>
        </w:tc>
        <w:tc>
          <w:tcPr>
            <w:tcW w:w="40" w:type="dxa"/>
            <w:vAlign w:val="bottom"/>
          </w:tcPr>
          <w:p>
            <w:pPr>
              <w:spacing w:after="0"/>
              <w:rPr>
                <w:sz w:val="20"/>
                <w:szCs w:val="20"/>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3"/>
                <w:szCs w:val="13"/>
                <w:color w:val="auto"/>
              </w:rPr>
              <w:t>1.</w:t>
            </w:r>
          </w:p>
        </w:tc>
        <w:tc>
          <w:tcPr>
            <w:tcW w:w="1220" w:type="dxa"/>
            <w:vAlign w:val="bottom"/>
            <w:gridSpan w:val="6"/>
          </w:tcPr>
          <w:p>
            <w:pPr>
              <w:spacing w:after="0"/>
              <w:rPr>
                <w:sz w:val="20"/>
                <w:szCs w:val="20"/>
                <w:color w:val="auto"/>
              </w:rPr>
            </w:pPr>
            <w:r>
              <w:rPr>
                <w:rFonts w:ascii="Arial" w:cs="Arial" w:eastAsia="Arial" w:hAnsi="Arial"/>
                <w:sz w:val="13"/>
                <w:szCs w:val="13"/>
                <w:color w:val="0F7C7F"/>
                <w:w w:val="98"/>
              </w:rPr>
              <w:t>Financial Statements</w:t>
            </w:r>
          </w:p>
        </w:tc>
        <w:tc>
          <w:tcPr>
            <w:tcW w:w="3940" w:type="dxa"/>
            <w:vAlign w:val="bottom"/>
            <w:gridSpan w:val="4"/>
          </w:tcPr>
          <w:p>
            <w:pPr>
              <w:spacing w:after="0"/>
              <w:rPr>
                <w:sz w:val="15"/>
                <w:szCs w:val="15"/>
                <w:color w:val="auto"/>
              </w:rPr>
            </w:pP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6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ind w:left="20"/>
              <w:spacing w:after="0"/>
              <w:rPr>
                <w:sz w:val="20"/>
                <w:szCs w:val="20"/>
                <w:color w:val="auto"/>
              </w:rPr>
            </w:pPr>
            <w:r>
              <w:rPr>
                <w:rFonts w:ascii="Arial" w:cs="Arial" w:eastAsia="Arial" w:hAnsi="Arial"/>
                <w:sz w:val="13"/>
                <w:szCs w:val="13"/>
                <w:color w:val="auto"/>
              </w:rPr>
              <w:t>2.</w:t>
            </w:r>
          </w:p>
        </w:tc>
        <w:tc>
          <w:tcPr>
            <w:tcW w:w="5160" w:type="dxa"/>
            <w:vAlign w:val="bottom"/>
            <w:gridSpan w:val="10"/>
          </w:tcPr>
          <w:p>
            <w:pPr>
              <w:spacing w:after="0"/>
              <w:rPr>
                <w:sz w:val="20"/>
                <w:szCs w:val="20"/>
                <w:color w:val="auto"/>
              </w:rPr>
            </w:pPr>
            <w:r>
              <w:rPr>
                <w:rFonts w:ascii="Arial" w:cs="Arial" w:eastAsia="Arial" w:hAnsi="Arial"/>
                <w:sz w:val="13"/>
                <w:szCs w:val="13"/>
                <w:color w:val="0F7C7F"/>
              </w:rPr>
              <w:t>Management’s Discussion and Analysis of Financial Condition and Results of Operations</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20</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6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19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1640" w:type="dxa"/>
            <w:vAlign w:val="bottom"/>
            <w:shd w:val="clear" w:color="auto" w:fill="0F7C7F"/>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ind w:left="20"/>
              <w:spacing w:after="0"/>
              <w:rPr>
                <w:sz w:val="20"/>
                <w:szCs w:val="20"/>
                <w:color w:val="auto"/>
              </w:rPr>
            </w:pPr>
            <w:r>
              <w:rPr>
                <w:rFonts w:ascii="Arial" w:cs="Arial" w:eastAsia="Arial" w:hAnsi="Arial"/>
                <w:sz w:val="13"/>
                <w:szCs w:val="13"/>
                <w:color w:val="auto"/>
              </w:rPr>
              <w:t>3.</w:t>
            </w:r>
          </w:p>
        </w:tc>
        <w:tc>
          <w:tcPr>
            <w:tcW w:w="5160" w:type="dxa"/>
            <w:vAlign w:val="bottom"/>
            <w:gridSpan w:val="10"/>
          </w:tcPr>
          <w:p>
            <w:pPr>
              <w:spacing w:after="0"/>
              <w:rPr>
                <w:sz w:val="20"/>
                <w:szCs w:val="20"/>
                <w:color w:val="auto"/>
              </w:rPr>
            </w:pPr>
            <w:r>
              <w:rPr>
                <w:rFonts w:ascii="Arial" w:cs="Arial" w:eastAsia="Arial" w:hAnsi="Arial"/>
                <w:sz w:val="13"/>
                <w:szCs w:val="13"/>
                <w:color w:val="0F7C7F"/>
              </w:rPr>
              <w:t>Quantitative and Qualitative Disclosures About Market Risk</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31</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6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1980" w:type="dxa"/>
            <w:vAlign w:val="bottom"/>
            <w:shd w:val="clear" w:color="auto" w:fill="0F7C7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ind w:left="20"/>
              <w:spacing w:after="0"/>
              <w:rPr>
                <w:sz w:val="20"/>
                <w:szCs w:val="20"/>
                <w:color w:val="auto"/>
              </w:rPr>
            </w:pPr>
            <w:r>
              <w:rPr>
                <w:rFonts w:ascii="Arial" w:cs="Arial" w:eastAsia="Arial" w:hAnsi="Arial"/>
                <w:sz w:val="13"/>
                <w:szCs w:val="13"/>
                <w:color w:val="auto"/>
              </w:rPr>
              <w:t>4.</w:t>
            </w:r>
          </w:p>
        </w:tc>
        <w:tc>
          <w:tcPr>
            <w:tcW w:w="3420" w:type="dxa"/>
            <w:vAlign w:val="bottom"/>
            <w:gridSpan w:val="8"/>
          </w:tcPr>
          <w:p>
            <w:pPr>
              <w:spacing w:after="0"/>
              <w:rPr>
                <w:sz w:val="20"/>
                <w:szCs w:val="20"/>
                <w:color w:val="auto"/>
              </w:rPr>
            </w:pPr>
            <w:r>
              <w:rPr>
                <w:rFonts w:ascii="Arial" w:cs="Arial" w:eastAsia="Arial" w:hAnsi="Arial"/>
                <w:sz w:val="13"/>
                <w:szCs w:val="13"/>
                <w:color w:val="0F7C7F"/>
              </w:rPr>
              <w:t>Controls and Procedures</w:t>
            </w:r>
          </w:p>
        </w:tc>
        <w:tc>
          <w:tcPr>
            <w:tcW w:w="1740" w:type="dxa"/>
            <w:vAlign w:val="bottom"/>
            <w:gridSpan w:val="2"/>
          </w:tcPr>
          <w:p>
            <w:pPr>
              <w:spacing w:after="0"/>
              <w:rPr>
                <w:sz w:val="17"/>
                <w:szCs w:val="17"/>
                <w:color w:val="auto"/>
              </w:rPr>
            </w:pP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31</w:t>
            </w:r>
          </w:p>
        </w:tc>
      </w:tr>
      <w:tr>
        <w:trPr>
          <w:trHeight w:val="236"/>
        </w:trPr>
        <w:tc>
          <w:tcPr>
            <w:tcW w:w="600" w:type="dxa"/>
            <w:vAlign w:val="bottom"/>
          </w:tcPr>
          <w:p>
            <w:pPr>
              <w:spacing w:after="0"/>
              <w:rPr>
                <w:sz w:val="20"/>
                <w:szCs w:val="20"/>
                <w:color w:val="auto"/>
              </w:rPr>
            </w:pPr>
          </w:p>
        </w:tc>
        <w:tc>
          <w:tcPr>
            <w:tcW w:w="460" w:type="dxa"/>
            <w:vAlign w:val="bottom"/>
            <w:tcBorders>
              <w:top w:val="single" w:sz="8" w:color="0F7C7F"/>
            </w:tcBorders>
          </w:tcPr>
          <w:p>
            <w:pPr>
              <w:spacing w:after="0"/>
              <w:rPr>
                <w:sz w:val="20"/>
                <w:szCs w:val="20"/>
                <w:color w:val="auto"/>
              </w:rPr>
            </w:pPr>
          </w:p>
        </w:tc>
        <w:tc>
          <w:tcPr>
            <w:tcW w:w="160" w:type="dxa"/>
            <w:vAlign w:val="bottom"/>
            <w:tcBorders>
              <w:top w:val="single" w:sz="8" w:color="0F7C7F"/>
            </w:tcBorders>
          </w:tcPr>
          <w:p>
            <w:pPr>
              <w:spacing w:after="0"/>
              <w:rPr>
                <w:sz w:val="20"/>
                <w:szCs w:val="20"/>
                <w:color w:val="auto"/>
              </w:rPr>
            </w:pPr>
          </w:p>
        </w:tc>
        <w:tc>
          <w:tcPr>
            <w:tcW w:w="100" w:type="dxa"/>
            <w:vAlign w:val="bottom"/>
            <w:tcBorders>
              <w:top w:val="single" w:sz="8" w:color="0F7C7F"/>
            </w:tcBorders>
          </w:tcPr>
          <w:p>
            <w:pPr>
              <w:spacing w:after="0"/>
              <w:rPr>
                <w:sz w:val="20"/>
                <w:szCs w:val="20"/>
                <w:color w:val="auto"/>
              </w:rPr>
            </w:pPr>
          </w:p>
        </w:tc>
        <w:tc>
          <w:tcPr>
            <w:tcW w:w="300" w:type="dxa"/>
            <w:vAlign w:val="bottom"/>
            <w:tcBorders>
              <w:top w:val="single" w:sz="8" w:color="0F7C7F"/>
            </w:tcBorders>
          </w:tcPr>
          <w:p>
            <w:pPr>
              <w:spacing w:after="0"/>
              <w:rPr>
                <w:sz w:val="20"/>
                <w:szCs w:val="20"/>
                <w:color w:val="auto"/>
              </w:rPr>
            </w:pPr>
          </w:p>
        </w:tc>
        <w:tc>
          <w:tcPr>
            <w:tcW w:w="60" w:type="dxa"/>
            <w:vAlign w:val="bottom"/>
            <w:tcBorders>
              <w:top w:val="single" w:sz="8" w:color="0F7C7F"/>
            </w:tcBorders>
          </w:tcPr>
          <w:p>
            <w:pPr>
              <w:spacing w:after="0"/>
              <w:rPr>
                <w:sz w:val="20"/>
                <w:szCs w:val="20"/>
                <w:color w:val="auto"/>
              </w:rPr>
            </w:pPr>
          </w:p>
        </w:tc>
        <w:tc>
          <w:tcPr>
            <w:tcW w:w="140" w:type="dxa"/>
            <w:vAlign w:val="bottom"/>
            <w:tcBorders>
              <w:top w:val="single" w:sz="8" w:color="0F7C7F"/>
            </w:tcBorders>
          </w:tcPr>
          <w:p>
            <w:pPr>
              <w:spacing w:after="0"/>
              <w:rPr>
                <w:sz w:val="20"/>
                <w:szCs w:val="20"/>
                <w:color w:val="auto"/>
              </w:rPr>
            </w:pPr>
          </w:p>
        </w:tc>
        <w:tc>
          <w:tcPr>
            <w:tcW w:w="220" w:type="dxa"/>
            <w:vAlign w:val="bottom"/>
            <w:tcBorders>
              <w:top w:val="single" w:sz="8" w:color="0F7C7F"/>
            </w:tcBorders>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ind w:right="854"/>
              <w:spacing w:after="0"/>
              <w:rPr>
                <w:sz w:val="20"/>
                <w:szCs w:val="20"/>
                <w:color w:val="auto"/>
              </w:rPr>
            </w:pPr>
            <w:r>
              <w:rPr>
                <w:rFonts w:ascii="Arial" w:cs="Arial" w:eastAsia="Arial" w:hAnsi="Arial"/>
                <w:sz w:val="13"/>
                <w:szCs w:val="13"/>
                <w:b w:val="1"/>
                <w:bCs w:val="1"/>
                <w:color w:val="auto"/>
                <w:w w:val="95"/>
              </w:rPr>
              <w:t>PART II</w:t>
            </w: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0F7C7F"/>
            </w:tcBorders>
          </w:tcPr>
          <w:p>
            <w:pPr>
              <w:spacing w:after="0"/>
              <w:rPr>
                <w:sz w:val="20"/>
                <w:szCs w:val="20"/>
                <w:color w:val="auto"/>
              </w:rPr>
            </w:pPr>
          </w:p>
        </w:tc>
        <w:tc>
          <w:tcPr>
            <w:tcW w:w="40" w:type="dxa"/>
            <w:vAlign w:val="bottom"/>
          </w:tcPr>
          <w:p>
            <w:pPr>
              <w:spacing w:after="0"/>
              <w:rPr>
                <w:sz w:val="20"/>
                <w:szCs w:val="20"/>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3"/>
                <w:szCs w:val="13"/>
                <w:color w:val="auto"/>
              </w:rPr>
              <w:t>1.</w:t>
            </w:r>
          </w:p>
        </w:tc>
        <w:tc>
          <w:tcPr>
            <w:tcW w:w="3520" w:type="dxa"/>
            <w:vAlign w:val="bottom"/>
            <w:gridSpan w:val="9"/>
          </w:tcPr>
          <w:p>
            <w:pPr>
              <w:spacing w:after="0"/>
              <w:rPr>
                <w:sz w:val="20"/>
                <w:szCs w:val="20"/>
                <w:color w:val="auto"/>
              </w:rPr>
            </w:pPr>
            <w:r>
              <w:rPr>
                <w:rFonts w:ascii="Arial" w:cs="Arial" w:eastAsia="Arial" w:hAnsi="Arial"/>
                <w:sz w:val="13"/>
                <w:szCs w:val="13"/>
                <w:color w:val="0F7C7F"/>
              </w:rPr>
              <w:t>Legal Proceedings</w:t>
            </w:r>
          </w:p>
        </w:tc>
        <w:tc>
          <w:tcPr>
            <w:tcW w:w="1640" w:type="dxa"/>
            <w:vAlign w:val="bottom"/>
          </w:tcPr>
          <w:p>
            <w:pPr>
              <w:spacing w:after="0"/>
              <w:rPr>
                <w:sz w:val="15"/>
                <w:szCs w:val="15"/>
                <w:color w:val="auto"/>
              </w:rPr>
            </w:pP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32</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2500" w:type="dxa"/>
            <w:vAlign w:val="bottom"/>
            <w:gridSpan w:val="5"/>
            <w:shd w:val="clear" w:color="auto" w:fill="0F7C7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ind w:left="20"/>
              <w:spacing w:after="0"/>
              <w:rPr>
                <w:sz w:val="20"/>
                <w:szCs w:val="20"/>
                <w:color w:val="auto"/>
              </w:rPr>
            </w:pPr>
            <w:r>
              <w:rPr>
                <w:rFonts w:ascii="Arial" w:cs="Arial" w:eastAsia="Arial" w:hAnsi="Arial"/>
                <w:sz w:val="13"/>
                <w:szCs w:val="13"/>
                <w:color w:val="auto"/>
              </w:rPr>
              <w:t>1A.</w:t>
            </w:r>
          </w:p>
        </w:tc>
        <w:tc>
          <w:tcPr>
            <w:tcW w:w="720" w:type="dxa"/>
            <w:vAlign w:val="bottom"/>
            <w:gridSpan w:val="3"/>
          </w:tcPr>
          <w:p>
            <w:pPr>
              <w:spacing w:after="0"/>
              <w:rPr>
                <w:sz w:val="20"/>
                <w:szCs w:val="20"/>
                <w:color w:val="auto"/>
              </w:rPr>
            </w:pPr>
            <w:r>
              <w:rPr>
                <w:rFonts w:ascii="Arial" w:cs="Arial" w:eastAsia="Arial" w:hAnsi="Arial"/>
                <w:sz w:val="13"/>
                <w:szCs w:val="13"/>
                <w:color w:val="0F7C7F"/>
                <w:w w:val="96"/>
              </w:rPr>
              <w:t>Risk Factors</w:t>
            </w:r>
          </w:p>
        </w:tc>
        <w:tc>
          <w:tcPr>
            <w:tcW w:w="280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32</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ind w:left="20"/>
              <w:spacing w:after="0"/>
              <w:rPr>
                <w:sz w:val="20"/>
                <w:szCs w:val="20"/>
                <w:color w:val="auto"/>
              </w:rPr>
            </w:pPr>
            <w:r>
              <w:rPr>
                <w:rFonts w:ascii="Arial" w:cs="Arial" w:eastAsia="Arial" w:hAnsi="Arial"/>
                <w:sz w:val="13"/>
                <w:szCs w:val="13"/>
                <w:color w:val="auto"/>
              </w:rPr>
              <w:t>2.</w:t>
            </w:r>
          </w:p>
        </w:tc>
        <w:tc>
          <w:tcPr>
            <w:tcW w:w="5160" w:type="dxa"/>
            <w:vAlign w:val="bottom"/>
            <w:gridSpan w:val="10"/>
          </w:tcPr>
          <w:p>
            <w:pPr>
              <w:spacing w:after="0"/>
              <w:rPr>
                <w:sz w:val="20"/>
                <w:szCs w:val="20"/>
                <w:color w:val="auto"/>
              </w:rPr>
            </w:pPr>
            <w:r>
              <w:rPr>
                <w:rFonts w:ascii="Arial" w:cs="Arial" w:eastAsia="Arial" w:hAnsi="Arial"/>
                <w:sz w:val="13"/>
                <w:szCs w:val="13"/>
                <w:color w:val="0F7C7F"/>
              </w:rPr>
              <w:t>Unregistered Sales of Equity Securities and Use of Proceeds</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32</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400" w:type="dxa"/>
            <w:vAlign w:val="bottom"/>
            <w:gridSpan w:val="2"/>
            <w:shd w:val="clear" w:color="auto" w:fill="0F7C7F"/>
          </w:tcPr>
          <w:p>
            <w:pPr>
              <w:spacing w:after="0" w:line="20" w:lineRule="exact"/>
              <w:rPr>
                <w:sz w:val="1"/>
                <w:szCs w:val="1"/>
                <w:color w:val="auto"/>
              </w:rPr>
            </w:pPr>
          </w:p>
        </w:tc>
        <w:tc>
          <w:tcPr>
            <w:tcW w:w="4140" w:type="dxa"/>
            <w:vAlign w:val="bottom"/>
            <w:gridSpan w:val="6"/>
            <w:shd w:val="clear" w:color="auto" w:fill="0F7C7F"/>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600" w:type="dxa"/>
            <w:vAlign w:val="bottom"/>
          </w:tcPr>
          <w:p>
            <w:pPr>
              <w:ind w:left="20"/>
              <w:spacing w:after="0"/>
              <w:rPr>
                <w:sz w:val="20"/>
                <w:szCs w:val="20"/>
                <w:color w:val="auto"/>
              </w:rPr>
            </w:pPr>
            <w:r>
              <w:rPr>
                <w:rFonts w:ascii="Arial" w:cs="Arial" w:eastAsia="Arial" w:hAnsi="Arial"/>
                <w:sz w:val="13"/>
                <w:szCs w:val="13"/>
                <w:color w:val="auto"/>
              </w:rPr>
              <w:t>3.</w:t>
            </w:r>
          </w:p>
        </w:tc>
        <w:tc>
          <w:tcPr>
            <w:tcW w:w="5160" w:type="dxa"/>
            <w:vAlign w:val="bottom"/>
            <w:gridSpan w:val="10"/>
          </w:tcPr>
          <w:p>
            <w:pPr>
              <w:spacing w:after="0"/>
              <w:rPr>
                <w:sz w:val="20"/>
                <w:szCs w:val="20"/>
                <w:color w:val="auto"/>
              </w:rPr>
            </w:pPr>
            <w:r>
              <w:rPr>
                <w:rFonts w:ascii="Arial" w:cs="Arial" w:eastAsia="Arial" w:hAnsi="Arial"/>
                <w:sz w:val="13"/>
                <w:szCs w:val="13"/>
                <w:color w:val="auto"/>
              </w:rPr>
              <w:t>Defaults Upon Senior Securities</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219"/>
        </w:trPr>
        <w:tc>
          <w:tcPr>
            <w:tcW w:w="600" w:type="dxa"/>
            <w:vAlign w:val="bottom"/>
          </w:tcPr>
          <w:p>
            <w:pPr>
              <w:ind w:left="20"/>
              <w:spacing w:after="0"/>
              <w:rPr>
                <w:sz w:val="20"/>
                <w:szCs w:val="20"/>
                <w:color w:val="auto"/>
              </w:rPr>
            </w:pPr>
            <w:r>
              <w:rPr>
                <w:rFonts w:ascii="Arial" w:cs="Arial" w:eastAsia="Arial" w:hAnsi="Arial"/>
                <w:sz w:val="13"/>
                <w:szCs w:val="13"/>
                <w:color w:val="auto"/>
              </w:rPr>
              <w:t>4.</w:t>
            </w:r>
          </w:p>
        </w:tc>
        <w:tc>
          <w:tcPr>
            <w:tcW w:w="5160" w:type="dxa"/>
            <w:vAlign w:val="bottom"/>
            <w:gridSpan w:val="10"/>
          </w:tcPr>
          <w:p>
            <w:pPr>
              <w:spacing w:after="0"/>
              <w:rPr>
                <w:sz w:val="20"/>
                <w:szCs w:val="20"/>
                <w:color w:val="auto"/>
              </w:rPr>
            </w:pPr>
            <w:r>
              <w:rPr>
                <w:rFonts w:ascii="Arial" w:cs="Arial" w:eastAsia="Arial" w:hAnsi="Arial"/>
                <w:sz w:val="13"/>
                <w:szCs w:val="13"/>
                <w:color w:val="auto"/>
              </w:rPr>
              <w:t>Mine Safety Disclosures</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188"/>
        </w:trPr>
        <w:tc>
          <w:tcPr>
            <w:tcW w:w="600" w:type="dxa"/>
            <w:vAlign w:val="bottom"/>
          </w:tcPr>
          <w:p>
            <w:pPr>
              <w:ind w:left="20"/>
              <w:spacing w:after="0"/>
              <w:rPr>
                <w:sz w:val="20"/>
                <w:szCs w:val="20"/>
                <w:color w:val="auto"/>
              </w:rPr>
            </w:pPr>
            <w:r>
              <w:rPr>
                <w:rFonts w:ascii="Arial" w:cs="Arial" w:eastAsia="Arial" w:hAnsi="Arial"/>
                <w:sz w:val="13"/>
                <w:szCs w:val="13"/>
                <w:color w:val="auto"/>
              </w:rPr>
              <w:t>5.</w:t>
            </w:r>
          </w:p>
        </w:tc>
        <w:tc>
          <w:tcPr>
            <w:tcW w:w="1020" w:type="dxa"/>
            <w:vAlign w:val="bottom"/>
            <w:gridSpan w:val="4"/>
          </w:tcPr>
          <w:p>
            <w:pPr>
              <w:spacing w:after="0"/>
              <w:rPr>
                <w:sz w:val="20"/>
                <w:szCs w:val="20"/>
                <w:color w:val="auto"/>
              </w:rPr>
            </w:pPr>
            <w:r>
              <w:rPr>
                <w:rFonts w:ascii="Arial" w:cs="Arial" w:eastAsia="Arial" w:hAnsi="Arial"/>
                <w:sz w:val="13"/>
                <w:szCs w:val="13"/>
                <w:color w:val="0F7C7F"/>
                <w:w w:val="98"/>
              </w:rPr>
              <w:t>Other Information</w:t>
            </w:r>
          </w:p>
        </w:tc>
        <w:tc>
          <w:tcPr>
            <w:tcW w:w="4140" w:type="dxa"/>
            <w:vAlign w:val="bottom"/>
            <w:gridSpan w:val="6"/>
          </w:tcPr>
          <w:p>
            <w:pPr>
              <w:spacing w:after="0"/>
              <w:rPr>
                <w:sz w:val="16"/>
                <w:szCs w:val="16"/>
                <w:color w:val="auto"/>
              </w:rPr>
            </w:pP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32</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400" w:type="dxa"/>
            <w:vAlign w:val="bottom"/>
            <w:gridSpan w:val="2"/>
            <w:shd w:val="clear" w:color="auto" w:fill="0F7C7F"/>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ind w:left="20"/>
              <w:spacing w:after="0"/>
              <w:rPr>
                <w:sz w:val="20"/>
                <w:szCs w:val="20"/>
                <w:color w:val="auto"/>
              </w:rPr>
            </w:pPr>
            <w:r>
              <w:rPr>
                <w:rFonts w:ascii="Arial" w:cs="Arial" w:eastAsia="Arial" w:hAnsi="Arial"/>
                <w:sz w:val="13"/>
                <w:szCs w:val="13"/>
                <w:color w:val="auto"/>
              </w:rPr>
              <w:t>6.</w:t>
            </w:r>
          </w:p>
        </w:tc>
        <w:tc>
          <w:tcPr>
            <w:tcW w:w="460" w:type="dxa"/>
            <w:vAlign w:val="bottom"/>
          </w:tcPr>
          <w:p>
            <w:pPr>
              <w:spacing w:after="0"/>
              <w:rPr>
                <w:sz w:val="20"/>
                <w:szCs w:val="20"/>
                <w:color w:val="auto"/>
              </w:rPr>
            </w:pPr>
            <w:r>
              <w:rPr>
                <w:rFonts w:ascii="Arial" w:cs="Arial" w:eastAsia="Arial" w:hAnsi="Arial"/>
                <w:sz w:val="13"/>
                <w:szCs w:val="13"/>
                <w:color w:val="0F7C7F"/>
                <w:w w:val="96"/>
              </w:rPr>
              <w:t>Exhibits</w:t>
            </w:r>
          </w:p>
        </w:tc>
        <w:tc>
          <w:tcPr>
            <w:tcW w:w="560" w:type="dxa"/>
            <w:vAlign w:val="bottom"/>
            <w:gridSpan w:val="3"/>
          </w:tcPr>
          <w:p>
            <w:pPr>
              <w:spacing w:after="0"/>
              <w:rPr>
                <w:sz w:val="17"/>
                <w:szCs w:val="17"/>
                <w:color w:val="auto"/>
              </w:rPr>
            </w:pPr>
          </w:p>
        </w:tc>
        <w:tc>
          <w:tcPr>
            <w:tcW w:w="4140" w:type="dxa"/>
            <w:vAlign w:val="bottom"/>
            <w:gridSpan w:val="6"/>
          </w:tcPr>
          <w:p>
            <w:pPr>
              <w:spacing w:after="0"/>
              <w:rPr>
                <w:sz w:val="17"/>
                <w:szCs w:val="17"/>
                <w:color w:val="auto"/>
              </w:rPr>
            </w:pP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33</w:t>
            </w:r>
          </w:p>
        </w:tc>
      </w:tr>
      <w:tr>
        <w:trPr>
          <w:trHeight w:val="20"/>
        </w:trPr>
        <w:tc>
          <w:tcPr>
            <w:tcW w:w="600" w:type="dxa"/>
            <w:vAlign w:val="bottom"/>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00" w:type="dxa"/>
            <w:vAlign w:val="bottom"/>
          </w:tcPr>
          <w:p>
            <w:pPr>
              <w:spacing w:after="0"/>
              <w:rPr>
                <w:sz w:val="17"/>
                <w:szCs w:val="17"/>
                <w:color w:val="auto"/>
              </w:rPr>
            </w:pPr>
          </w:p>
        </w:tc>
        <w:tc>
          <w:tcPr>
            <w:tcW w:w="5160" w:type="dxa"/>
            <w:vAlign w:val="bottom"/>
            <w:gridSpan w:val="10"/>
          </w:tcPr>
          <w:p>
            <w:pPr>
              <w:spacing w:after="0"/>
              <w:rPr>
                <w:sz w:val="20"/>
                <w:szCs w:val="20"/>
                <w:color w:val="auto"/>
              </w:rPr>
            </w:pPr>
            <w:r>
              <w:rPr>
                <w:rFonts w:ascii="Arial" w:cs="Arial" w:eastAsia="Arial" w:hAnsi="Arial"/>
                <w:sz w:val="13"/>
                <w:szCs w:val="13"/>
                <w:color w:val="0F7C7F"/>
              </w:rPr>
              <w:t>Signatures</w:t>
            </w:r>
          </w:p>
        </w:tc>
        <w:tc>
          <w:tcPr>
            <w:tcW w:w="5520" w:type="dxa"/>
            <w:vAlign w:val="bottom"/>
            <w:gridSpan w:val="4"/>
          </w:tcPr>
          <w:p>
            <w:pPr>
              <w:jc w:val="right"/>
              <w:ind w:right="40"/>
              <w:spacing w:after="0"/>
              <w:rPr>
                <w:sz w:val="20"/>
                <w:szCs w:val="20"/>
                <w:color w:val="auto"/>
              </w:rPr>
            </w:pPr>
            <w:r>
              <w:rPr>
                <w:rFonts w:ascii="Arial" w:cs="Arial" w:eastAsia="Arial" w:hAnsi="Arial"/>
                <w:sz w:val="13"/>
                <w:szCs w:val="13"/>
                <w:color w:val="0F7C7F"/>
              </w:rPr>
              <w:t>34</w:t>
            </w:r>
          </w:p>
        </w:tc>
      </w:tr>
      <w:tr>
        <w:trPr>
          <w:trHeight w:val="1261"/>
        </w:trPr>
        <w:tc>
          <w:tcPr>
            <w:tcW w:w="600" w:type="dxa"/>
            <w:vAlign w:val="bottom"/>
            <w:tcBorders>
              <w:bottom w:val="single" w:sz="8" w:color="9A9A9A"/>
            </w:tcBorders>
          </w:tcPr>
          <w:p>
            <w:pPr>
              <w:spacing w:after="0"/>
              <w:rPr>
                <w:sz w:val="24"/>
                <w:szCs w:val="24"/>
                <w:color w:val="auto"/>
              </w:rPr>
            </w:pPr>
          </w:p>
        </w:tc>
        <w:tc>
          <w:tcPr>
            <w:tcW w:w="460" w:type="dxa"/>
            <w:vAlign w:val="bottom"/>
            <w:tcBorders>
              <w:top w:val="single" w:sz="8" w:color="0F7C7F"/>
              <w:bottom w:val="single" w:sz="8" w:color="9A9A9A"/>
            </w:tcBorders>
          </w:tcPr>
          <w:p>
            <w:pPr>
              <w:spacing w:after="0"/>
              <w:rPr>
                <w:sz w:val="24"/>
                <w:szCs w:val="24"/>
                <w:color w:val="auto"/>
              </w:rPr>
            </w:pPr>
          </w:p>
        </w:tc>
        <w:tc>
          <w:tcPr>
            <w:tcW w:w="160" w:type="dxa"/>
            <w:vAlign w:val="bottom"/>
            <w:tcBorders>
              <w:top w:val="single" w:sz="8" w:color="0F7C7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INCOME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120" w:type="dxa"/>
            <w:vAlign w:val="bottom"/>
          </w:tcPr>
          <w:p>
            <w:pPr>
              <w:spacing w:after="0"/>
              <w:rPr>
                <w:sz w:val="13"/>
                <w:szCs w:val="13"/>
                <w:color w:val="auto"/>
              </w:rPr>
            </w:pPr>
          </w:p>
        </w:tc>
        <w:tc>
          <w:tcPr>
            <w:tcW w:w="272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2"/>
                <w:szCs w:val="12"/>
                <w:b w:val="1"/>
                <w:bCs w:val="1"/>
                <w:color w:val="auto"/>
                <w:w w:val="96"/>
              </w:rPr>
              <w:t>Three Months Ended March 31,</w:t>
            </w:r>
          </w:p>
        </w:tc>
        <w:tc>
          <w:tcPr>
            <w:tcW w:w="440" w:type="dxa"/>
            <w:vAlign w:val="bottom"/>
            <w:tcBorders>
              <w:bottom w:val="single" w:sz="8" w:color="auto"/>
            </w:tcBorders>
          </w:tcPr>
          <w:p>
            <w:pPr>
              <w:spacing w:after="0"/>
              <w:rPr>
                <w:sz w:val="13"/>
                <w:szCs w:val="13"/>
                <w:color w:val="auto"/>
              </w:rPr>
            </w:pPr>
          </w:p>
        </w:tc>
      </w:tr>
      <w:tr>
        <w:trPr>
          <w:trHeight w:val="155"/>
        </w:trPr>
        <w:tc>
          <w:tcPr>
            <w:tcW w:w="8120" w:type="dxa"/>
            <w:vAlign w:val="bottom"/>
          </w:tcPr>
          <w:p>
            <w:pPr>
              <w:spacing w:after="0"/>
              <w:rPr>
                <w:sz w:val="13"/>
                <w:szCs w:val="13"/>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2"/>
                <w:szCs w:val="12"/>
                <w:b w:val="1"/>
                <w:bCs w:val="1"/>
                <w:color w:val="auto"/>
              </w:rPr>
              <w:t>2024</w:t>
            </w:r>
          </w:p>
        </w:tc>
        <w:tc>
          <w:tcPr>
            <w:tcW w:w="440" w:type="dxa"/>
            <w:vAlign w:val="bottom"/>
            <w:tcBorders>
              <w:bottom w:val="single" w:sz="8" w:color="auto"/>
            </w:tcBorders>
          </w:tcPr>
          <w:p>
            <w:pPr>
              <w:spacing w:after="0"/>
              <w:rPr>
                <w:sz w:val="13"/>
                <w:szCs w:val="13"/>
                <w:color w:val="auto"/>
              </w:rPr>
            </w:pPr>
          </w:p>
        </w:tc>
      </w:tr>
      <w:tr>
        <w:trPr>
          <w:trHeight w:val="148"/>
        </w:trPr>
        <w:tc>
          <w:tcPr>
            <w:tcW w:w="8120" w:type="dxa"/>
            <w:vAlign w:val="bottom"/>
          </w:tcPr>
          <w:p>
            <w:pPr>
              <w:spacing w:after="0"/>
              <w:rPr>
                <w:sz w:val="12"/>
                <w:szCs w:val="12"/>
                <w:color w:val="auto"/>
              </w:rPr>
            </w:pPr>
          </w:p>
        </w:tc>
        <w:tc>
          <w:tcPr>
            <w:tcW w:w="2720" w:type="dxa"/>
            <w:vAlign w:val="bottom"/>
            <w:gridSpan w:val="4"/>
          </w:tcPr>
          <w:p>
            <w:pPr>
              <w:jc w:val="center"/>
              <w:ind w:left="378"/>
              <w:spacing w:after="0"/>
              <w:rPr>
                <w:sz w:val="20"/>
                <w:szCs w:val="20"/>
                <w:color w:val="auto"/>
              </w:rPr>
            </w:pPr>
            <w:r>
              <w:rPr>
                <w:rFonts w:ascii="Arial" w:cs="Arial" w:eastAsia="Arial" w:hAnsi="Arial"/>
                <w:sz w:val="12"/>
                <w:szCs w:val="12"/>
                <w:b w:val="1"/>
                <w:bCs w:val="1"/>
                <w:color w:val="auto"/>
                <w:w w:val="96"/>
              </w:rPr>
              <w:t>(In millions, except per-share amounts)</w:t>
            </w:r>
          </w:p>
        </w:tc>
        <w:tc>
          <w:tcPr>
            <w:tcW w:w="440" w:type="dxa"/>
            <w:vAlign w:val="bottom"/>
          </w:tcPr>
          <w:p>
            <w:pPr>
              <w:spacing w:after="0"/>
              <w:rPr>
                <w:sz w:val="12"/>
                <w:szCs w:val="12"/>
                <w:color w:val="auto"/>
              </w:rPr>
            </w:pPr>
          </w:p>
        </w:tc>
      </w:tr>
      <w:tr>
        <w:trPr>
          <w:trHeight w:val="150"/>
        </w:trPr>
        <w:tc>
          <w:tcPr>
            <w:tcW w:w="8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40" w:type="dxa"/>
            <w:vAlign w:val="bottom"/>
            <w:gridSpan w:val="3"/>
          </w:tcPr>
          <w:p>
            <w:pPr>
              <w:jc w:val="center"/>
              <w:ind w:right="476"/>
              <w:spacing w:after="0"/>
              <w:rPr>
                <w:sz w:val="20"/>
                <w:szCs w:val="20"/>
                <w:color w:val="auto"/>
              </w:rPr>
            </w:pPr>
            <w:r>
              <w:rPr>
                <w:rFonts w:ascii="Arial" w:cs="Arial" w:eastAsia="Arial" w:hAnsi="Arial"/>
                <w:sz w:val="12"/>
                <w:szCs w:val="12"/>
                <w:b w:val="1"/>
                <w:bCs w:val="1"/>
                <w:color w:val="auto"/>
                <w:w w:val="95"/>
              </w:rPr>
              <w:t>(Unaudited)</w:t>
            </w:r>
          </w:p>
        </w:tc>
        <w:tc>
          <w:tcPr>
            <w:tcW w:w="440" w:type="dxa"/>
            <w:vAlign w:val="bottom"/>
          </w:tcPr>
          <w:p>
            <w:pPr>
              <w:spacing w:after="0"/>
              <w:rPr>
                <w:sz w:val="13"/>
                <w:szCs w:val="13"/>
                <w:color w:val="auto"/>
              </w:rPr>
            </w:pPr>
          </w:p>
        </w:tc>
      </w:tr>
      <w:tr>
        <w:trPr>
          <w:trHeight w:val="175"/>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74"/>
        </w:trPr>
        <w:tc>
          <w:tcPr>
            <w:tcW w:w="812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80" w:type="dxa"/>
            <w:vAlign w:val="bottom"/>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10,628</w:t>
            </w:r>
          </w:p>
        </w:tc>
        <w:tc>
          <w:tcPr>
            <w:tcW w:w="80" w:type="dxa"/>
            <w:vAlign w:val="bottom"/>
          </w:tcPr>
          <w:p>
            <w:pPr>
              <w:spacing w:after="0"/>
              <w:rPr>
                <w:sz w:val="15"/>
                <w:szCs w:val="15"/>
                <w:color w:val="auto"/>
              </w:rPr>
            </w:pPr>
          </w:p>
        </w:tc>
        <w:tc>
          <w:tcPr>
            <w:tcW w:w="1100" w:type="dxa"/>
            <w:vAlign w:val="bottom"/>
          </w:tcPr>
          <w:p>
            <w:pPr>
              <w:jc w:val="right"/>
              <w:ind w:right="936"/>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9,504</w:t>
            </w:r>
          </w:p>
        </w:tc>
      </w:tr>
      <w:tr>
        <w:trPr>
          <w:trHeight w:val="176"/>
        </w:trPr>
        <w:tc>
          <w:tcPr>
            <w:tcW w:w="8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 tax revenue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r>
      <w:tr>
        <w:trPr>
          <w:trHeight w:val="174"/>
        </w:trPr>
        <w:tc>
          <w:tcPr>
            <w:tcW w:w="8120" w:type="dxa"/>
            <w:vAlign w:val="bottom"/>
          </w:tcPr>
          <w:p>
            <w:pPr>
              <w:ind w:left="180"/>
              <w:spacing w:after="0"/>
              <w:rPr>
                <w:sz w:val="20"/>
                <w:szCs w:val="20"/>
                <w:color w:val="auto"/>
              </w:rPr>
            </w:pPr>
            <w:r>
              <w:rPr>
                <w:rFonts w:ascii="Arial" w:cs="Arial" w:eastAsia="Arial" w:hAnsi="Arial"/>
                <w:sz w:val="13"/>
                <w:szCs w:val="13"/>
                <w:color w:val="auto"/>
              </w:rPr>
              <w:t>Investment income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176"/>
        </w:trPr>
        <w:tc>
          <w:tcPr>
            <w:tcW w:w="8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revenue</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5"/>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Total revenue</w:t>
            </w: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11,147</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9,931</w:t>
            </w:r>
          </w:p>
        </w:tc>
      </w:tr>
      <w:tr>
        <w:trPr>
          <w:trHeight w:val="156"/>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4"/>
        </w:trPr>
        <w:tc>
          <w:tcPr>
            <w:tcW w:w="812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9,479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8,414</w:t>
            </w:r>
          </w:p>
        </w:tc>
      </w:tr>
      <w:tr>
        <w:trPr>
          <w:trHeight w:val="176"/>
        </w:trPr>
        <w:tc>
          <w:tcPr>
            <w:tcW w:w="8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r>
      <w:tr>
        <w:trPr>
          <w:trHeight w:val="174"/>
        </w:trPr>
        <w:tc>
          <w:tcPr>
            <w:tcW w:w="8120" w:type="dxa"/>
            <w:vAlign w:val="bottom"/>
          </w:tcPr>
          <w:p>
            <w:pPr>
              <w:ind w:left="180"/>
              <w:spacing w:after="0"/>
              <w:rPr>
                <w:sz w:val="20"/>
                <w:szCs w:val="20"/>
                <w:color w:val="auto"/>
              </w:rPr>
            </w:pPr>
            <w:r>
              <w:rPr>
                <w:rFonts w:ascii="Arial" w:cs="Arial" w:eastAsia="Arial" w:hAnsi="Arial"/>
                <w:sz w:val="13"/>
                <w:szCs w:val="13"/>
                <w:color w:val="auto"/>
              </w:rPr>
              <w:t>Premium tax expenses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176"/>
        </w:trPr>
        <w:tc>
          <w:tcPr>
            <w:tcW w:w="8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7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67"/>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operating expenses</w:t>
            </w: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10,714</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9,505</w:t>
            </w:r>
          </w:p>
        </w:tc>
      </w:tr>
      <w:tr>
        <w:trPr>
          <w:trHeight w:val="16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Operating income</w:t>
            </w: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r>
      <w:tr>
        <w:trPr>
          <w:trHeight w:val="167"/>
        </w:trPr>
        <w:tc>
          <w:tcPr>
            <w:tcW w:w="8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9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5"/>
        </w:trPr>
        <w:tc>
          <w:tcPr>
            <w:tcW w:w="812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390</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399</w:t>
            </w:r>
          </w:p>
        </w:tc>
      </w:tr>
      <w:tr>
        <w:trPr>
          <w:trHeight w:val="175"/>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tcBorders>
              <w:bottom w:val="single" w:sz="8" w:color="auto"/>
            </w:tcBorders>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74"/>
        </w:trPr>
        <w:tc>
          <w:tcPr>
            <w:tcW w:w="8120" w:type="dxa"/>
            <w:vAlign w:val="bottom"/>
          </w:tcPr>
          <w:p>
            <w:pPr>
              <w:ind w:left="20"/>
              <w:spacing w:after="0"/>
              <w:rPr>
                <w:sz w:val="20"/>
                <w:szCs w:val="20"/>
                <w:color w:val="auto"/>
              </w:rPr>
            </w:pPr>
            <w:r>
              <w:rPr>
                <w:rFonts w:ascii="Arial" w:cs="Arial" w:eastAsia="Arial" w:hAnsi="Arial"/>
                <w:sz w:val="13"/>
                <w:szCs w:val="13"/>
                <w:color w:val="auto"/>
              </w:rPr>
              <w:t>Net income per share - Basic</w:t>
            </w:r>
          </w:p>
        </w:tc>
        <w:tc>
          <w:tcPr>
            <w:tcW w:w="980" w:type="dxa"/>
            <w:vAlign w:val="bottom"/>
            <w:tcBorders>
              <w:bottom w:val="single" w:sz="8" w:color="auto"/>
            </w:tcBorders>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per share - Diluted</w:t>
            </w:r>
          </w:p>
        </w:tc>
        <w:tc>
          <w:tcPr>
            <w:tcW w:w="98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COMPREHENSIVE INCOME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100" w:type="dxa"/>
            <w:vAlign w:val="bottom"/>
          </w:tcPr>
          <w:p>
            <w:pPr>
              <w:spacing w:after="0"/>
              <w:rPr>
                <w:sz w:val="13"/>
                <w:szCs w:val="13"/>
                <w:color w:val="auto"/>
              </w:rPr>
            </w:pPr>
          </w:p>
        </w:tc>
        <w:tc>
          <w:tcPr>
            <w:tcW w:w="268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2"/>
                <w:szCs w:val="12"/>
                <w:b w:val="1"/>
                <w:bCs w:val="1"/>
                <w:color w:val="auto"/>
                <w:w w:val="96"/>
              </w:rPr>
              <w:t>Three Months Ended March 31,</w:t>
            </w:r>
          </w:p>
        </w:tc>
        <w:tc>
          <w:tcPr>
            <w:tcW w:w="460" w:type="dxa"/>
            <w:vAlign w:val="bottom"/>
            <w:tcBorders>
              <w:bottom w:val="single" w:sz="8" w:color="auto"/>
            </w:tcBorders>
          </w:tcPr>
          <w:p>
            <w:pPr>
              <w:spacing w:after="0"/>
              <w:rPr>
                <w:sz w:val="13"/>
                <w:szCs w:val="13"/>
                <w:color w:val="auto"/>
              </w:rPr>
            </w:pPr>
          </w:p>
        </w:tc>
      </w:tr>
      <w:tr>
        <w:trPr>
          <w:trHeight w:val="155"/>
        </w:trPr>
        <w:tc>
          <w:tcPr>
            <w:tcW w:w="8100" w:type="dxa"/>
            <w:vAlign w:val="bottom"/>
          </w:tcPr>
          <w:p>
            <w:pPr>
              <w:spacing w:after="0"/>
              <w:rPr>
                <w:sz w:val="13"/>
                <w:szCs w:val="13"/>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3"/>
                <w:szCs w:val="13"/>
                <w:color w:val="auto"/>
              </w:rPr>
            </w:pPr>
          </w:p>
        </w:tc>
      </w:tr>
      <w:tr>
        <w:trPr>
          <w:trHeight w:val="148"/>
        </w:trPr>
        <w:tc>
          <w:tcPr>
            <w:tcW w:w="8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gridSpan w:val="3"/>
          </w:tcPr>
          <w:p>
            <w:pPr>
              <w:jc w:val="center"/>
              <w:ind w:right="557"/>
              <w:spacing w:after="0"/>
              <w:rPr>
                <w:sz w:val="20"/>
                <w:szCs w:val="20"/>
                <w:color w:val="auto"/>
              </w:rPr>
            </w:pPr>
            <w:r>
              <w:rPr>
                <w:rFonts w:ascii="Arial" w:cs="Arial" w:eastAsia="Arial" w:hAnsi="Arial"/>
                <w:sz w:val="12"/>
                <w:szCs w:val="12"/>
                <w:b w:val="1"/>
                <w:bCs w:val="1"/>
                <w:color w:val="auto"/>
                <w:w w:val="97"/>
              </w:rPr>
              <w:t>(In millions)</w:t>
            </w:r>
          </w:p>
        </w:tc>
        <w:tc>
          <w:tcPr>
            <w:tcW w:w="460" w:type="dxa"/>
            <w:vAlign w:val="bottom"/>
          </w:tcPr>
          <w:p>
            <w:pPr>
              <w:spacing w:after="0"/>
              <w:rPr>
                <w:sz w:val="12"/>
                <w:szCs w:val="12"/>
                <w:color w:val="auto"/>
              </w:rPr>
            </w:pPr>
          </w:p>
        </w:tc>
      </w:tr>
      <w:tr>
        <w:trPr>
          <w:trHeight w:val="150"/>
        </w:trPr>
        <w:tc>
          <w:tcPr>
            <w:tcW w:w="8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0" w:type="dxa"/>
            <w:vAlign w:val="bottom"/>
            <w:gridSpan w:val="3"/>
          </w:tcPr>
          <w:p>
            <w:pPr>
              <w:jc w:val="center"/>
              <w:ind w:right="557"/>
              <w:spacing w:after="0"/>
              <w:rPr>
                <w:sz w:val="20"/>
                <w:szCs w:val="20"/>
                <w:color w:val="auto"/>
              </w:rPr>
            </w:pPr>
            <w:r>
              <w:rPr>
                <w:rFonts w:ascii="Arial" w:cs="Arial" w:eastAsia="Arial" w:hAnsi="Arial"/>
                <w:sz w:val="12"/>
                <w:szCs w:val="12"/>
                <w:b w:val="1"/>
                <w:bCs w:val="1"/>
                <w:color w:val="auto"/>
                <w:w w:val="98"/>
              </w:rPr>
              <w:t>(Unaudited)</w:t>
            </w:r>
          </w:p>
        </w:tc>
        <w:tc>
          <w:tcPr>
            <w:tcW w:w="460" w:type="dxa"/>
            <w:vAlign w:val="bottom"/>
          </w:tcPr>
          <w:p>
            <w:pPr>
              <w:spacing w:after="0"/>
              <w:rPr>
                <w:sz w:val="13"/>
                <w:szCs w:val="13"/>
                <w:color w:val="auto"/>
              </w:rPr>
            </w:pPr>
          </w:p>
        </w:tc>
      </w:tr>
      <w:tr>
        <w:trPr>
          <w:trHeight w:val="175"/>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74"/>
        </w:trPr>
        <w:tc>
          <w:tcPr>
            <w:tcW w:w="8100" w:type="dxa"/>
            <w:vAlign w:val="bottom"/>
          </w:tcPr>
          <w:p>
            <w:pPr>
              <w:ind w:left="20"/>
              <w:spacing w:after="0"/>
              <w:rPr>
                <w:sz w:val="20"/>
                <w:szCs w:val="20"/>
                <w:color w:val="auto"/>
              </w:rPr>
            </w:pPr>
            <w:r>
              <w:rPr>
                <w:rFonts w:ascii="Arial" w:cs="Arial" w:eastAsia="Arial" w:hAnsi="Arial"/>
                <w:sz w:val="13"/>
                <w:szCs w:val="13"/>
                <w:color w:val="auto"/>
              </w:rPr>
              <w:t>Other comprehensive gain (loss):</w:t>
            </w: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8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investment gain (loss)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4"/>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effect of income taxes</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comprehensive gain (loss), net of tax</w:t>
            </w:r>
          </w:p>
        </w:tc>
        <w:tc>
          <w:tcPr>
            <w:tcW w:w="10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7"/>
        </w:trPr>
        <w:tc>
          <w:tcPr>
            <w:tcW w:w="81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080" w:type="dxa"/>
            <w:vAlign w:val="bottom"/>
            <w:tcBorders>
              <w:bottom w:val="single" w:sz="8" w:color="auto"/>
            </w:tcBorders>
          </w:tcPr>
          <w:p>
            <w:pPr>
              <w:jc w:val="right"/>
              <w:ind w:right="918"/>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91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BALANCE SHEETS</w:t>
      </w:r>
    </w:p>
    <w:p>
      <w:pPr>
        <w:spacing w:after="0" w:line="32" w:lineRule="exact"/>
        <w:rPr>
          <w:sz w:val="20"/>
          <w:szCs w:val="20"/>
          <w:color w:val="auto"/>
        </w:rPr>
      </w:pPr>
    </w:p>
    <w:tbl>
      <w:tblPr>
        <w:tblLayout w:type="fixed"/>
        <w:tblInd w:w="8300" w:type="dxa"/>
        <w:tblCellMar>
          <w:top w:w="0" w:type="dxa"/>
          <w:left w:w="0" w:type="dxa"/>
          <w:bottom w:w="0" w:type="dxa"/>
          <w:right w:w="0" w:type="dxa"/>
        </w:tblCellMar>
      </w:tblPr>
      <w:tr>
        <w:trPr>
          <w:trHeight w:val="138"/>
        </w:trPr>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March 31,</w:t>
            </w: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7"/>
              </w:rPr>
              <w:t>December 31,</w:t>
            </w:r>
          </w:p>
        </w:tc>
      </w:tr>
      <w:tr>
        <w:trPr>
          <w:trHeight w:val="150"/>
        </w:trPr>
        <w:tc>
          <w:tcPr>
            <w:tcW w:w="142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144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b w:val="1"/>
                <w:bCs w:val="1"/>
                <w:color w:val="auto"/>
              </w:rPr>
              <w:t>2024</w:t>
            </w:r>
          </w:p>
        </w:tc>
      </w:tr>
    </w:tbl>
    <w:p>
      <w:pPr>
        <w:spacing w:after="0" w:line="18"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Cash and cash equivalents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Receivables</w:t>
      </w:r>
    </w:p>
    <w:p>
      <w:pPr>
        <w:spacing w:after="0" w:line="25" w:lineRule="exact"/>
        <w:rPr>
          <w:sz w:val="20"/>
          <w:szCs w:val="20"/>
          <w:color w:val="auto"/>
        </w:rPr>
      </w:pPr>
    </w:p>
    <w:p>
      <w:pPr>
        <w:ind w:left="180" w:right="900" w:hanging="65"/>
        <w:spacing w:after="0" w:line="289" w:lineRule="auto"/>
        <w:rPr>
          <w:sz w:val="20"/>
          <w:szCs w:val="20"/>
          <w:color w:val="auto"/>
        </w:rPr>
      </w:pPr>
      <w:r>
        <w:rPr>
          <w:rFonts w:ascii="Arial" w:cs="Arial" w:eastAsia="Arial" w:hAnsi="Arial"/>
          <w:sz w:val="13"/>
          <w:szCs w:val="13"/>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equipment, and capitalized software,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investments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1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right"/>
              <w:ind w:right="274"/>
              <w:spacing w:after="0"/>
              <w:rPr>
                <w:sz w:val="20"/>
                <w:szCs w:val="20"/>
                <w:color w:val="auto"/>
              </w:rPr>
            </w:pPr>
            <w:r>
              <w:rPr>
                <w:rFonts w:ascii="Arial" w:cs="Arial" w:eastAsia="Arial" w:hAnsi="Arial"/>
                <w:sz w:val="12"/>
                <w:szCs w:val="12"/>
                <w:b w:val="1"/>
                <w:bCs w:val="1"/>
                <w:color w:val="auto"/>
              </w:rPr>
              <w:t>(Dollars in millions,</w:t>
            </w:r>
          </w:p>
        </w:tc>
        <w:tc>
          <w:tcPr>
            <w:tcW w:w="600" w:type="dxa"/>
            <w:vAlign w:val="bottom"/>
          </w:tcPr>
          <w:p>
            <w:pPr>
              <w:spacing w:after="0"/>
              <w:rPr>
                <w:sz w:val="12"/>
                <w:szCs w:val="12"/>
                <w:color w:val="auto"/>
              </w:rPr>
            </w:pPr>
          </w:p>
        </w:tc>
      </w:tr>
      <w:tr>
        <w:trPr>
          <w:trHeight w:val="153"/>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rPr>
              <w:t>except per-share amounts)</w:t>
            </w:r>
          </w:p>
        </w:tc>
        <w:tc>
          <w:tcPr>
            <w:tcW w:w="600" w:type="dxa"/>
            <w:vAlign w:val="bottom"/>
          </w:tcPr>
          <w:p>
            <w:pPr>
              <w:spacing w:after="0"/>
              <w:rPr>
                <w:sz w:val="13"/>
                <w:szCs w:val="13"/>
                <w:color w:val="auto"/>
              </w:rPr>
            </w:pPr>
          </w:p>
        </w:tc>
      </w:tr>
      <w:tr>
        <w:trPr>
          <w:trHeight w:val="159"/>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Arial" w:cs="Arial" w:eastAsia="Arial" w:hAnsi="Arial"/>
                <w:sz w:val="12"/>
                <w:szCs w:val="12"/>
                <w:b w:val="1"/>
                <w:bCs w:val="1"/>
                <w:color w:val="auto"/>
              </w:rPr>
              <w:t>(Unaudited)</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1"/>
        </w:trPr>
        <w:tc>
          <w:tcPr>
            <w:tcW w:w="3160" w:type="dxa"/>
            <w:vAlign w:val="bottom"/>
            <w:gridSpan w:val="2"/>
          </w:tcPr>
          <w:p>
            <w:pPr>
              <w:jc w:val="right"/>
              <w:ind w:right="2640"/>
              <w:spacing w:after="0"/>
              <w:rPr>
                <w:sz w:val="20"/>
                <w:szCs w:val="20"/>
                <w:color w:val="auto"/>
              </w:rPr>
            </w:pPr>
            <w:r>
              <w:rPr>
                <w:rFonts w:ascii="Arial" w:cs="Arial" w:eastAsia="Arial" w:hAnsi="Arial"/>
                <w:sz w:val="13"/>
                <w:szCs w:val="13"/>
                <w:b w:val="1"/>
                <w:bCs w:val="1"/>
                <w:color w:val="auto"/>
                <w:w w:val="96"/>
              </w:rPr>
              <w:t>ASSETS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44"/>
        </w:trPr>
        <w:tc>
          <w:tcPr>
            <w:tcW w:w="3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4,856</w:t>
            </w:r>
          </w:p>
        </w:tc>
        <w:tc>
          <w:tcPr>
            <w:tcW w:w="100" w:type="dxa"/>
            <w:vAlign w:val="bottom"/>
          </w:tcPr>
          <w:p>
            <w:pPr>
              <w:spacing w:after="0"/>
              <w:rPr>
                <w:sz w:val="24"/>
                <w:szCs w:val="24"/>
                <w:color w:val="auto"/>
              </w:rPr>
            </w:pPr>
          </w:p>
        </w:tc>
        <w:tc>
          <w:tcPr>
            <w:tcW w:w="84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4,662</w:t>
            </w:r>
          </w:p>
        </w:tc>
      </w:tr>
      <w:tr>
        <w:trPr>
          <w:trHeight w:val="175"/>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4,438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4,325</w:t>
            </w:r>
          </w:p>
        </w:tc>
      </w:tr>
      <w:tr>
        <w:trPr>
          <w:trHeight w:val="175"/>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3,491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3,299</w:t>
            </w:r>
          </w:p>
        </w:tc>
      </w:tr>
      <w:tr>
        <w:trPr>
          <w:trHeight w:val="176"/>
        </w:trPr>
        <w:tc>
          <w:tcPr>
            <w:tcW w:w="2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w:t>
            </w:r>
          </w:p>
        </w:tc>
      </w:tr>
      <w:tr>
        <w:trPr>
          <w:trHeight w:val="165"/>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13,257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12,773</w:t>
            </w:r>
          </w:p>
        </w:tc>
      </w:tr>
      <w:tr>
        <w:trPr>
          <w:trHeight w:val="175"/>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288</w:t>
            </w:r>
          </w:p>
        </w:tc>
      </w:tr>
      <w:tr>
        <w:trPr>
          <w:trHeight w:val="175"/>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2,175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1,938</w:t>
            </w:r>
          </w:p>
        </w:tc>
      </w:tr>
      <w:tr>
        <w:trPr>
          <w:trHeight w:val="175"/>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286</w:t>
            </w:r>
          </w:p>
        </w:tc>
      </w:tr>
      <w:tr>
        <w:trPr>
          <w:trHeight w:val="175"/>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176"/>
        </w:trPr>
        <w:tc>
          <w:tcPr>
            <w:tcW w:w="2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r>
      <w:tr>
        <w:trPr>
          <w:trHeight w:val="166"/>
        </w:trPr>
        <w:tc>
          <w:tcPr>
            <w:tcW w:w="3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16,386</w:t>
            </w:r>
          </w:p>
        </w:tc>
        <w:tc>
          <w:tcPr>
            <w:tcW w:w="100" w:type="dxa"/>
            <w:vAlign w:val="bottom"/>
          </w:tcPr>
          <w:p>
            <w:pPr>
              <w:spacing w:after="0"/>
              <w:rPr>
                <w:sz w:val="14"/>
                <w:szCs w:val="14"/>
                <w:color w:val="auto"/>
              </w:rPr>
            </w:pPr>
          </w:p>
        </w:tc>
        <w:tc>
          <w:tcPr>
            <w:tcW w:w="84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15,630</w:t>
            </w:r>
          </w:p>
        </w:tc>
      </w:tr>
      <w:tr>
        <w:trPr>
          <w:trHeight w:val="20"/>
        </w:trPr>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-1485265</wp:posOffset>
            </wp:positionV>
            <wp:extent cx="7144385"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11112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-1263015</wp:posOffset>
            </wp:positionV>
            <wp:extent cx="7144385"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11112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-1040765</wp:posOffset>
            </wp:positionV>
            <wp:extent cx="7144385"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11112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-818515</wp:posOffset>
            </wp:positionV>
            <wp:extent cx="7144385" cy="118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1181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-589280</wp:posOffset>
            </wp:positionV>
            <wp:extent cx="7144385"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11112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-367665</wp:posOffset>
            </wp:positionV>
            <wp:extent cx="7144385"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1112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-145415</wp:posOffset>
            </wp:positionV>
            <wp:extent cx="7144385" cy="132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3208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118110</wp:posOffset>
            </wp:positionV>
            <wp:extent cx="7144385"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1112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9" w:lineRule="exact"/>
        <w:rPr>
          <w:sz w:val="20"/>
          <w:szCs w:val="20"/>
          <w:color w:val="auto"/>
        </w:rPr>
      </w:pPr>
    </w:p>
    <w:p>
      <w:pPr>
        <w:sectPr>
          <w:pgSz w:w="11900" w:h="16838" w:orient="portrait"/>
          <w:cols w:equalWidth="0" w:num="2">
            <w:col w:w="3520" w:space="720"/>
            <w:col w:w="704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8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Medical claims and benefits payable</w:t>
            </w:r>
          </w:p>
        </w:tc>
        <w:tc>
          <w:tcPr>
            <w:tcW w:w="52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0" w:type="dxa"/>
            <w:vAlign w:val="bottom"/>
          </w:tcPr>
          <w:p>
            <w:pPr>
              <w:spacing w:after="0"/>
              <w:rPr>
                <w:sz w:val="1"/>
                <w:szCs w:val="1"/>
                <w:color w:val="auto"/>
              </w:rPr>
            </w:pPr>
          </w:p>
        </w:tc>
      </w:tr>
      <w:tr>
        <w:trPr>
          <w:trHeight w:val="174"/>
        </w:trPr>
        <w:tc>
          <w:tcPr>
            <w:tcW w:w="8300" w:type="dxa"/>
            <w:vAlign w:val="bottom"/>
          </w:tcPr>
          <w:p>
            <w:pPr>
              <w:ind w:left="120"/>
              <w:spacing w:after="0"/>
              <w:rPr>
                <w:sz w:val="20"/>
                <w:szCs w:val="20"/>
                <w:color w:val="auto"/>
              </w:rPr>
            </w:pPr>
            <w:r>
              <w:rPr>
                <w:rFonts w:ascii="Arial" w:cs="Arial" w:eastAsia="Arial" w:hAnsi="Arial"/>
                <w:sz w:val="13"/>
                <w:szCs w:val="13"/>
                <w:color w:val="auto"/>
              </w:rPr>
              <w:t>Amounts due government agencies</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1,863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1,874</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 accrued liabilities and other</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0" w:type="dxa"/>
            <w:vAlign w:val="bottom"/>
          </w:tcPr>
          <w:p>
            <w:pPr>
              <w:spacing w:after="0"/>
              <w:rPr>
                <w:sz w:val="1"/>
                <w:szCs w:val="1"/>
                <w:color w:val="auto"/>
              </w:rPr>
            </w:pPr>
          </w:p>
        </w:tc>
      </w:tr>
      <w:tr>
        <w:trPr>
          <w:trHeight w:val="174"/>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Deferred revenue</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7"/>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7,896</w:t>
            </w:r>
          </w:p>
        </w:tc>
        <w:tc>
          <w:tcPr>
            <w:tcW w:w="0" w:type="dxa"/>
            <w:vAlign w:val="bottom"/>
          </w:tcPr>
          <w:p>
            <w:pPr>
              <w:spacing w:after="0"/>
              <w:rPr>
                <w:sz w:val="1"/>
                <w:szCs w:val="1"/>
                <w:color w:val="auto"/>
              </w:rPr>
            </w:pPr>
          </w:p>
        </w:tc>
      </w:tr>
      <w:tr>
        <w:trPr>
          <w:trHeight w:val="174"/>
        </w:trPr>
        <w:tc>
          <w:tcPr>
            <w:tcW w:w="83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3,574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2,923</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liabilities</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67"/>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12,076</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11,134</w:t>
            </w:r>
          </w:p>
        </w:tc>
        <w:tc>
          <w:tcPr>
            <w:tcW w:w="0" w:type="dxa"/>
            <w:vAlign w:val="bottom"/>
          </w:tcPr>
          <w:p>
            <w:pPr>
              <w:spacing w:after="0"/>
              <w:rPr>
                <w:sz w:val="1"/>
                <w:szCs w:val="1"/>
                <w:color w:val="auto"/>
              </w:rPr>
            </w:pPr>
          </w:p>
        </w:tc>
      </w:tr>
      <w:tr>
        <w:trPr>
          <w:trHeight w:val="154"/>
        </w:trPr>
        <w:tc>
          <w:tcPr>
            <w:tcW w:w="83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30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Common stock, $0.001 par value, 150 million shares authorized; outstanding: 54 million shares at March 31, 2025 and 56 million at</w:t>
            </w:r>
          </w:p>
        </w:tc>
        <w:tc>
          <w:tcPr>
            <w:tcW w:w="5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8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December 31, 2024</w:t>
            </w:r>
          </w:p>
        </w:tc>
        <w:tc>
          <w:tcPr>
            <w:tcW w:w="5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00" w:type="dxa"/>
            <w:vAlign w:val="bottom"/>
          </w:tcPr>
          <w:p>
            <w:pPr>
              <w:ind w:left="120"/>
              <w:spacing w:after="0"/>
              <w:rPr>
                <w:sz w:val="20"/>
                <w:szCs w:val="20"/>
                <w:color w:val="auto"/>
              </w:rPr>
            </w:pPr>
            <w:r>
              <w:rPr>
                <w:rFonts w:ascii="Arial" w:cs="Arial" w:eastAsia="Arial" w:hAnsi="Arial"/>
                <w:sz w:val="13"/>
                <w:szCs w:val="13"/>
                <w:color w:val="auto"/>
              </w:rPr>
              <w:t>Preferred stock, $0.001 par value; 20 million shares authorized, no shares issued and outstanding</w:t>
            </w:r>
          </w:p>
        </w:tc>
        <w:tc>
          <w:tcPr>
            <w:tcW w:w="5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74"/>
        </w:trPr>
        <w:tc>
          <w:tcPr>
            <w:tcW w:w="830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0" w:type="dxa"/>
            <w:vAlign w:val="bottom"/>
          </w:tcPr>
          <w:p>
            <w:pPr>
              <w:spacing w:after="0"/>
              <w:rPr>
                <w:sz w:val="1"/>
                <w:szCs w:val="1"/>
                <w:color w:val="auto"/>
              </w:rPr>
            </w:pPr>
          </w:p>
        </w:tc>
      </w:tr>
      <w:tr>
        <w:trPr>
          <w:trHeight w:val="16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4,310</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16,386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STOCKHOLDERS’ EQUITY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960" w:type="dxa"/>
            <w:vAlign w:val="bottom"/>
            <w:gridSpan w:val="4"/>
          </w:tcPr>
          <w:p>
            <w:pPr>
              <w:jc w:val="center"/>
              <w:ind w:left="142"/>
              <w:spacing w:after="0"/>
              <w:rPr>
                <w:sz w:val="20"/>
                <w:szCs w:val="20"/>
                <w:color w:val="auto"/>
              </w:rPr>
            </w:pPr>
            <w:r>
              <w:rPr>
                <w:rFonts w:ascii="Arial" w:cs="Arial" w:eastAsia="Arial" w:hAnsi="Arial"/>
                <w:sz w:val="12"/>
                <w:szCs w:val="12"/>
                <w:b w:val="1"/>
                <w:bCs w:val="1"/>
                <w:color w:val="auto"/>
                <w:w w:val="95"/>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12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Accumulated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restart"/>
          </w:tcPr>
          <w:p>
            <w:pPr>
              <w:jc w:val="center"/>
              <w:ind w:right="117"/>
              <w:spacing w:after="0" w:line="113" w:lineRule="exact"/>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3"/>
                <w:szCs w:val="3"/>
                <w:color w:val="auto"/>
              </w:rPr>
            </w:pPr>
          </w:p>
        </w:tc>
        <w:tc>
          <w:tcPr>
            <w:tcW w:w="1200" w:type="dxa"/>
            <w:vAlign w:val="bottom"/>
            <w:vMerge w:val="restart"/>
          </w:tcPr>
          <w:p>
            <w:pPr>
              <w:jc w:val="center"/>
              <w:ind w:left="222"/>
              <w:spacing w:after="0" w:line="113" w:lineRule="exact"/>
              <w:rPr>
                <w:sz w:val="20"/>
                <w:szCs w:val="20"/>
                <w:color w:val="auto"/>
              </w:rPr>
            </w:pPr>
            <w:r>
              <w:rPr>
                <w:rFonts w:ascii="Arial" w:cs="Arial" w:eastAsia="Arial" w:hAnsi="Arial"/>
                <w:sz w:val="12"/>
                <w:szCs w:val="12"/>
                <w:b w:val="1"/>
                <w:bCs w:val="1"/>
                <w:color w:val="auto"/>
                <w:w w:val="99"/>
              </w:rPr>
              <w:t>Other</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4"/>
            <w:vMerge w:val="restart"/>
          </w:tcPr>
          <w:p>
            <w:pPr>
              <w:ind w:left="120"/>
              <w:spacing w:after="0" w:line="113" w:lineRule="exact"/>
              <w:rPr>
                <w:sz w:val="20"/>
                <w:szCs w:val="20"/>
                <w:color w:val="auto"/>
              </w:rPr>
            </w:pPr>
            <w:r>
              <w:rPr>
                <w:rFonts w:ascii="Arial" w:cs="Arial" w:eastAsia="Arial" w:hAnsi="Arial"/>
                <w:sz w:val="12"/>
                <w:szCs w:val="12"/>
                <w:b w:val="1"/>
                <w:bCs w:val="1"/>
                <w:color w:val="auto"/>
              </w:rPr>
              <w:t>Retained</w:t>
            </w: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3880" w:type="dxa"/>
            <w:vAlign w:val="bottom"/>
          </w:tcPr>
          <w:p>
            <w:pPr>
              <w:spacing w:after="0"/>
              <w:rPr>
                <w:sz w:val="4"/>
                <w:szCs w:val="4"/>
                <w:color w:val="auto"/>
              </w:rPr>
            </w:pPr>
          </w:p>
        </w:tc>
        <w:tc>
          <w:tcPr>
            <w:tcW w:w="96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6"/>
              </w:rPr>
              <w:t>Outstanding</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388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17"/>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Comprehensive Loss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Earnings</w:t>
            </w:r>
          </w:p>
        </w:tc>
        <w:tc>
          <w:tcPr>
            <w:tcW w:w="10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2"/>
          </w:tcPr>
          <w:p>
            <w:pPr>
              <w:jc w:val="right"/>
              <w:ind w:right="562"/>
              <w:spacing w:after="0"/>
              <w:rPr>
                <w:sz w:val="20"/>
                <w:szCs w:val="20"/>
                <w:color w:val="auto"/>
              </w:rPr>
            </w:pPr>
            <w:r>
              <w:rPr>
                <w:rFonts w:ascii="Arial" w:cs="Arial" w:eastAsia="Arial" w:hAnsi="Arial"/>
                <w:sz w:val="12"/>
                <w:szCs w:val="12"/>
                <w:b w:val="1"/>
                <w:bCs w:val="1"/>
                <w:color w:val="auto"/>
                <w:w w:val="97"/>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562"/>
              <w:spacing w:after="0"/>
              <w:rPr>
                <w:sz w:val="20"/>
                <w:szCs w:val="20"/>
                <w:color w:val="auto"/>
              </w:rPr>
            </w:pPr>
            <w:r>
              <w:rPr>
                <w:rFonts w:ascii="Arial" w:cs="Arial" w:eastAsia="Arial" w:hAnsi="Arial"/>
                <w:sz w:val="12"/>
                <w:szCs w:val="12"/>
                <w:b w:val="1"/>
                <w:bCs w:val="1"/>
                <w:color w:val="auto"/>
                <w:w w:val="98"/>
              </w:rPr>
              <w:t>(Unaudited)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300" w:type="dxa"/>
            <w:vAlign w:val="bottom"/>
            <w:gridSpan w:val="2"/>
            <w:shd w:val="clear" w:color="auto" w:fill="CCEEFF"/>
          </w:tcPr>
          <w:p>
            <w:pPr>
              <w:jc w:val="right"/>
              <w:ind w:right="106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4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Common stock purchases</w:t>
            </w: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4"/>
        </w:trPr>
        <w:tc>
          <w:tcPr>
            <w:tcW w:w="4840" w:type="dxa"/>
            <w:vAlign w:val="bottom"/>
            <w:gridSpan w:val="2"/>
          </w:tcPr>
          <w:p>
            <w:pPr>
              <w:ind w:left="120"/>
              <w:spacing w:after="0"/>
              <w:rPr>
                <w:sz w:val="20"/>
                <w:szCs w:val="20"/>
                <w:color w:val="auto"/>
              </w:rPr>
            </w:pPr>
            <w:r>
              <w:rPr>
                <w:rFonts w:ascii="Arial" w:cs="Arial" w:eastAsia="Arial" w:hAnsi="Arial"/>
                <w:sz w:val="13"/>
                <w:szCs w:val="13"/>
                <w:color w:val="auto"/>
              </w:rPr>
              <w:t>Stock purchase excise tax</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6"/>
        </w:trPr>
        <w:tc>
          <w:tcPr>
            <w:tcW w:w="4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income, net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Share-based compensation</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1300" w:type="dxa"/>
            <w:vAlign w:val="bottom"/>
            <w:gridSpan w:val="2"/>
            <w:shd w:val="clear" w:color="auto" w:fill="CCEEFF"/>
          </w:tcPr>
          <w:p>
            <w:pPr>
              <w:jc w:val="right"/>
              <w:ind w:right="106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left="202"/>
              <w:spacing w:after="0"/>
              <w:rPr>
                <w:sz w:val="20"/>
                <w:szCs w:val="20"/>
                <w:color w:val="auto"/>
              </w:rPr>
            </w:pPr>
            <w:r>
              <w:rPr>
                <w:rFonts w:ascii="Arial" w:cs="Arial" w:eastAsia="Arial" w:hAnsi="Arial"/>
                <w:sz w:val="12"/>
                <w:szCs w:val="12"/>
                <w:b w:val="1"/>
                <w:bCs w:val="1"/>
                <w:color w:val="auto"/>
                <w:w w:val="98"/>
              </w:rPr>
              <w:t>Accumulated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960" w:type="dxa"/>
            <w:vAlign w:val="bottom"/>
            <w:gridSpan w:val="4"/>
          </w:tcPr>
          <w:p>
            <w:pPr>
              <w:jc w:val="center"/>
              <w:ind w:left="142"/>
              <w:spacing w:after="0" w:line="129" w:lineRule="exact"/>
              <w:rPr>
                <w:sz w:val="20"/>
                <w:szCs w:val="20"/>
                <w:color w:val="auto"/>
              </w:rPr>
            </w:pPr>
            <w:r>
              <w:rPr>
                <w:rFonts w:ascii="Arial" w:cs="Arial" w:eastAsia="Arial" w:hAnsi="Arial"/>
                <w:sz w:val="12"/>
                <w:szCs w:val="12"/>
                <w:b w:val="1"/>
                <w:bCs w:val="1"/>
                <w:color w:val="auto"/>
                <w:w w:val="95"/>
              </w:rPr>
              <w:t>Common 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17"/>
              <w:spacing w:after="0" w:line="129"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1200" w:type="dxa"/>
            <w:vAlign w:val="bottom"/>
          </w:tcPr>
          <w:p>
            <w:pPr>
              <w:jc w:val="center"/>
              <w:ind w:left="222"/>
              <w:spacing w:after="0" w:line="129" w:lineRule="exact"/>
              <w:rPr>
                <w:sz w:val="20"/>
                <w:szCs w:val="20"/>
                <w:color w:val="auto"/>
              </w:rPr>
            </w:pPr>
            <w:r>
              <w:rPr>
                <w:rFonts w:ascii="Arial" w:cs="Arial" w:eastAsia="Arial" w:hAnsi="Arial"/>
                <w:sz w:val="12"/>
                <w:szCs w:val="12"/>
                <w:b w:val="1"/>
                <w:bCs w:val="1"/>
                <w:color w:val="auto"/>
                <w:w w:val="99"/>
              </w:rPr>
              <w:t>Other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restart"/>
          </w:tcPr>
          <w:p>
            <w:pPr>
              <w:jc w:val="center"/>
              <w:ind w:right="117"/>
              <w:spacing w:after="0" w:line="110" w:lineRule="exact"/>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3"/>
                <w:szCs w:val="3"/>
                <w:color w:val="auto"/>
              </w:rPr>
            </w:pPr>
          </w:p>
        </w:tc>
        <w:tc>
          <w:tcPr>
            <w:tcW w:w="1200" w:type="dxa"/>
            <w:vAlign w:val="bottom"/>
            <w:vMerge w:val="restart"/>
          </w:tcPr>
          <w:p>
            <w:pPr>
              <w:jc w:val="center"/>
              <w:ind w:left="222"/>
              <w:spacing w:after="0" w:line="110" w:lineRule="exact"/>
              <w:rPr>
                <w:sz w:val="20"/>
                <w:szCs w:val="20"/>
                <w:color w:val="auto"/>
              </w:rPr>
            </w:pPr>
            <w:r>
              <w:rPr>
                <w:rFonts w:ascii="Arial" w:cs="Arial" w:eastAsia="Arial" w:hAnsi="Arial"/>
                <w:sz w:val="12"/>
                <w:szCs w:val="12"/>
                <w:b w:val="1"/>
                <w:bCs w:val="1"/>
                <w:color w:val="auto"/>
                <w:w w:val="97"/>
              </w:rPr>
              <w:t>Comprehensive</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4"/>
            <w:vMerge w:val="restart"/>
          </w:tcPr>
          <w:p>
            <w:pPr>
              <w:ind w:left="100"/>
              <w:spacing w:after="0" w:line="110" w:lineRule="exact"/>
              <w:rPr>
                <w:sz w:val="20"/>
                <w:szCs w:val="20"/>
                <w:color w:val="auto"/>
              </w:rPr>
            </w:pPr>
            <w:r>
              <w:rPr>
                <w:rFonts w:ascii="Arial" w:cs="Arial" w:eastAsia="Arial" w:hAnsi="Arial"/>
                <w:sz w:val="12"/>
                <w:szCs w:val="12"/>
                <w:b w:val="1"/>
                <w:bCs w:val="1"/>
                <w:color w:val="auto"/>
              </w:rPr>
              <w:t>Retained</w:t>
            </w: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880" w:type="dxa"/>
            <w:vAlign w:val="bottom"/>
          </w:tcPr>
          <w:p>
            <w:pPr>
              <w:spacing w:after="0"/>
              <w:rPr>
                <w:sz w:val="3"/>
                <w:szCs w:val="3"/>
                <w:color w:val="auto"/>
              </w:rPr>
            </w:pPr>
          </w:p>
        </w:tc>
        <w:tc>
          <w:tcPr>
            <w:tcW w:w="96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6"/>
              </w:rPr>
              <w:t>Outstanding</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355"/>
              <w:spacing w:after="0"/>
              <w:rPr>
                <w:sz w:val="20"/>
                <w:szCs w:val="20"/>
                <w:color w:val="auto"/>
              </w:rPr>
            </w:pPr>
            <w:r>
              <w:rPr>
                <w:rFonts w:ascii="Arial" w:cs="Arial" w:eastAsia="Arial" w:hAnsi="Arial"/>
                <w:sz w:val="12"/>
                <w:szCs w:val="12"/>
                <w:b w:val="1"/>
                <w:bCs w:val="1"/>
                <w:color w:val="auto"/>
              </w:rPr>
              <w:t>Total</w:t>
            </w: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17"/>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center"/>
              <w:ind w:left="222"/>
              <w:spacing w:after="0"/>
              <w:rPr>
                <w:sz w:val="20"/>
                <w:szCs w:val="20"/>
                <w:color w:val="auto"/>
              </w:rPr>
            </w:pPr>
            <w:r>
              <w:rPr>
                <w:rFonts w:ascii="Arial" w:cs="Arial" w:eastAsia="Arial" w:hAnsi="Arial"/>
                <w:sz w:val="12"/>
                <w:szCs w:val="12"/>
                <w:b w:val="1"/>
                <w:bCs w:val="1"/>
                <w:color w:val="auto"/>
                <w:w w:val="99"/>
              </w:rPr>
              <w:t>Loss</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Earnings</w:t>
            </w:r>
          </w:p>
        </w:tc>
        <w:tc>
          <w:tcPr>
            <w:tcW w:w="10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2"/>
          </w:tcPr>
          <w:p>
            <w:pPr>
              <w:jc w:val="right"/>
              <w:ind w:right="582"/>
              <w:spacing w:after="0"/>
              <w:rPr>
                <w:sz w:val="20"/>
                <w:szCs w:val="20"/>
                <w:color w:val="auto"/>
              </w:rPr>
            </w:pPr>
            <w:r>
              <w:rPr>
                <w:rFonts w:ascii="Arial" w:cs="Arial" w:eastAsia="Arial" w:hAnsi="Arial"/>
                <w:sz w:val="12"/>
                <w:szCs w:val="12"/>
                <w:b w:val="1"/>
                <w:bCs w:val="1"/>
                <w:color w:val="auto"/>
                <w:w w:val="94"/>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582"/>
              <w:spacing w:after="0"/>
              <w:rPr>
                <w:sz w:val="20"/>
                <w:szCs w:val="20"/>
                <w:color w:val="auto"/>
              </w:rPr>
            </w:pPr>
            <w:r>
              <w:rPr>
                <w:rFonts w:ascii="Arial" w:cs="Arial" w:eastAsia="Arial" w:hAnsi="Arial"/>
                <w:sz w:val="12"/>
                <w:szCs w:val="12"/>
                <w:b w:val="1"/>
                <w:bCs w:val="1"/>
                <w:color w:val="auto"/>
                <w:w w:val="95"/>
              </w:rPr>
              <w:t>(Unaudited)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300" w:type="dxa"/>
            <w:vAlign w:val="bottom"/>
            <w:gridSpan w:val="2"/>
            <w:shd w:val="clear" w:color="auto" w:fill="CCEEFF"/>
          </w:tcPr>
          <w:p>
            <w:pPr>
              <w:jc w:val="right"/>
              <w:ind w:right="106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4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loss, net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Share-based compensation</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300" w:type="dxa"/>
            <w:vAlign w:val="bottom"/>
            <w:gridSpan w:val="2"/>
            <w:shd w:val="clear" w:color="auto" w:fill="CCEEFF"/>
          </w:tcPr>
          <w:p>
            <w:pPr>
              <w:jc w:val="right"/>
              <w:ind w:right="106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Pr>
          <w:p>
            <w:pPr>
              <w:spacing w:after="0"/>
              <w:rPr>
                <w:sz w:val="13"/>
                <w:szCs w:val="13"/>
                <w:color w:val="auto"/>
              </w:rPr>
            </w:pPr>
          </w:p>
        </w:tc>
        <w:tc>
          <w:tcPr>
            <w:tcW w:w="264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2"/>
                <w:szCs w:val="12"/>
                <w:b w:val="1"/>
                <w:bCs w:val="1"/>
                <w:color w:val="auto"/>
                <w:w w:val="96"/>
              </w:rPr>
              <w:t>Three Months Ended March 31,</w:t>
            </w:r>
          </w:p>
        </w:tc>
        <w:tc>
          <w:tcPr>
            <w:tcW w:w="520" w:type="dxa"/>
            <w:vAlign w:val="bottom"/>
            <w:tcBorders>
              <w:bottom w:val="single" w:sz="8" w:color="auto"/>
            </w:tcBorders>
          </w:tcPr>
          <w:p>
            <w:pPr>
              <w:spacing w:after="0"/>
              <w:rPr>
                <w:sz w:val="13"/>
                <w:szCs w:val="13"/>
                <w:color w:val="auto"/>
              </w:rPr>
            </w:pPr>
          </w:p>
        </w:tc>
      </w:tr>
      <w:tr>
        <w:trPr>
          <w:trHeight w:val="155"/>
        </w:trPr>
        <w:tc>
          <w:tcPr>
            <w:tcW w:w="8080" w:type="dxa"/>
            <w:vAlign w:val="bottom"/>
          </w:tcPr>
          <w:p>
            <w:pPr>
              <w:spacing w:after="0"/>
              <w:rPr>
                <w:sz w:val="13"/>
                <w:szCs w:val="13"/>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2"/>
                <w:szCs w:val="12"/>
                <w:b w:val="1"/>
                <w:bCs w:val="1"/>
                <w:color w:val="auto"/>
              </w:rPr>
              <w:t>2024</w:t>
            </w:r>
          </w:p>
        </w:tc>
        <w:tc>
          <w:tcPr>
            <w:tcW w:w="520" w:type="dxa"/>
            <w:vAlign w:val="bottom"/>
            <w:tcBorders>
              <w:bottom w:val="single" w:sz="8" w:color="auto"/>
            </w:tcBorders>
          </w:tcPr>
          <w:p>
            <w:pPr>
              <w:spacing w:after="0"/>
              <w:rPr>
                <w:sz w:val="13"/>
                <w:szCs w:val="13"/>
                <w:color w:val="auto"/>
              </w:rPr>
            </w:pPr>
          </w:p>
        </w:tc>
      </w:tr>
      <w:tr>
        <w:trPr>
          <w:trHeight w:val="148"/>
        </w:trPr>
        <w:tc>
          <w:tcPr>
            <w:tcW w:w="8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gridSpan w:val="3"/>
          </w:tcPr>
          <w:p>
            <w:pPr>
              <w:jc w:val="center"/>
              <w:ind w:right="437"/>
              <w:spacing w:after="0"/>
              <w:rPr>
                <w:sz w:val="20"/>
                <w:szCs w:val="20"/>
                <w:color w:val="auto"/>
              </w:rPr>
            </w:pPr>
            <w:r>
              <w:rPr>
                <w:rFonts w:ascii="Arial" w:cs="Arial" w:eastAsia="Arial" w:hAnsi="Arial"/>
                <w:sz w:val="12"/>
                <w:szCs w:val="12"/>
                <w:b w:val="1"/>
                <w:bCs w:val="1"/>
                <w:color w:val="auto"/>
                <w:w w:val="94"/>
              </w:rPr>
              <w:t>(In millions)</w:t>
            </w:r>
          </w:p>
        </w:tc>
        <w:tc>
          <w:tcPr>
            <w:tcW w:w="520" w:type="dxa"/>
            <w:vAlign w:val="bottom"/>
          </w:tcPr>
          <w:p>
            <w:pPr>
              <w:spacing w:after="0"/>
              <w:rPr>
                <w:sz w:val="12"/>
                <w:szCs w:val="12"/>
                <w:color w:val="auto"/>
              </w:rPr>
            </w:pPr>
          </w:p>
        </w:tc>
      </w:tr>
      <w:tr>
        <w:trPr>
          <w:trHeight w:val="150"/>
        </w:trPr>
        <w:tc>
          <w:tcPr>
            <w:tcW w:w="8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20" w:type="dxa"/>
            <w:vAlign w:val="bottom"/>
            <w:gridSpan w:val="3"/>
          </w:tcPr>
          <w:p>
            <w:pPr>
              <w:jc w:val="center"/>
              <w:ind w:right="437"/>
              <w:spacing w:after="0"/>
              <w:rPr>
                <w:sz w:val="20"/>
                <w:szCs w:val="20"/>
                <w:color w:val="auto"/>
              </w:rPr>
            </w:pPr>
            <w:r>
              <w:rPr>
                <w:rFonts w:ascii="Arial" w:cs="Arial" w:eastAsia="Arial" w:hAnsi="Arial"/>
                <w:sz w:val="12"/>
                <w:szCs w:val="12"/>
                <w:b w:val="1"/>
                <w:bCs w:val="1"/>
                <w:color w:val="auto"/>
                <w:w w:val="95"/>
              </w:rPr>
              <w:t>(Unaudited)</w:t>
            </w:r>
          </w:p>
        </w:tc>
        <w:tc>
          <w:tcPr>
            <w:tcW w:w="520" w:type="dxa"/>
            <w:vAlign w:val="bottom"/>
          </w:tcPr>
          <w:p>
            <w:pPr>
              <w:spacing w:after="0"/>
              <w:rPr>
                <w:sz w:val="13"/>
                <w:szCs w:val="13"/>
                <w:color w:val="auto"/>
              </w:rPr>
            </w:pPr>
          </w:p>
        </w:tc>
      </w:tr>
      <w:tr>
        <w:trPr>
          <w:trHeight w:val="175"/>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4"/>
        </w:trPr>
        <w:tc>
          <w:tcPr>
            <w:tcW w:w="8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tcPr>
          <w:p>
            <w:pPr>
              <w:jc w:val="right"/>
              <w:ind w:right="87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5"/>
                <w:szCs w:val="15"/>
                <w:color w:val="auto"/>
              </w:rPr>
            </w:pPr>
          </w:p>
        </w:tc>
        <w:tc>
          <w:tcPr>
            <w:tcW w:w="1020" w:type="dxa"/>
            <w:vAlign w:val="bottom"/>
          </w:tcPr>
          <w:p>
            <w:pPr>
              <w:jc w:val="right"/>
              <w:ind w:right="85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301</w:t>
            </w:r>
          </w:p>
        </w:tc>
      </w:tr>
      <w:tr>
        <w:trPr>
          <w:trHeight w:val="176"/>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6"/>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74"/>
        </w:trPr>
        <w:tc>
          <w:tcPr>
            <w:tcW w:w="808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6"/>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Medical claims and benefits payable</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74"/>
        </w:trPr>
        <w:tc>
          <w:tcPr>
            <w:tcW w:w="8080" w:type="dxa"/>
            <w:vAlign w:val="bottom"/>
          </w:tcPr>
          <w:p>
            <w:pPr>
              <w:ind w:left="180"/>
              <w:spacing w:after="0"/>
              <w:rPr>
                <w:sz w:val="20"/>
                <w:szCs w:val="20"/>
                <w:color w:val="auto"/>
              </w:rPr>
            </w:pPr>
            <w:r>
              <w:rPr>
                <w:rFonts w:ascii="Arial" w:cs="Arial" w:eastAsia="Arial" w:hAnsi="Arial"/>
                <w:sz w:val="13"/>
                <w:szCs w:val="13"/>
                <w:color w:val="auto"/>
              </w:rPr>
              <w:t>Amounts due government agencies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76"/>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r>
      <w:tr>
        <w:trPr>
          <w:trHeight w:val="174"/>
        </w:trPr>
        <w:tc>
          <w:tcPr>
            <w:tcW w:w="808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76"/>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5"/>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provided by operating activities</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r>
      <w:tr>
        <w:trPr>
          <w:trHeight w:val="156"/>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Purchases of investments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(380)</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and maturities of investments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Net cash paid in business combinations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(295)</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property, equipment and capitalized software</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74"/>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7"/>
        </w:trPr>
        <w:tc>
          <w:tcPr>
            <w:tcW w:w="8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investing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r>
      <w:tr>
        <w:trPr>
          <w:trHeight w:val="154"/>
        </w:trPr>
        <w:tc>
          <w:tcPr>
            <w:tcW w:w="808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 purchases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Proceeds from borrowings under credit facility</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borrowings under term loan</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Common stock withheld to settle employee tax obligations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5"/>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provided by (used in) financing activities</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r>
      <w:tr>
        <w:trPr>
          <w:trHeight w:val="167"/>
        </w:trPr>
        <w:tc>
          <w:tcPr>
            <w:tcW w:w="8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 (decrease) in cash, cash equivalents, and restricted cash and cash equivalents</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r>
      <w:tr>
        <w:trPr>
          <w:trHeight w:val="17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and cash equivalents at beginning of period</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4,741</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4,908</w:t>
            </w:r>
          </w:p>
        </w:tc>
      </w:tr>
      <w:tr>
        <w:trPr>
          <w:trHeight w:val="19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and cash equivalents at end of period</w:t>
            </w:r>
          </w:p>
        </w:tc>
        <w:tc>
          <w:tcPr>
            <w:tcW w:w="102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NOTES TO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MARCH 31, 2025</w:t>
      </w:r>
    </w:p>
    <w:p>
      <w:pPr>
        <w:spacing w:after="0" w:line="287" w:lineRule="exact"/>
        <w:rPr>
          <w:sz w:val="20"/>
          <w:szCs w:val="20"/>
          <w:color w:val="auto"/>
        </w:rPr>
      </w:pPr>
    </w:p>
    <w:p>
      <w:pPr>
        <w:ind w:right="8380" w:firstLine="7"/>
        <w:spacing w:after="0" w:line="391" w:lineRule="auto"/>
        <w:tabs>
          <w:tab w:leader="none" w:pos="162" w:val="left"/>
        </w:tabs>
        <w:numPr>
          <w:ilvl w:val="0"/>
          <w:numId w:val="3"/>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Organization and Basis of Presentation </w:t>
      </w:r>
      <w:r>
        <w:rPr>
          <w:rFonts w:ascii="Arial" w:cs="Arial" w:eastAsia="Arial" w:hAnsi="Arial"/>
          <w:sz w:val="14"/>
          <w:szCs w:val="14"/>
          <w:b w:val="1"/>
          <w:bCs w:val="1"/>
          <w:i w:val="1"/>
          <w:iCs w:val="1"/>
          <w:color w:val="000000"/>
        </w:rPr>
        <w:t>Organization and Operations</w:t>
      </w:r>
    </w:p>
    <w:p>
      <w:pPr>
        <w:ind w:right="40"/>
        <w:spacing w:after="0" w:line="256" w:lineRule="auto"/>
        <w:rPr>
          <w:sz w:val="20"/>
          <w:szCs w:val="20"/>
          <w:color w:val="auto"/>
        </w:rPr>
      </w:pPr>
      <w:r>
        <w:rPr>
          <w:rFonts w:ascii="Arial" w:cs="Arial" w:eastAsia="Arial" w:hAnsi="Arial"/>
          <w:sz w:val="15"/>
          <w:szCs w:val="15"/>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2025, we served approximately 5.8 million members eligible for government-sponsored healthcare programs, located across 22 states.</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5"/>
          <w:szCs w:val="15"/>
          <w:color w:val="auto"/>
        </w:rPr>
        <w:t>Our state Medicaid contracts typically have terms of three years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0"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49"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year to three years.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In Marketplace, we enter into contracts with CMS, which end on December 31 of each year, and must be renewed annually.</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Consolidation and Interim Financial Information</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three months ended March 31, 2025 are not necessarily indicative of the results for the entire year ending December 31, 2025.</w:t>
      </w:r>
    </w:p>
    <w:p>
      <w:pPr>
        <w:spacing w:after="0" w:line="63" w:lineRule="exact"/>
        <w:rPr>
          <w:sz w:val="20"/>
          <w:szCs w:val="20"/>
          <w:color w:val="auto"/>
        </w:rPr>
      </w:pPr>
    </w:p>
    <w:p>
      <w:pPr>
        <w:jc w:val="both"/>
        <w:ind w:right="140"/>
        <w:spacing w:after="0" w:line="256" w:lineRule="auto"/>
        <w:rPr>
          <w:sz w:val="20"/>
          <w:szCs w:val="20"/>
          <w:color w:val="auto"/>
        </w:rPr>
      </w:pPr>
      <w:r>
        <w:rPr>
          <w:rFonts w:ascii="Arial" w:cs="Arial" w:eastAsia="Arial" w:hAnsi="Arial"/>
          <w:sz w:val="15"/>
          <w:szCs w:val="15"/>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2024. Accordingly, certain disclosures that would substantially duplicate the disclosures contained in our December 31, 2024, audited consolidated financial statements have been omitted.</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57" w:lineRule="exact"/>
        <w:rPr>
          <w:sz w:val="20"/>
          <w:szCs w:val="20"/>
          <w:color w:val="auto"/>
        </w:rPr>
      </w:pPr>
    </w:p>
    <w:p>
      <w:pPr>
        <w:ind w:right="8940" w:firstLine="7"/>
        <w:spacing w:after="0" w:line="391" w:lineRule="auto"/>
        <w:tabs>
          <w:tab w:leader="none" w:pos="162" w:val="left"/>
        </w:tabs>
        <w:numPr>
          <w:ilvl w:val="0"/>
          <w:numId w:val="4"/>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Significant Accounting Policies </w:t>
      </w:r>
      <w:r>
        <w:rPr>
          <w:rFonts w:ascii="Arial" w:cs="Arial" w:eastAsia="Arial" w:hAnsi="Arial"/>
          <w:sz w:val="14"/>
          <w:szCs w:val="14"/>
          <w:b w:val="1"/>
          <w:bCs w:val="1"/>
          <w:i w:val="1"/>
          <w:iCs w:val="1"/>
          <w:color w:val="000000"/>
        </w:rPr>
        <w:t>Cash and Cash Equivalents</w:t>
      </w:r>
    </w:p>
    <w:p>
      <w:pPr>
        <w:ind w:right="100"/>
        <w:spacing w:after="0" w:line="252" w:lineRule="auto"/>
        <w:rPr>
          <w:sz w:val="20"/>
          <w:szCs w:val="20"/>
          <w:color w:val="auto"/>
        </w:rPr>
      </w:pPr>
      <w:r>
        <w:rPr>
          <w:rFonts w:ascii="Arial" w:cs="Arial" w:eastAsia="Arial" w:hAnsi="Arial"/>
          <w:sz w:val="15"/>
          <w:szCs w:val="15"/>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2"/>
                <w:szCs w:val="12"/>
                <w:b w:val="1"/>
                <w:bCs w:val="1"/>
                <w:color w:val="auto"/>
              </w:rPr>
              <w:t>March 31,</w:t>
            </w:r>
          </w:p>
        </w:tc>
        <w:tc>
          <w:tcPr>
            <w:tcW w:w="1000" w:type="dxa"/>
            <w:vAlign w:val="bottom"/>
            <w:tcBorders>
              <w:bottom w:val="single" w:sz="8" w:color="auto"/>
            </w:tcBorders>
          </w:tcPr>
          <w:p>
            <w:pPr>
              <w:spacing w:after="0"/>
              <w:rPr>
                <w:sz w:val="13"/>
                <w:szCs w:val="13"/>
                <w:color w:val="auto"/>
              </w:rPr>
            </w:pPr>
          </w:p>
        </w:tc>
      </w:tr>
      <w:tr>
        <w:trPr>
          <w:trHeight w:val="155"/>
        </w:trPr>
        <w:tc>
          <w:tcPr>
            <w:tcW w:w="8320" w:type="dxa"/>
            <w:vAlign w:val="bottom"/>
          </w:tcPr>
          <w:p>
            <w:pPr>
              <w:spacing w:after="0"/>
              <w:rPr>
                <w:sz w:val="13"/>
                <w:szCs w:val="1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2024</w:t>
            </w:r>
          </w:p>
        </w:tc>
      </w:tr>
      <w:tr>
        <w:trPr>
          <w:trHeight w:val="188"/>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gridSpan w:val="3"/>
          </w:tcPr>
          <w:p>
            <w:pPr>
              <w:jc w:val="right"/>
              <w:ind w:right="94"/>
              <w:spacing w:after="0"/>
              <w:rPr>
                <w:sz w:val="20"/>
                <w:szCs w:val="20"/>
                <w:color w:val="auto"/>
              </w:rPr>
            </w:pPr>
            <w:r>
              <w:rPr>
                <w:rFonts w:ascii="Arial" w:cs="Arial" w:eastAsia="Arial" w:hAnsi="Arial"/>
                <w:sz w:val="12"/>
                <w:szCs w:val="12"/>
                <w:b w:val="1"/>
                <w:bCs w:val="1"/>
                <w:color w:val="auto"/>
              </w:rPr>
              <w:t>(In millions)</w:t>
            </w:r>
          </w:p>
        </w:tc>
        <w:tc>
          <w:tcPr>
            <w:tcW w:w="1000" w:type="dxa"/>
            <w:vAlign w:val="bottom"/>
          </w:tcPr>
          <w:p>
            <w:pPr>
              <w:spacing w:after="0"/>
              <w:rPr>
                <w:sz w:val="16"/>
                <w:szCs w:val="16"/>
                <w:color w:val="auto"/>
              </w:rPr>
            </w:pPr>
          </w:p>
        </w:tc>
      </w:tr>
      <w:tr>
        <w:trPr>
          <w:trHeight w:val="17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4,513</w:t>
            </w:r>
          </w:p>
        </w:tc>
      </w:tr>
      <w:tr>
        <w:trPr>
          <w:trHeight w:val="17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r>
      <w:tr>
        <w:trPr>
          <w:trHeight w:val="191"/>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restricted cash and cash equivalents presented in the consolidated statements of cash flows</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Receivables</w:t>
      </w:r>
    </w:p>
    <w:p>
      <w:pPr>
        <w:spacing w:after="0" w:line="88"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Receivables consist primarily of premium amounts due from government agencies, which are subject to potential retroactive adjustments, as well as pharmacy rebates and other receivables. Government receivables amounted to $2,265 million and $2,223 million at March 31, 2025 and December 31, 2024, respectively.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Premium Revenue Recognition and Amounts Due Government Agencies</w:t>
      </w:r>
    </w:p>
    <w:p>
      <w:pPr>
        <w:spacing w:after="0" w:line="88"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2024 Annual Report on Form 10-K, Note 2, “Significant Accounting Policies,” under “Premium Revenue Recognition and Amounts Due Government Agencies,” and “Quality Incentives.”</w:t>
      </w:r>
    </w:p>
    <w:p>
      <w:pPr>
        <w:spacing w:after="0" w:line="67"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 xml:space="preserve">Minimum MLR, Medical Cost Corridors and Profit Sharing. </w:t>
      </w:r>
      <w:r>
        <w:rPr>
          <w:rFonts w:ascii="Arial" w:cs="Arial" w:eastAsia="Arial" w:hAnsi="Arial"/>
          <w:sz w:val="14"/>
          <w:szCs w:val="14"/>
          <w:color w:val="auto"/>
        </w:rPr>
        <w:t>A portion of our Medicaid premium revenue may be returned if certain minimum amounts are not spent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defined 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$856 million and $1,006 million at March 31, 2025 and December 31, 2024, respectively, to “Amounts due government agencies” in the accompanying consolidated balance sheets.</w:t>
      </w:r>
    </w:p>
    <w:p>
      <w:pPr>
        <w:spacing w:after="0" w:line="54"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$39 million and $32 million at March 31, 2025 and December 31, 2024, respectively, to “Amounts due government agencies” in the accompanying consolidated balance sheets.</w:t>
      </w:r>
    </w:p>
    <w:p>
      <w:pPr>
        <w:spacing w:after="0" w:line="64" w:lineRule="exact"/>
        <w:rPr>
          <w:sz w:val="20"/>
          <w:szCs w:val="20"/>
          <w:color w:val="auto"/>
        </w:rPr>
      </w:pPr>
    </w:p>
    <w:p>
      <w:pPr>
        <w:ind w:right="160"/>
        <w:spacing w:after="0" w:line="276" w:lineRule="auto"/>
        <w:rPr>
          <w:sz w:val="20"/>
          <w:szCs w:val="20"/>
          <w:color w:val="auto"/>
        </w:rPr>
      </w:pPr>
      <w:r>
        <w:rPr>
          <w:rFonts w:ascii="Arial" w:cs="Arial" w:eastAsia="Arial" w:hAnsi="Arial"/>
          <w:sz w:val="14"/>
          <w:szCs w:val="14"/>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We recorded a liability under the terms of such contract provisions of $33 million and $30 million at March 31, 2025 and December 31, 2024, respectively, to “Amounts due government agencies” in the accompanying consolidated balance sheets.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b w:val="1"/>
          <w:bCs w:val="1"/>
          <w:i w:val="1"/>
          <w:iCs w:val="1"/>
          <w:color w:val="auto"/>
        </w:rPr>
        <w:t xml:space="preserve">Risk Adjustment. </w:t>
      </w:r>
      <w:r>
        <w:rPr>
          <w:rFonts w:ascii="Arial" w:cs="Arial" w:eastAsia="Arial" w:hAnsi="Arial"/>
          <w:sz w:val="15"/>
          <w:szCs w:val="15"/>
          <w:color w:val="auto"/>
        </w:rPr>
        <w:t>Our Medicare premiums are subject to retroactive increase or decrease based on the health status of our Medicare members (as measured by member risk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$112 million and $115 million at March 31, 2025 and December 31, 2024, respectively, to “Amounts due government agencies” in the accompanying consolidated balance sheets.</w:t>
      </w:r>
    </w:p>
    <w:p>
      <w:pPr>
        <w:spacing w:after="0" w:line="64"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March 31, 2025, Marketplace risk adjustment payables amounted to $454 million and related receivables amounted to $227 million, for a net payable of $227 million. As of December 31, 2024, Marketplace risk adjustment payables amounted to $290 million and related receivables amounted to $192 million, for a net payable of $98 million.</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Premium Deficiency Reserve on Loss Contracts</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Concentrations of Credit Risk</w:t>
      </w:r>
    </w:p>
    <w:p>
      <w:pPr>
        <w:spacing w:after="0" w:line="88"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88"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The provision for income taxes is determined using an estimated annual effective tax rate, which generally differs from the U.S. federal statutory rate primarily because of tax credits, state taxes, and nondeductible expenses such as certain compensation and other general and administrative expenses.</w:t>
      </w:r>
    </w:p>
    <w:p>
      <w:pPr>
        <w:spacing w:after="0" w:line="49"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Recent accounting pronouncements issued by the Financial Accounting Standards Board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3. Net Income Per Share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calculation of basic and diluted net income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980" w:type="dxa"/>
            <w:vAlign w:val="bottom"/>
          </w:tcPr>
          <w:p>
            <w:pPr>
              <w:spacing w:after="0"/>
              <w:rPr>
                <w:sz w:val="13"/>
                <w:szCs w:val="13"/>
                <w:color w:val="auto"/>
              </w:rPr>
            </w:pPr>
          </w:p>
        </w:tc>
        <w:tc>
          <w:tcPr>
            <w:tcW w:w="29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2"/>
                <w:szCs w:val="12"/>
                <w:b w:val="1"/>
                <w:bCs w:val="1"/>
                <w:color w:val="auto"/>
              </w:rPr>
              <w:t>Three Months Ended March 31,</w:t>
            </w:r>
          </w:p>
        </w:tc>
        <w:tc>
          <w:tcPr>
            <w:tcW w:w="400" w:type="dxa"/>
            <w:vAlign w:val="bottom"/>
            <w:tcBorders>
              <w:bottom w:val="single" w:sz="8" w:color="auto"/>
            </w:tcBorders>
          </w:tcPr>
          <w:p>
            <w:pPr>
              <w:spacing w:after="0"/>
              <w:rPr>
                <w:sz w:val="13"/>
                <w:szCs w:val="13"/>
                <w:color w:val="auto"/>
              </w:rPr>
            </w:pPr>
          </w:p>
        </w:tc>
      </w:tr>
      <w:tr>
        <w:trPr>
          <w:trHeight w:val="155"/>
        </w:trPr>
        <w:tc>
          <w:tcPr>
            <w:tcW w:w="7980" w:type="dxa"/>
            <w:vAlign w:val="bottom"/>
          </w:tcPr>
          <w:p>
            <w:pPr>
              <w:spacing w:after="0"/>
              <w:rPr>
                <w:sz w:val="13"/>
                <w:szCs w:val="13"/>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2"/>
                <w:szCs w:val="12"/>
                <w:b w:val="1"/>
                <w:bCs w:val="1"/>
                <w:color w:val="auto"/>
              </w:rPr>
              <w:t>2024</w:t>
            </w:r>
          </w:p>
        </w:tc>
        <w:tc>
          <w:tcPr>
            <w:tcW w:w="400" w:type="dxa"/>
            <w:vAlign w:val="bottom"/>
            <w:tcBorders>
              <w:bottom w:val="single" w:sz="8" w:color="auto"/>
            </w:tcBorders>
          </w:tcPr>
          <w:p>
            <w:pPr>
              <w:spacing w:after="0"/>
              <w:rPr>
                <w:sz w:val="13"/>
                <w:szCs w:val="13"/>
                <w:color w:val="auto"/>
              </w:rPr>
            </w:pPr>
          </w:p>
        </w:tc>
      </w:tr>
      <w:tr>
        <w:trPr>
          <w:trHeight w:val="188"/>
        </w:trPr>
        <w:tc>
          <w:tcPr>
            <w:tcW w:w="7980" w:type="dxa"/>
            <w:vAlign w:val="bottom"/>
          </w:tcPr>
          <w:p>
            <w:pPr>
              <w:spacing w:after="0"/>
              <w:rPr>
                <w:sz w:val="16"/>
                <w:szCs w:val="16"/>
                <w:color w:val="auto"/>
              </w:rPr>
            </w:pPr>
          </w:p>
        </w:tc>
        <w:tc>
          <w:tcPr>
            <w:tcW w:w="2900" w:type="dxa"/>
            <w:vAlign w:val="bottom"/>
            <w:gridSpan w:val="4"/>
          </w:tcPr>
          <w:p>
            <w:pPr>
              <w:jc w:val="right"/>
              <w:ind w:right="36"/>
              <w:spacing w:after="0"/>
              <w:rPr>
                <w:sz w:val="20"/>
                <w:szCs w:val="20"/>
                <w:color w:val="auto"/>
              </w:rPr>
            </w:pPr>
            <w:r>
              <w:rPr>
                <w:rFonts w:ascii="Arial" w:cs="Arial" w:eastAsia="Arial" w:hAnsi="Arial"/>
                <w:sz w:val="12"/>
                <w:szCs w:val="12"/>
                <w:b w:val="1"/>
                <w:bCs w:val="1"/>
                <w:color w:val="auto"/>
              </w:rPr>
              <w:t>(In millions, except net income per share)</w:t>
            </w:r>
          </w:p>
        </w:tc>
        <w:tc>
          <w:tcPr>
            <w:tcW w:w="400" w:type="dxa"/>
            <w:vAlign w:val="bottom"/>
          </w:tcPr>
          <w:p>
            <w:pPr>
              <w:spacing w:after="0"/>
              <w:rPr>
                <w:sz w:val="16"/>
                <w:szCs w:val="16"/>
                <w:color w:val="auto"/>
              </w:rPr>
            </w:pPr>
          </w:p>
        </w:tc>
      </w:tr>
      <w:tr>
        <w:trPr>
          <w:trHeight w:val="176"/>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Numerator:</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auto"/>
            </w:tcBorders>
          </w:tcPr>
          <w:p>
            <w:pPr>
              <w:jc w:val="right"/>
              <w:ind w:right="958"/>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036"/>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37"/>
        </w:trPr>
        <w:tc>
          <w:tcPr>
            <w:tcW w:w="79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b w:val="1"/>
                <w:bCs w:val="1"/>
                <w:i w:val="1"/>
                <w:iCs w:val="1"/>
                <w:color w:val="auto"/>
              </w:rPr>
              <w:t>Denominator:</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74"/>
        </w:trPr>
        <w:tc>
          <w:tcPr>
            <w:tcW w:w="7980" w:type="dxa"/>
            <w:vAlign w:val="bottom"/>
          </w:tcPr>
          <w:p>
            <w:pPr>
              <w:ind w:left="20"/>
              <w:spacing w:after="0"/>
              <w:rPr>
                <w:sz w:val="20"/>
                <w:szCs w:val="20"/>
                <w:color w:val="auto"/>
              </w:rPr>
            </w:pPr>
            <w:r>
              <w:rPr>
                <w:rFonts w:ascii="Arial" w:cs="Arial" w:eastAsia="Arial" w:hAnsi="Arial"/>
                <w:sz w:val="13"/>
                <w:szCs w:val="13"/>
                <w:color w:val="auto"/>
              </w:rPr>
              <w:t>Shares outstanding at the beginning of the period</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57.8</w:t>
            </w:r>
          </w:p>
        </w:tc>
      </w:tr>
      <w:tr>
        <w:trPr>
          <w:trHeight w:val="176"/>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number of shares issued:</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74"/>
        </w:trPr>
        <w:tc>
          <w:tcPr>
            <w:tcW w:w="798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76"/>
        </w:trPr>
        <w:tc>
          <w:tcPr>
            <w:tcW w:w="7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purchases</w:t>
            </w:r>
          </w:p>
        </w:tc>
        <w:tc>
          <w:tcPr>
            <w:tcW w:w="1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7980" w:type="dxa"/>
            <w:vAlign w:val="bottom"/>
          </w:tcPr>
          <w:p>
            <w:pPr>
              <w:ind w:left="20"/>
              <w:spacing w:after="0"/>
              <w:rPr>
                <w:sz w:val="20"/>
                <w:szCs w:val="20"/>
                <w:color w:val="auto"/>
              </w:rPr>
            </w:pPr>
            <w:r>
              <w:rPr>
                <w:rFonts w:ascii="Arial" w:cs="Arial" w:eastAsia="Arial" w:hAnsi="Arial"/>
                <w:sz w:val="13"/>
                <w:szCs w:val="13"/>
                <w:color w:val="auto"/>
              </w:rPr>
              <w:t>Denominator for basic net income per share</w:t>
            </w:r>
          </w:p>
        </w:tc>
        <w:tc>
          <w:tcPr>
            <w:tcW w:w="1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57.9</w:t>
            </w:r>
          </w:p>
        </w:tc>
      </w:tr>
      <w:tr>
        <w:trPr>
          <w:trHeight w:val="176"/>
        </w:trPr>
        <w:tc>
          <w:tcPr>
            <w:tcW w:w="798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Effect of dilutive securities: </w:t>
            </w:r>
            <w:r>
              <w:rPr>
                <w:rFonts w:ascii="Arial" w:cs="Arial" w:eastAsia="Arial" w:hAnsi="Arial"/>
                <w:sz w:val="17"/>
                <w:szCs w:val="17"/>
                <w:color w:val="auto"/>
                <w:vertAlign w:val="superscript"/>
              </w:rPr>
              <w:t>(1)</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74"/>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r>
      <w:tr>
        <w:trPr>
          <w:trHeight w:val="19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 for diluted net income per share</w:t>
            </w:r>
          </w:p>
        </w:tc>
        <w:tc>
          <w:tcPr>
            <w:tcW w:w="1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0"/>
        </w:trPr>
        <w:tc>
          <w:tcPr>
            <w:tcW w:w="7980" w:type="dxa"/>
            <w:vAlign w:val="bottom"/>
            <w:tcBorders>
              <w:bottom w:val="single" w:sz="8" w:color="CCEEFF"/>
            </w:tcBorders>
            <w:shd w:val="clear" w:color="auto" w:fill="CCEEFF"/>
          </w:tcPr>
          <w:p>
            <w:pPr>
              <w:ind w:left="40"/>
              <w:spacing w:after="0" w:line="175" w:lineRule="exact"/>
              <w:rPr>
                <w:sz w:val="20"/>
                <w:szCs w:val="20"/>
                <w:color w:val="auto"/>
              </w:rPr>
            </w:pPr>
            <w:r>
              <w:rPr>
                <w:rFonts w:ascii="Arial" w:cs="Arial" w:eastAsia="Arial" w:hAnsi="Arial"/>
                <w:sz w:val="13"/>
                <w:szCs w:val="13"/>
                <w:color w:val="auto"/>
              </w:rPr>
              <w:t xml:space="preserve">Net income per share - Basic </w:t>
            </w:r>
            <w:r>
              <w:rPr>
                <w:rFonts w:ascii="Arial" w:cs="Arial" w:eastAsia="Arial" w:hAnsi="Arial"/>
                <w:sz w:val="17"/>
                <w:szCs w:val="17"/>
                <w:color w:val="auto"/>
                <w:vertAlign w:val="superscript"/>
              </w:rPr>
              <w:t>(2)</w:t>
            </w:r>
          </w:p>
        </w:tc>
        <w:tc>
          <w:tcPr>
            <w:tcW w:w="112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7980" w:type="dxa"/>
            <w:vAlign w:val="bottom"/>
          </w:tcPr>
          <w:p>
            <w:pPr>
              <w:ind w:left="40"/>
              <w:spacing w:after="0" w:line="138" w:lineRule="exact"/>
              <w:rPr>
                <w:sz w:val="20"/>
                <w:szCs w:val="20"/>
                <w:color w:val="auto"/>
              </w:rPr>
            </w:pPr>
            <w:r>
              <w:rPr>
                <w:rFonts w:ascii="Arial" w:cs="Arial" w:eastAsia="Arial" w:hAnsi="Arial"/>
                <w:sz w:val="12"/>
                <w:szCs w:val="12"/>
                <w:color w:val="auto"/>
              </w:rPr>
              <w:t xml:space="preserve">Net income per share - Diluted </w:t>
            </w:r>
            <w:r>
              <w:rPr>
                <w:rFonts w:ascii="Arial" w:cs="Arial" w:eastAsia="Arial" w:hAnsi="Arial"/>
                <w:sz w:val="16"/>
                <w:szCs w:val="16"/>
                <w:color w:val="auto"/>
                <w:vertAlign w:val="superscript"/>
              </w:rPr>
              <w:t>(2)</w:t>
            </w:r>
          </w:p>
        </w:tc>
        <w:tc>
          <w:tcPr>
            <w:tcW w:w="1120" w:type="dxa"/>
            <w:vAlign w:val="bottom"/>
            <w:tcBorders>
              <w:bottom w:val="single" w:sz="8" w:color="auto"/>
            </w:tcBorders>
          </w:tcPr>
          <w:p>
            <w:pPr>
              <w:jc w:val="right"/>
              <w:ind w:right="958"/>
              <w:spacing w:after="0" w:line="13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5.45</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ind w:right="1036"/>
              <w:spacing w:after="0" w:line="139"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5.17</w:t>
            </w:r>
          </w:p>
        </w:tc>
      </w:tr>
      <w:tr>
        <w:trPr>
          <w:trHeight w:val="20"/>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50" w:lineRule="exact"/>
        <w:rPr>
          <w:sz w:val="20"/>
          <w:szCs w:val="20"/>
          <w:color w:val="auto"/>
        </w:rPr>
      </w:pPr>
    </w:p>
    <w:p>
      <w:pPr>
        <w:ind w:left="260" w:right="560" w:hanging="253"/>
        <w:spacing w:after="0" w:line="261" w:lineRule="auto"/>
        <w:tabs>
          <w:tab w:leader="none" w:pos="301"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dilutive effect of all potentially dilutive common shares is calculated using the treasury stock method. Certain potentially dilutive common shares issuable are not included in the computation of diluted net income per share because to do so would be anti-dilutive.</w:t>
      </w:r>
    </w:p>
    <w:p>
      <w:pPr>
        <w:ind w:left="320" w:hanging="313"/>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data for calculations in thousands.</w:t>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4. Business Combinations</w:t>
      </w:r>
    </w:p>
    <w:p>
      <w:pPr>
        <w:spacing w:after="0" w:line="90"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i w:val="1"/>
          <w:iCs w:val="1"/>
          <w:color w:val="auto"/>
        </w:rPr>
        <w:t xml:space="preserve">ConnectiCare. </w:t>
      </w:r>
      <w:r>
        <w:rPr>
          <w:rFonts w:ascii="Arial" w:cs="Arial" w:eastAsia="Arial" w:hAnsi="Arial"/>
          <w:sz w:val="15"/>
          <w:szCs w:val="15"/>
          <w:color w:val="auto"/>
        </w:rPr>
        <w:t>Effective February 1, 2025, we closed on our acquisition of 100% of the issued and outstanding capital stock of ConnectiCare Holding Company, Inc.</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(“ConnectiCare”) for $350 million in cash. For this transaction, we applied the acquisition method of accounting, where the total purchase price was preliminarily allocated to the tangible and intangible assets acquired and liabilities assumed, based on their fair values as of the acquisition date. The pro forma effects of this acquisition for prior periods were not material to our consolidated results of operations. Acquisition costs amounted to $2 million in the aggregate for the three months ended March 31, 2025, and were recorded as “General and administrative expenses” in the accompanying consolidated statements of income.</w:t>
      </w:r>
    </w:p>
    <w:p>
      <w:pPr>
        <w:spacing w:after="0" w:line="64"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The valuation of the assets acquired and liabilities assumed has not yet been finalized. Further, the finalization of purchase price adjustments as provided in the stock purchase agreement is expected to occur in the first quarter of 2026.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All of the goodwill was assigned to the Marketplace segment and is not deductible for income tax purposes. The following table summarizes the provisional fair values assigned to assets acquired and liabilities assumed,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 acquired:</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4"/>
        </w:trPr>
        <w:tc>
          <w:tcPr>
            <w:tcW w:w="9840" w:type="dxa"/>
            <w:vAlign w:val="bottom"/>
          </w:tcPr>
          <w:p>
            <w:pPr>
              <w:ind w:left="100"/>
              <w:spacing w:after="0"/>
              <w:rPr>
                <w:sz w:val="20"/>
                <w:szCs w:val="20"/>
                <w:color w:val="auto"/>
              </w:rPr>
            </w:pPr>
            <w:r>
              <w:rPr>
                <w:rFonts w:ascii="Arial" w:cs="Arial" w:eastAsia="Arial" w:hAnsi="Arial"/>
                <w:sz w:val="13"/>
                <w:szCs w:val="13"/>
                <w:color w:val="auto"/>
              </w:rPr>
              <w:t>Current assets</w:t>
            </w:r>
          </w:p>
        </w:tc>
        <w:tc>
          <w:tcPr>
            <w:tcW w:w="6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450</w:t>
            </w:r>
          </w:p>
        </w:tc>
      </w:tr>
      <w:tr>
        <w:trPr>
          <w:trHeight w:val="176"/>
        </w:trPr>
        <w:tc>
          <w:tcPr>
            <w:tcW w:w="9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74"/>
        </w:trPr>
        <w:tc>
          <w:tcPr>
            <w:tcW w:w="984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6"/>
        </w:trPr>
        <w:tc>
          <w:tcPr>
            <w:tcW w:w="9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long-term assets</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5"/>
        </w:trPr>
        <w:tc>
          <w:tcPr>
            <w:tcW w:w="9840" w:type="dxa"/>
            <w:vAlign w:val="bottom"/>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9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Medical claims and benefits payable</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r>
      <w:tr>
        <w:trPr>
          <w:trHeight w:val="174"/>
        </w:trPr>
        <w:tc>
          <w:tcPr>
            <w:tcW w:w="9840" w:type="dxa"/>
            <w:vAlign w:val="bottom"/>
          </w:tcPr>
          <w:p>
            <w:pPr>
              <w:ind w:left="100"/>
              <w:spacing w:after="0"/>
              <w:rPr>
                <w:sz w:val="20"/>
                <w:szCs w:val="20"/>
                <w:color w:val="auto"/>
              </w:rPr>
            </w:pPr>
            <w:r>
              <w:rPr>
                <w:rFonts w:ascii="Arial" w:cs="Arial" w:eastAsia="Arial" w:hAnsi="Arial"/>
                <w:sz w:val="13"/>
                <w:szCs w:val="13"/>
                <w:color w:val="auto"/>
              </w:rPr>
              <w:t>Amounts due government agencies</w:t>
            </w: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5"/>
        </w:trPr>
        <w:tc>
          <w:tcPr>
            <w:tcW w:w="9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 accrued and other long-term liabilities</w:t>
            </w: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7"/>
        </w:trPr>
        <w:tc>
          <w:tcPr>
            <w:tcW w:w="9840" w:type="dxa"/>
            <w:vAlign w:val="bottom"/>
          </w:tcPr>
          <w:p>
            <w:pPr>
              <w:ind w:left="20"/>
              <w:spacing w:after="0"/>
              <w:rPr>
                <w:sz w:val="20"/>
                <w:szCs w:val="20"/>
                <w:color w:val="auto"/>
              </w:rPr>
            </w:pPr>
            <w:r>
              <w:rPr>
                <w:rFonts w:ascii="Arial" w:cs="Arial" w:eastAsia="Arial" w:hAnsi="Arial"/>
                <w:sz w:val="13"/>
                <w:szCs w:val="13"/>
                <w:b w:val="1"/>
                <w:bCs w:val="1"/>
                <w:color w:val="auto"/>
              </w:rPr>
              <w:t>Fair value of net assets acquired</w:t>
            </w:r>
          </w:p>
        </w:tc>
        <w:tc>
          <w:tcPr>
            <w:tcW w:w="60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r>
      <w:tr>
        <w:trPr>
          <w:trHeight w:val="20"/>
        </w:trPr>
        <w:tc>
          <w:tcPr>
            <w:tcW w:w="9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The table below presents intangible assets acquired, by major class, for the ConnectiCare acquisition. The weighted-average amortization period, in the aggregate, is 9.8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20" w:type="dxa"/>
            <w:vAlign w:val="bottom"/>
          </w:tcPr>
          <w:p>
            <w:pPr>
              <w:spacing w:after="0"/>
              <w:rPr>
                <w:sz w:val="13"/>
                <w:szCs w:val="13"/>
                <w:color w:val="auto"/>
              </w:rPr>
            </w:pP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Fair Value</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Life</w:t>
            </w:r>
          </w:p>
        </w:tc>
      </w:tr>
      <w:tr>
        <w:trPr>
          <w:trHeight w:val="199"/>
        </w:trPr>
        <w:tc>
          <w:tcPr>
            <w:tcW w:w="8320" w:type="dxa"/>
            <w:vAlign w:val="bottom"/>
          </w:tcPr>
          <w:p>
            <w:pPr>
              <w:spacing w:after="0"/>
              <w:rPr>
                <w:sz w:val="17"/>
                <w:szCs w:val="17"/>
                <w:color w:val="auto"/>
              </w:rPr>
            </w:pPr>
          </w:p>
        </w:tc>
        <w:tc>
          <w:tcPr>
            <w:tcW w:w="1140" w:type="dxa"/>
            <w:vAlign w:val="bottom"/>
          </w:tcPr>
          <w:p>
            <w:pPr>
              <w:jc w:val="right"/>
              <w:ind w:right="38"/>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3"/>
              </w:rPr>
              <w:t>(Years)</w:t>
            </w:r>
          </w:p>
        </w:tc>
      </w:tr>
      <w:tr>
        <w:trPr>
          <w:trHeight w:val="17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rights - member list</w:t>
            </w:r>
          </w:p>
        </w:tc>
        <w:tc>
          <w:tcPr>
            <w:tcW w:w="1140" w:type="dxa"/>
            <w:vAlign w:val="bottom"/>
            <w:shd w:val="clear" w:color="auto" w:fill="CCEEFF"/>
          </w:tcPr>
          <w:p>
            <w:pPr>
              <w:jc w:val="right"/>
              <w:ind w:right="998"/>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540" w:type="dxa"/>
            <w:vAlign w:val="bottom"/>
            <w:gridSpan w:val="2"/>
            <w:shd w:val="clear" w:color="auto" w:fill="CCEEFF"/>
          </w:tcPr>
          <w:p>
            <w:pPr>
              <w:jc w:val="center"/>
              <w:ind w:left="34"/>
              <w:spacing w:after="0"/>
              <w:rPr>
                <w:sz w:val="20"/>
                <w:szCs w:val="20"/>
                <w:color w:val="auto"/>
              </w:rPr>
            </w:pPr>
            <w:r>
              <w:rPr>
                <w:rFonts w:ascii="Arial" w:cs="Arial" w:eastAsia="Arial" w:hAnsi="Arial"/>
                <w:sz w:val="13"/>
                <w:szCs w:val="13"/>
                <w:color w:val="auto"/>
              </w:rPr>
              <w:t>7</w:t>
            </w:r>
          </w:p>
        </w:tc>
      </w:tr>
      <w:tr>
        <w:trPr>
          <w:trHeight w:val="174"/>
        </w:trPr>
        <w:tc>
          <w:tcPr>
            <w:tcW w:w="8320" w:type="dxa"/>
            <w:vAlign w:val="bottom"/>
          </w:tcPr>
          <w:p>
            <w:pPr>
              <w:ind w:left="20"/>
              <w:spacing w:after="0"/>
              <w:rPr>
                <w:sz w:val="20"/>
                <w:szCs w:val="20"/>
                <w:color w:val="auto"/>
              </w:rPr>
            </w:pPr>
            <w:r>
              <w:rPr>
                <w:rFonts w:ascii="Arial" w:cs="Arial" w:eastAsia="Arial" w:hAnsi="Arial"/>
                <w:sz w:val="13"/>
                <w:szCs w:val="13"/>
                <w:color w:val="auto"/>
              </w:rPr>
              <w:t>Trade name</w:t>
            </w:r>
          </w:p>
        </w:tc>
        <w:tc>
          <w:tcPr>
            <w:tcW w:w="1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c>
          <w:tcPr>
            <w:tcW w:w="1540" w:type="dxa"/>
            <w:vAlign w:val="bottom"/>
            <w:gridSpan w:val="2"/>
          </w:tcPr>
          <w:p>
            <w:pPr>
              <w:jc w:val="center"/>
              <w:ind w:left="54"/>
              <w:spacing w:after="0"/>
              <w:rPr>
                <w:sz w:val="20"/>
                <w:szCs w:val="20"/>
                <w:color w:val="auto"/>
              </w:rPr>
            </w:pPr>
            <w:r>
              <w:rPr>
                <w:rFonts w:ascii="Arial" w:cs="Arial" w:eastAsia="Arial" w:hAnsi="Arial"/>
                <w:sz w:val="13"/>
                <w:szCs w:val="13"/>
                <w:color w:val="auto"/>
                <w:w w:val="96"/>
              </w:rPr>
              <w:t>15</w:t>
            </w:r>
          </w:p>
        </w:tc>
      </w:tr>
      <w:tr>
        <w:trPr>
          <w:trHeight w:val="17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Provider network</w:t>
            </w:r>
          </w:p>
        </w:tc>
        <w:tc>
          <w:tcPr>
            <w:tcW w:w="1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540" w:type="dxa"/>
            <w:vAlign w:val="bottom"/>
            <w:gridSpan w:val="2"/>
            <w:shd w:val="clear" w:color="auto" w:fill="CCEEFF"/>
          </w:tcPr>
          <w:p>
            <w:pPr>
              <w:jc w:val="center"/>
              <w:ind w:left="54"/>
              <w:spacing w:after="0"/>
              <w:rPr>
                <w:sz w:val="20"/>
                <w:szCs w:val="20"/>
                <w:color w:val="auto"/>
              </w:rPr>
            </w:pPr>
            <w:r>
              <w:rPr>
                <w:rFonts w:ascii="Arial" w:cs="Arial" w:eastAsia="Arial" w:hAnsi="Arial"/>
                <w:sz w:val="13"/>
                <w:szCs w:val="13"/>
                <w:color w:val="auto"/>
                <w:w w:val="96"/>
              </w:rPr>
              <w:t>10</w:t>
            </w:r>
          </w:p>
        </w:tc>
      </w:tr>
      <w:tr>
        <w:trPr>
          <w:trHeight w:val="166"/>
        </w:trPr>
        <w:tc>
          <w:tcPr>
            <w:tcW w:w="8320" w:type="dxa"/>
            <w:vAlign w:val="bottom"/>
          </w:tcPr>
          <w:p>
            <w:pPr>
              <w:spacing w:after="0"/>
              <w:rPr>
                <w:sz w:val="14"/>
                <w:szCs w:val="14"/>
                <w:color w:val="auto"/>
              </w:rPr>
            </w:pPr>
          </w:p>
        </w:tc>
        <w:tc>
          <w:tcPr>
            <w:tcW w:w="1140" w:type="dxa"/>
            <w:vAlign w:val="bottom"/>
            <w:tcBorders>
              <w:bottom w:val="single" w:sz="8" w:color="auto"/>
            </w:tcBorders>
          </w:tcPr>
          <w:p>
            <w:pPr>
              <w:jc w:val="right"/>
              <w:ind w:right="998"/>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0"/>
        </w:trPr>
        <w:tc>
          <w:tcPr>
            <w:tcW w:w="8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5. Fair Value Measurements</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2024 Annual Report on Form 10-K, Note 5, “Fair Value Measurements.”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Our financial instruments measured at fair value on a recurring basis at March 31, 2025,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Observable 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Directly or Indirectly</w:t>
            </w:r>
          </w:p>
        </w:tc>
        <w:tc>
          <w:tcPr>
            <w:tcW w:w="1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Unobservable Inputs</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Observable Inputs</w:t>
            </w: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98"/>
              </w:rPr>
              <w:t>(Level 2)</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6"/>
          </w:tcPr>
          <w:p>
            <w:pPr>
              <w:ind w:left="124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59"/>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159"/>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Our financial instruments measured at fair value on a recurring basis at December 31, 2024,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Observable 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Directly or Indirectly</w:t>
            </w:r>
          </w:p>
        </w:tc>
        <w:tc>
          <w:tcPr>
            <w:tcW w:w="1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Unobservable Inputs</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Observable Inputs</w:t>
            </w: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2"/>
                <w:szCs w:val="12"/>
                <w:b w:val="1"/>
                <w:bCs w:val="1"/>
                <w:color w:val="auto"/>
              </w:rPr>
              <w:t>Total</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2"/>
                <w:szCs w:val="12"/>
                <w:b w:val="1"/>
                <w:bCs w:val="1"/>
                <w:color w:val="auto"/>
                <w:w w:val="94"/>
              </w:rPr>
              <w:t>(Level 2)</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6"/>
          </w:tcPr>
          <w:p>
            <w:pPr>
              <w:ind w:left="126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59"/>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2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2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0"/>
              <w:spacing w:after="0" w:line="145" w:lineRule="exact"/>
              <w:rPr>
                <w:sz w:val="20"/>
                <w:szCs w:val="20"/>
                <w:color w:val="auto"/>
              </w:rPr>
            </w:pPr>
            <w:r>
              <w:rPr>
                <w:rFonts w:ascii="Arial" w:cs="Arial" w:eastAsia="Arial" w:hAnsi="Arial"/>
                <w:sz w:val="13"/>
                <w:szCs w:val="13"/>
                <w:color w:val="auto"/>
              </w:rPr>
              <w:t>Total assets</w:t>
            </w:r>
          </w:p>
        </w:tc>
        <w:tc>
          <w:tcPr>
            <w:tcW w:w="1040" w:type="dxa"/>
            <w:vAlign w:val="bottom"/>
            <w:shd w:val="clear" w:color="auto" w:fill="CCEEFF"/>
          </w:tcPr>
          <w:p>
            <w:pPr>
              <w:jc w:val="right"/>
              <w:ind w:right="877"/>
              <w:spacing w:after="0" w:line="14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4,325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9"/>
              <w:spacing w:after="0" w:line="145" w:lineRule="exact"/>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4,325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ind w:left="12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 – Disclosure Only</w:t>
      </w:r>
    </w:p>
    <w:p>
      <w:pPr>
        <w:spacing w:after="0" w:line="88"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March 31, 2025</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2024</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860" w:type="dxa"/>
            <w:vAlign w:val="bottom"/>
          </w:tcPr>
          <w:p>
            <w:pPr>
              <w:spacing w:after="0"/>
              <w:rPr>
                <w:sz w:val="9"/>
                <w:szCs w:val="9"/>
                <w:color w:val="auto"/>
              </w:rPr>
            </w:pPr>
          </w:p>
        </w:tc>
        <w:tc>
          <w:tcPr>
            <w:tcW w:w="1080" w:type="dxa"/>
            <w:vAlign w:val="bottom"/>
          </w:tcPr>
          <w:p>
            <w:pPr>
              <w:jc w:val="right"/>
              <w:ind w:right="18"/>
              <w:spacing w:after="0" w:line="112" w:lineRule="exact"/>
              <w:rPr>
                <w:sz w:val="20"/>
                <w:szCs w:val="20"/>
                <w:color w:val="auto"/>
              </w:rPr>
            </w:pPr>
            <w:r>
              <w:rPr>
                <w:rFonts w:ascii="Arial" w:cs="Arial" w:eastAsia="Arial" w:hAnsi="Arial"/>
                <w:sz w:val="12"/>
                <w:szCs w:val="12"/>
                <w:b w:val="1"/>
                <w:bCs w:val="1"/>
                <w:color w:val="auto"/>
              </w:rPr>
              <w:t>Carrying</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vMerge w:val="restart"/>
          </w:tcPr>
          <w:p>
            <w:pPr>
              <w:jc w:val="right"/>
              <w:ind w:right="416"/>
              <w:spacing w:after="0"/>
              <w:rPr>
                <w:sz w:val="20"/>
                <w:szCs w:val="20"/>
                <w:color w:val="auto"/>
              </w:rPr>
            </w:pPr>
            <w:r>
              <w:rPr>
                <w:rFonts w:ascii="Arial" w:cs="Arial" w:eastAsia="Arial" w:hAnsi="Arial"/>
                <w:sz w:val="12"/>
                <w:szCs w:val="12"/>
                <w:b w:val="1"/>
                <w:bCs w:val="1"/>
                <w:color w:val="auto"/>
              </w:rPr>
              <w:t>Fair Value</w:t>
            </w:r>
          </w:p>
        </w:tc>
        <w:tc>
          <w:tcPr>
            <w:tcW w:w="10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gridSpan w:val="2"/>
          </w:tcPr>
          <w:p>
            <w:pPr>
              <w:ind w:left="120"/>
              <w:spacing w:after="0" w:line="112" w:lineRule="exact"/>
              <w:rPr>
                <w:sz w:val="20"/>
                <w:szCs w:val="20"/>
                <w:color w:val="auto"/>
              </w:rPr>
            </w:pPr>
            <w:r>
              <w:rPr>
                <w:rFonts w:ascii="Arial" w:cs="Arial" w:eastAsia="Arial" w:hAnsi="Arial"/>
                <w:sz w:val="12"/>
                <w:szCs w:val="12"/>
                <w:b w:val="1"/>
                <w:bCs w:val="1"/>
                <w:color w:val="auto"/>
              </w:rPr>
              <w:t>Carrying</w:t>
            </w:r>
          </w:p>
        </w:tc>
        <w:tc>
          <w:tcPr>
            <w:tcW w:w="500" w:type="dxa"/>
            <w:vAlign w:val="bottom"/>
          </w:tcPr>
          <w:p>
            <w:pPr>
              <w:spacing w:after="0"/>
              <w:rPr>
                <w:sz w:val="9"/>
                <w:szCs w:val="9"/>
                <w:color w:val="auto"/>
              </w:rPr>
            </w:pPr>
          </w:p>
        </w:tc>
        <w:tc>
          <w:tcPr>
            <w:tcW w:w="1040" w:type="dxa"/>
            <w:vAlign w:val="bottom"/>
            <w:vMerge w:val="restart"/>
          </w:tcPr>
          <w:p>
            <w:pPr>
              <w:jc w:val="right"/>
              <w:ind w:right="415"/>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Amount</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3"/>
          </w:tcPr>
          <w:p>
            <w:pPr>
              <w:jc w:val="right"/>
              <w:ind w:right="54"/>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1080" w:type="dxa"/>
            <w:vAlign w:val="bottom"/>
            <w:shd w:val="clear" w:color="auto" w:fill="CCEEFF"/>
          </w:tcPr>
          <w:p>
            <w:pPr>
              <w:jc w:val="right"/>
              <w:ind w:right="938"/>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6.250% Notes due 2033</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740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Credit Facility</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8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040" w:firstLine="7"/>
        <w:spacing w:after="0" w:line="391" w:lineRule="auto"/>
        <w:tabs>
          <w:tab w:leader="none" w:pos="162" w:val="left"/>
        </w:tabs>
        <w:numPr>
          <w:ilvl w:val="0"/>
          <w:numId w:val="6"/>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Investments </w:t>
      </w:r>
      <w:r>
        <w:rPr>
          <w:rFonts w:ascii="Arial" w:cs="Arial" w:eastAsia="Arial" w:hAnsi="Arial"/>
          <w:sz w:val="14"/>
          <w:szCs w:val="14"/>
          <w:b w:val="1"/>
          <w:bCs w:val="1"/>
          <w:i w:val="1"/>
          <w:iCs w:val="1"/>
          <w:color w:val="000000"/>
        </w:rPr>
        <w:t>Available-for-Sale</w:t>
      </w:r>
    </w:p>
    <w:p>
      <w:pPr>
        <w:spacing w:after="0"/>
        <w:rPr>
          <w:rFonts w:ascii="Arial" w:cs="Arial" w:eastAsia="Arial" w:hAnsi="Arial"/>
          <w:sz w:val="14"/>
          <w:szCs w:val="14"/>
          <w:b w:val="1"/>
          <w:bCs w:val="1"/>
          <w:color w:val="828282"/>
        </w:rPr>
      </w:pPr>
      <w:r>
        <w:rPr>
          <w:rFonts w:ascii="Arial" w:cs="Arial" w:eastAsia="Arial" w:hAnsi="Arial"/>
          <w:sz w:val="15"/>
          <w:szCs w:val="15"/>
          <w:color w:val="auto"/>
        </w:rPr>
        <w:t>We consider all of our investments classified as current assets to be available-for-sale. The following tables summarize our current investments as of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5"/>
              </w:rPr>
              <w:t>March 31, 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87"/>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Gross Unrealized</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56"/>
        </w:trPr>
        <w:tc>
          <w:tcPr>
            <w:tcW w:w="4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Amortized Cost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2"/>
                <w:szCs w:val="12"/>
                <w:b w:val="1"/>
                <w:bCs w:val="1"/>
                <w:color w:val="auto"/>
              </w:rPr>
              <w:t>Gains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Losses</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2"/>
                <w:szCs w:val="12"/>
                <w:b w:val="1"/>
                <w:bCs w:val="1"/>
                <w:color w:val="auto"/>
                <w:w w:val="98"/>
              </w:rPr>
              <w:t>Estimated Fair Value</w:t>
            </w:r>
          </w:p>
        </w:tc>
      </w:tr>
      <w:tr>
        <w:trPr>
          <w:trHeight w:val="188"/>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(In millions)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983</w:t>
            </w: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92"/>
        </w:trPr>
        <w:tc>
          <w:tcPr>
            <w:tcW w:w="4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8"/>
              </w:rPr>
              <w:t>December 31, 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87"/>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Gross Unrealized</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56"/>
        </w:trPr>
        <w:tc>
          <w:tcPr>
            <w:tcW w:w="4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Amortized Cost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2"/>
                <w:szCs w:val="12"/>
                <w:b w:val="1"/>
                <w:bCs w:val="1"/>
                <w:color w:val="auto"/>
              </w:rPr>
              <w:t>Gains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Losses</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2"/>
                <w:szCs w:val="12"/>
                <w:b w:val="1"/>
                <w:bCs w:val="1"/>
                <w:color w:val="auto"/>
                <w:w w:val="98"/>
              </w:rPr>
              <w:t>Estimated Fair Value</w:t>
            </w:r>
          </w:p>
        </w:tc>
      </w:tr>
      <w:tr>
        <w:trPr>
          <w:trHeight w:val="188"/>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(In millions)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914</w:t>
            </w: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76"/>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4"/>
        </w:trPr>
        <w:tc>
          <w:tcPr>
            <w:tcW w:w="4860" w:type="dxa"/>
            <w:vAlign w:val="bottom"/>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92"/>
        </w:trPr>
        <w:tc>
          <w:tcPr>
            <w:tcW w:w="4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contractual maturities of our current investments as of March 31, 2025 are summarized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right"/>
              <w:ind w:right="276"/>
              <w:spacing w:after="0"/>
              <w:rPr>
                <w:sz w:val="20"/>
                <w:szCs w:val="20"/>
                <w:color w:val="auto"/>
              </w:rPr>
            </w:pPr>
            <w:r>
              <w:rPr>
                <w:rFonts w:ascii="Arial" w:cs="Arial" w:eastAsia="Arial" w:hAnsi="Arial"/>
                <w:sz w:val="12"/>
                <w:szCs w:val="12"/>
                <w:b w:val="1"/>
                <w:bCs w:val="1"/>
                <w:color w:val="auto"/>
              </w:rPr>
              <w:t>Amortized Cost</w:t>
            </w:r>
          </w:p>
        </w:tc>
        <w:tc>
          <w:tcPr>
            <w:tcW w:w="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jc w:val="right"/>
              <w:ind w:right="416"/>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50"/>
        </w:trPr>
        <w:tc>
          <w:tcPr>
            <w:tcW w:w="8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87"/>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54"/>
              <w:spacing w:after="0"/>
              <w:rPr>
                <w:sz w:val="20"/>
                <w:szCs w:val="20"/>
                <w:color w:val="auto"/>
              </w:rPr>
            </w:pPr>
            <w:r>
              <w:rPr>
                <w:rFonts w:ascii="Arial" w:cs="Arial" w:eastAsia="Arial" w:hAnsi="Arial"/>
                <w:sz w:val="12"/>
                <w:szCs w:val="12"/>
                <w:b w:val="1"/>
                <w:b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74"/>
        </w:trPr>
        <w:tc>
          <w:tcPr>
            <w:tcW w:w="812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2,162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74"/>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ten years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In the three months ended March 31, 2025, and 2024, maturities and redemptions of available-for-sale securities amounted to $314 million and $188 million, respectively, and sales amounted to $17 million and $23 million, respectively. Gross realized gains and losses from sales of available-for-sale securities are calculated under the specific identification method and are included in investment income. Gross realized investment gains were insignificant for the three months ended March 31, 2025 and 2024. Gross realized investment losses were insignificant for the three months ended March 31, 2025. Gross realized investment losses amounted to $2 million in the three months ended March 31, 2024, and were reclassified into earnings from other comprehensive income on a net-of-tax basis.</w:t>
      </w:r>
    </w:p>
    <w:p>
      <w:pPr>
        <w:spacing w:after="0" w:line="64"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We have determined that unrealized losses at March 31, 2025, and December 31, 2024, primarily resulted from fluctuating interest rates, rather than a deterioration of the creditworthiness of the issuers. Further, as of March 31, 2025, we do not intend to sell, and it is not likely that we will be required to sell these investments prior to the recovery of their amortized cost basis. Therefore, we determined that an allowance for credit losses was not necessary.</w:t>
      </w:r>
    </w:p>
    <w:p>
      <w:pPr>
        <w:spacing w:after="0" w:line="60" w:lineRule="exact"/>
        <w:rPr>
          <w:sz w:val="20"/>
          <w:szCs w:val="20"/>
          <w:color w:val="auto"/>
        </w:rPr>
      </w:pPr>
    </w:p>
    <w:p>
      <w:pPr>
        <w:ind w:right="500"/>
        <w:spacing w:after="0" w:line="270" w:lineRule="auto"/>
        <w:rPr>
          <w:sz w:val="20"/>
          <w:szCs w:val="20"/>
          <w:color w:val="auto"/>
        </w:rPr>
      </w:pPr>
      <w:r>
        <w:rPr>
          <w:rFonts w:ascii="Arial" w:cs="Arial" w:eastAsia="Arial" w:hAnsi="Arial"/>
          <w:sz w:val="15"/>
          <w:szCs w:val="15"/>
          <w:color w:val="auto"/>
        </w:rPr>
        <w:t>The following table segregates those available-for-sale investments that have been in a continuous loss position for less than 12 months, and those that have been in a continuous loss position for 12 months or more as of March 31,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80" w:type="dxa"/>
            <w:vAlign w:val="bottom"/>
            <w:gridSpan w:val="6"/>
          </w:tcPr>
          <w:p>
            <w:pPr>
              <w:jc w:val="center"/>
              <w:ind w:left="115"/>
              <w:spacing w:after="0"/>
              <w:rPr>
                <w:sz w:val="20"/>
                <w:szCs w:val="20"/>
                <w:color w:val="auto"/>
              </w:rPr>
            </w:pPr>
            <w:r>
              <w:rPr>
                <w:rFonts w:ascii="Arial" w:cs="Arial" w:eastAsia="Arial" w:hAnsi="Arial"/>
                <w:sz w:val="12"/>
                <w:szCs w:val="12"/>
                <w:b w:val="1"/>
                <w:bCs w:val="1"/>
                <w:color w:val="auto"/>
                <w:w w:val="97"/>
              </w:rPr>
              <w:t>In a Continuous Loss Position</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6"/>
          </w:tcPr>
          <w:p>
            <w:pPr>
              <w:jc w:val="center"/>
              <w:ind w:left="857"/>
              <w:spacing w:after="0"/>
              <w:rPr>
                <w:sz w:val="20"/>
                <w:szCs w:val="20"/>
                <w:color w:val="auto"/>
              </w:rPr>
            </w:pPr>
            <w:r>
              <w:rPr>
                <w:rFonts w:ascii="Arial" w:cs="Arial" w:eastAsia="Arial" w:hAnsi="Arial"/>
                <w:sz w:val="12"/>
                <w:szCs w:val="12"/>
                <w:b w:val="1"/>
                <w:bCs w:val="1"/>
                <w:color w:val="auto"/>
                <w:w w:val="96"/>
              </w:rPr>
              <w:t>In a Continuous Loss Position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97"/>
              </w:rPr>
              <w:t>for Less than 12 Months</w:t>
            </w: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2"/>
                <w:szCs w:val="12"/>
                <w:b w:val="1"/>
                <w:bCs w:val="1"/>
                <w:color w:val="auto"/>
                <w:w w:val="96"/>
              </w:rPr>
              <w:t>for 12 Months or More</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840" w:type="dxa"/>
            <w:vAlign w:val="bottom"/>
          </w:tcPr>
          <w:p>
            <w:pPr>
              <w:spacing w:after="0"/>
              <w:rPr>
                <w:sz w:val="9"/>
                <w:szCs w:val="9"/>
                <w:color w:val="auto"/>
              </w:rPr>
            </w:pPr>
          </w:p>
        </w:tc>
        <w:tc>
          <w:tcPr>
            <w:tcW w:w="980" w:type="dxa"/>
            <w:vAlign w:val="bottom"/>
          </w:tcPr>
          <w:p>
            <w:pPr>
              <w:jc w:val="center"/>
              <w:ind w:left="279"/>
              <w:spacing w:after="0" w:line="114" w:lineRule="exact"/>
              <w:rPr>
                <w:sz w:val="20"/>
                <w:szCs w:val="20"/>
                <w:color w:val="auto"/>
              </w:rPr>
            </w:pPr>
            <w:r>
              <w:rPr>
                <w:rFonts w:ascii="Arial" w:cs="Arial" w:eastAsia="Arial" w:hAnsi="Arial"/>
                <w:sz w:val="12"/>
                <w:szCs w:val="12"/>
                <w:b w:val="1"/>
                <w:bCs w:val="1"/>
                <w:color w:val="auto"/>
                <w:w w:val="97"/>
              </w:rPr>
              <w:t>Estimated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2"/>
                <w:szCs w:val="12"/>
                <w:b w:val="1"/>
                <w:bCs w:val="1"/>
                <w:color w:val="auto"/>
                <w:w w:val="95"/>
              </w:rPr>
              <w:t>Unrealized</w:t>
            </w: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Total Number of</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w w:val="97"/>
              </w:rPr>
              <w:t>Estimated</w:t>
            </w:r>
          </w:p>
        </w:tc>
        <w:tc>
          <w:tcPr>
            <w:tcW w:w="220" w:type="dxa"/>
            <w:vAlign w:val="bottom"/>
          </w:tcPr>
          <w:p>
            <w:pPr>
              <w:spacing w:after="0"/>
              <w:rPr>
                <w:sz w:val="9"/>
                <w:szCs w:val="9"/>
                <w:color w:val="auto"/>
              </w:rPr>
            </w:pPr>
          </w:p>
        </w:tc>
        <w:tc>
          <w:tcPr>
            <w:tcW w:w="1340" w:type="dxa"/>
            <w:vAlign w:val="bottom"/>
            <w:gridSpan w:val="3"/>
            <w:vMerge w:val="restart"/>
          </w:tcPr>
          <w:p>
            <w:pPr>
              <w:jc w:val="center"/>
              <w:ind w:right="480"/>
              <w:spacing w:after="0"/>
              <w:rPr>
                <w:sz w:val="20"/>
                <w:szCs w:val="20"/>
                <w:color w:val="auto"/>
              </w:rPr>
            </w:pPr>
            <w:r>
              <w:rPr>
                <w:rFonts w:ascii="Arial" w:cs="Arial" w:eastAsia="Arial" w:hAnsi="Arial"/>
                <w:sz w:val="12"/>
                <w:szCs w:val="12"/>
                <w:b w:val="1"/>
                <w:bCs w:val="1"/>
                <w:color w:val="auto"/>
                <w:w w:val="95"/>
              </w:rPr>
              <w:t>Unrealized</w:t>
            </w:r>
          </w:p>
        </w:tc>
        <w:tc>
          <w:tcPr>
            <w:tcW w:w="116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w w:val="99"/>
              </w:rPr>
              <w:t>Total Number of</w:t>
            </w: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980" w:type="dxa"/>
            <w:vAlign w:val="bottom"/>
          </w:tcPr>
          <w:p>
            <w:pPr>
              <w:jc w:val="center"/>
              <w:ind w:left="259"/>
              <w:spacing w:after="0" w:line="118" w:lineRule="exact"/>
              <w:rPr>
                <w:sz w:val="20"/>
                <w:szCs w:val="20"/>
                <w:color w:val="auto"/>
              </w:rPr>
            </w:pPr>
            <w:r>
              <w:rPr>
                <w:rFonts w:ascii="Arial" w:cs="Arial" w:eastAsia="Arial" w:hAnsi="Arial"/>
                <w:sz w:val="12"/>
                <w:szCs w:val="12"/>
                <w:b w:val="1"/>
                <w:bCs w:val="1"/>
                <w:color w:val="auto"/>
                <w:w w:val="99"/>
              </w:rPr>
              <w:t>Fair</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Arial" w:cs="Arial" w:eastAsia="Arial" w:hAnsi="Arial"/>
                <w:sz w:val="12"/>
                <w:szCs w:val="12"/>
                <w:b w:val="1"/>
                <w:bCs w:val="1"/>
                <w:color w:val="auto"/>
                <w:w w:val="90"/>
              </w:rPr>
              <w:t>Fair</w:t>
            </w:r>
          </w:p>
        </w:tc>
        <w:tc>
          <w:tcPr>
            <w:tcW w:w="2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980" w:type="dxa"/>
            <w:vAlign w:val="bottom"/>
            <w:tcBorders>
              <w:bottom w:val="single" w:sz="8" w:color="auto"/>
            </w:tcBorders>
          </w:tcPr>
          <w:p>
            <w:pPr>
              <w:jc w:val="center"/>
              <w:ind w:left="259"/>
              <w:spacing w:after="0"/>
              <w:rPr>
                <w:sz w:val="20"/>
                <w:szCs w:val="20"/>
                <w:color w:val="auto"/>
              </w:rPr>
            </w:pPr>
            <w:r>
              <w:rPr>
                <w:rFonts w:ascii="Arial" w:cs="Arial" w:eastAsia="Arial" w:hAnsi="Arial"/>
                <w:sz w:val="12"/>
                <w:szCs w:val="12"/>
                <w:b w:val="1"/>
                <w:bCs w:val="1"/>
                <w:color w:val="auto"/>
                <w:w w:val="93"/>
              </w:rPr>
              <w:t>Value</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2"/>
                <w:szCs w:val="12"/>
                <w:b w:val="1"/>
                <w:bCs w:val="1"/>
                <w:color w:val="auto"/>
                <w:w w:val="96"/>
              </w:rPr>
              <w:t>Losses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2"/>
                <w:szCs w:val="12"/>
                <w:b w:val="1"/>
                <w:bCs w:val="1"/>
                <w:color w:val="auto"/>
              </w:rPr>
              <w:t>Positions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2"/>
                <w:szCs w:val="12"/>
                <w:b w:val="1"/>
                <w:bCs w:val="1"/>
                <w:color w:val="auto"/>
              </w:rPr>
              <w:t>Losses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2"/>
                <w:szCs w:val="12"/>
                <w:b w:val="1"/>
                <w:bCs w:val="1"/>
                <w:color w:val="auto"/>
              </w:rPr>
              <w:t>Positions</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700"/>
              <w:spacing w:after="0"/>
              <w:rPr>
                <w:sz w:val="20"/>
                <w:szCs w:val="20"/>
                <w:color w:val="auto"/>
              </w:rPr>
            </w:pPr>
            <w:r>
              <w:rPr>
                <w:rFonts w:ascii="Arial" w:cs="Arial" w:eastAsia="Arial" w:hAnsi="Arial"/>
                <w:sz w:val="12"/>
                <w:szCs w:val="12"/>
                <w:b w:val="1"/>
                <w:bCs w:val="1"/>
                <w:color w:val="auto"/>
              </w:rPr>
              <w:t>(Dollars in millions)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4"/>
        </w:trPr>
        <w:tc>
          <w:tcPr>
            <w:tcW w:w="28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7"/>
        </w:trPr>
        <w:tc>
          <w:tcPr>
            <w:tcW w:w="2840" w:type="dxa"/>
            <w:vAlign w:val="bottom"/>
          </w:tcPr>
          <w:p>
            <w:pPr>
              <w:ind w:left="120"/>
              <w:spacing w:after="0"/>
              <w:rPr>
                <w:sz w:val="20"/>
                <w:szCs w:val="20"/>
                <w:color w:val="auto"/>
              </w:rPr>
            </w:pPr>
            <w:r>
              <w:rPr>
                <w:rFonts w:ascii="Arial" w:cs="Arial" w:eastAsia="Arial" w:hAnsi="Arial"/>
                <w:sz w:val="13"/>
                <w:szCs w:val="13"/>
                <w:color w:val="auto"/>
              </w:rPr>
              <w:t>Total</w:t>
            </w:r>
          </w:p>
        </w:tc>
        <w:tc>
          <w:tcPr>
            <w:tcW w:w="980" w:type="dxa"/>
            <w:vAlign w:val="bottom"/>
          </w:tcPr>
          <w:p>
            <w:pPr>
              <w:jc w:val="right"/>
              <w:ind w:right="839"/>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679</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14"/>
                <w:szCs w:val="14"/>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1,378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500"/>
        <w:spacing w:after="0" w:line="270" w:lineRule="auto"/>
        <w:rPr>
          <w:sz w:val="20"/>
          <w:szCs w:val="20"/>
          <w:color w:val="auto"/>
        </w:rPr>
      </w:pPr>
      <w:r>
        <w:rPr>
          <w:rFonts w:ascii="Arial" w:cs="Arial" w:eastAsia="Arial" w:hAnsi="Arial"/>
          <w:sz w:val="15"/>
          <w:szCs w:val="15"/>
          <w:color w:val="auto"/>
        </w:rPr>
        <w:t>The following table segregates those available-for-sale investments that have been in a continuous loss position for less than 12 months, and those that have been in a continuous loss position for 12 months or more as of December 31,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00" w:type="dxa"/>
            <w:vAlign w:val="bottom"/>
            <w:gridSpan w:val="6"/>
          </w:tcPr>
          <w:p>
            <w:pPr>
              <w:jc w:val="center"/>
              <w:ind w:left="235"/>
              <w:spacing w:after="0"/>
              <w:rPr>
                <w:sz w:val="20"/>
                <w:szCs w:val="20"/>
                <w:color w:val="auto"/>
              </w:rPr>
            </w:pPr>
            <w:r>
              <w:rPr>
                <w:rFonts w:ascii="Arial" w:cs="Arial" w:eastAsia="Arial" w:hAnsi="Arial"/>
                <w:sz w:val="12"/>
                <w:szCs w:val="12"/>
                <w:b w:val="1"/>
                <w:bCs w:val="1"/>
                <w:color w:val="auto"/>
                <w:w w:val="97"/>
              </w:rPr>
              <w:t>In a Continuous Loss Position</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6"/>
          </w:tcPr>
          <w:p>
            <w:pPr>
              <w:jc w:val="center"/>
              <w:ind w:left="877"/>
              <w:spacing w:after="0"/>
              <w:rPr>
                <w:sz w:val="20"/>
                <w:szCs w:val="20"/>
                <w:color w:val="auto"/>
              </w:rPr>
            </w:pPr>
            <w:r>
              <w:rPr>
                <w:rFonts w:ascii="Arial" w:cs="Arial" w:eastAsia="Arial" w:hAnsi="Arial"/>
                <w:sz w:val="12"/>
                <w:szCs w:val="12"/>
                <w:b w:val="1"/>
                <w:bCs w:val="1"/>
                <w:color w:val="auto"/>
                <w:w w:val="97"/>
              </w:rPr>
              <w:t>In a Continuous Loss Position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2"/>
                <w:szCs w:val="12"/>
                <w:b w:val="1"/>
                <w:bCs w:val="1"/>
                <w:color w:val="auto"/>
                <w:w w:val="97"/>
              </w:rPr>
              <w:t>for Less than 12 Months</w:t>
            </w: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2"/>
                <w:szCs w:val="12"/>
                <w:b w:val="1"/>
                <w:bCs w:val="1"/>
                <w:color w:val="auto"/>
                <w:w w:val="96"/>
              </w:rPr>
              <w:t>for 12 Months or More</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860" w:type="dxa"/>
            <w:vAlign w:val="bottom"/>
          </w:tcPr>
          <w:p>
            <w:pPr>
              <w:spacing w:after="0"/>
              <w:rPr>
                <w:sz w:val="9"/>
                <w:szCs w:val="9"/>
                <w:color w:val="auto"/>
              </w:rPr>
            </w:pPr>
          </w:p>
        </w:tc>
        <w:tc>
          <w:tcPr>
            <w:tcW w:w="1300" w:type="dxa"/>
            <w:vAlign w:val="bottom"/>
            <w:gridSpan w:val="2"/>
          </w:tcPr>
          <w:p>
            <w:pPr>
              <w:jc w:val="center"/>
              <w:spacing w:after="0" w:line="114" w:lineRule="exact"/>
              <w:rPr>
                <w:sz w:val="20"/>
                <w:szCs w:val="20"/>
                <w:color w:val="auto"/>
              </w:rPr>
            </w:pPr>
            <w:r>
              <w:rPr>
                <w:rFonts w:ascii="Arial" w:cs="Arial" w:eastAsia="Arial" w:hAnsi="Arial"/>
                <w:sz w:val="12"/>
                <w:szCs w:val="12"/>
                <w:b w:val="1"/>
                <w:bCs w:val="1"/>
                <w:color w:val="auto"/>
                <w:w w:val="97"/>
              </w:rPr>
              <w:t>Estimated</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2"/>
                <w:szCs w:val="12"/>
                <w:b w:val="1"/>
                <w:bCs w:val="1"/>
                <w:color w:val="auto"/>
                <w:w w:val="98"/>
              </w:rPr>
              <w:t>Unrealized</w:t>
            </w: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Total Number of</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w w:val="97"/>
              </w:rPr>
              <w:t>Estimated</w:t>
            </w:r>
          </w:p>
        </w:tc>
        <w:tc>
          <w:tcPr>
            <w:tcW w:w="220" w:type="dxa"/>
            <w:vAlign w:val="bottom"/>
          </w:tcPr>
          <w:p>
            <w:pPr>
              <w:spacing w:after="0"/>
              <w:rPr>
                <w:sz w:val="9"/>
                <w:szCs w:val="9"/>
                <w:color w:val="auto"/>
              </w:rPr>
            </w:pPr>
          </w:p>
        </w:tc>
        <w:tc>
          <w:tcPr>
            <w:tcW w:w="1340" w:type="dxa"/>
            <w:vAlign w:val="bottom"/>
            <w:gridSpan w:val="3"/>
            <w:vMerge w:val="restart"/>
          </w:tcPr>
          <w:p>
            <w:pPr>
              <w:jc w:val="center"/>
              <w:ind w:right="480"/>
              <w:spacing w:after="0"/>
              <w:rPr>
                <w:sz w:val="20"/>
                <w:szCs w:val="20"/>
                <w:color w:val="auto"/>
              </w:rPr>
            </w:pPr>
            <w:r>
              <w:rPr>
                <w:rFonts w:ascii="Arial" w:cs="Arial" w:eastAsia="Arial" w:hAnsi="Arial"/>
                <w:sz w:val="12"/>
                <w:szCs w:val="12"/>
                <w:b w:val="1"/>
                <w:bCs w:val="1"/>
                <w:color w:val="auto"/>
                <w:w w:val="95"/>
              </w:rPr>
              <w:t>Unrealized</w:t>
            </w:r>
          </w:p>
        </w:tc>
        <w:tc>
          <w:tcPr>
            <w:tcW w:w="116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Total Number of</w:t>
            </w: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860" w:type="dxa"/>
            <w:vAlign w:val="bottom"/>
          </w:tcPr>
          <w:p>
            <w:pPr>
              <w:jc w:val="center"/>
              <w:ind w:left="379"/>
              <w:spacing w:after="0" w:line="118" w:lineRule="exact"/>
              <w:rPr>
                <w:sz w:val="20"/>
                <w:szCs w:val="20"/>
                <w:color w:val="auto"/>
              </w:rPr>
            </w:pPr>
            <w:r>
              <w:rPr>
                <w:rFonts w:ascii="Arial" w:cs="Arial" w:eastAsia="Arial" w:hAnsi="Arial"/>
                <w:sz w:val="12"/>
                <w:szCs w:val="12"/>
                <w:b w:val="1"/>
                <w:bCs w:val="1"/>
                <w:color w:val="auto"/>
                <w:w w:val="99"/>
              </w:rPr>
              <w:t>Fair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Arial" w:cs="Arial" w:eastAsia="Arial" w:hAnsi="Arial"/>
                <w:sz w:val="12"/>
                <w:szCs w:val="12"/>
                <w:b w:val="1"/>
                <w:bCs w:val="1"/>
                <w:color w:val="auto"/>
                <w:w w:val="90"/>
              </w:rPr>
              <w:t>Fair</w:t>
            </w:r>
          </w:p>
        </w:tc>
        <w:tc>
          <w:tcPr>
            <w:tcW w:w="2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860" w:type="dxa"/>
            <w:vAlign w:val="bottom"/>
            <w:tcBorders>
              <w:bottom w:val="single" w:sz="8" w:color="auto"/>
            </w:tcBorders>
          </w:tcPr>
          <w:p>
            <w:pPr>
              <w:jc w:val="center"/>
              <w:ind w:left="379"/>
              <w:spacing w:after="0"/>
              <w:rPr>
                <w:sz w:val="20"/>
                <w:szCs w:val="20"/>
                <w:color w:val="auto"/>
              </w:rPr>
            </w:pPr>
            <w:r>
              <w:rPr>
                <w:rFonts w:ascii="Arial" w:cs="Arial" w:eastAsia="Arial" w:hAnsi="Arial"/>
                <w:sz w:val="12"/>
                <w:szCs w:val="12"/>
                <w:b w:val="1"/>
                <w:bCs w:val="1"/>
                <w:color w:val="auto"/>
                <w:w w:val="93"/>
              </w:rPr>
              <w:t>Value</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2"/>
                <w:szCs w:val="12"/>
                <w:b w:val="1"/>
                <w:bCs w:val="1"/>
                <w:color w:val="auto"/>
                <w:w w:val="96"/>
              </w:rPr>
              <w:t>Losses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2"/>
                <w:szCs w:val="12"/>
                <w:b w:val="1"/>
                <w:bCs w:val="1"/>
                <w:color w:val="auto"/>
              </w:rPr>
              <w:t>Positions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2"/>
                <w:szCs w:val="12"/>
                <w:b w:val="1"/>
                <w:bCs w:val="1"/>
                <w:color w:val="auto"/>
                <w:w w:val="96"/>
              </w:rPr>
              <w:t>Losses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2"/>
                <w:szCs w:val="12"/>
                <w:b w:val="1"/>
                <w:bCs w:val="1"/>
                <w:color w:val="auto"/>
              </w:rPr>
              <w:t>Positions</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680"/>
              <w:spacing w:after="0"/>
              <w:rPr>
                <w:sz w:val="20"/>
                <w:szCs w:val="20"/>
                <w:color w:val="auto"/>
              </w:rPr>
            </w:pPr>
            <w:r>
              <w:rPr>
                <w:rFonts w:ascii="Arial" w:cs="Arial" w:eastAsia="Arial" w:hAnsi="Arial"/>
                <w:sz w:val="12"/>
                <w:szCs w:val="12"/>
                <w:b w:val="1"/>
                <w:bCs w:val="1"/>
                <w:color w:val="auto"/>
              </w:rPr>
              <w:t>(Dollars in millions)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74"/>
        </w:trPr>
        <w:tc>
          <w:tcPr>
            <w:tcW w:w="2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74"/>
        </w:trPr>
        <w:tc>
          <w:tcPr>
            <w:tcW w:w="2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7"/>
        </w:trPr>
        <w:tc>
          <w:tcPr>
            <w:tcW w:w="2860" w:type="dxa"/>
            <w:vAlign w:val="bottom"/>
          </w:tcPr>
          <w:p>
            <w:pPr>
              <w:ind w:left="120"/>
              <w:spacing w:after="0"/>
              <w:rPr>
                <w:sz w:val="20"/>
                <w:szCs w:val="20"/>
                <w:color w:val="auto"/>
              </w:rPr>
            </w:pPr>
            <w:r>
              <w:rPr>
                <w:rFonts w:ascii="Arial" w:cs="Arial" w:eastAsia="Arial" w:hAnsi="Arial"/>
                <w:sz w:val="13"/>
                <w:szCs w:val="13"/>
                <w:color w:val="auto"/>
              </w:rPr>
              <w:t>Total</w:t>
            </w:r>
          </w:p>
        </w:tc>
        <w:tc>
          <w:tcPr>
            <w:tcW w:w="860" w:type="dxa"/>
            <w:vAlign w:val="bottom"/>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1,204</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Investments Held-to-Maturity</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6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$311 million at March 31, 2025, of which $261 million will mature in one year or less, $45 million will mature in one through five years, and $5 million will mature after five years.</w:t>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7. Medical Claims and Benefits Payable</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ind w:right="522"/>
              <w:spacing w:after="0"/>
              <w:rPr>
                <w:sz w:val="20"/>
                <w:szCs w:val="20"/>
                <w:color w:val="auto"/>
              </w:rPr>
            </w:pPr>
            <w:r>
              <w:rPr>
                <w:rFonts w:ascii="Arial" w:cs="Arial" w:eastAsia="Arial" w:hAnsi="Arial"/>
                <w:sz w:val="12"/>
                <w:szCs w:val="12"/>
                <w:b w:val="1"/>
                <w:bCs w:val="1"/>
                <w:color w:val="auto"/>
                <w:w w:val="96"/>
              </w:rPr>
              <w:t>Three Months Ended March 31, 2025</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5"/>
        </w:trPr>
        <w:tc>
          <w:tcPr>
            <w:tcW w:w="43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Medicaid</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Medicare</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left="222"/>
              <w:spacing w:after="0"/>
              <w:rPr>
                <w:sz w:val="20"/>
                <w:szCs w:val="20"/>
                <w:color w:val="auto"/>
              </w:rPr>
            </w:pPr>
            <w:r>
              <w:rPr>
                <w:rFonts w:ascii="Arial" w:cs="Arial" w:eastAsia="Arial" w:hAnsi="Arial"/>
                <w:sz w:val="12"/>
                <w:szCs w:val="12"/>
                <w:b w:val="1"/>
                <w:bCs w:val="1"/>
                <w:color w:val="auto"/>
                <w:w w:val="95"/>
              </w:rPr>
              <w:t>Marketplace</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Other</w:t>
            </w:r>
          </w:p>
        </w:tc>
        <w:tc>
          <w:tcPr>
            <w:tcW w:w="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2"/>
                <w:szCs w:val="12"/>
                <w:b w:val="1"/>
                <w:bCs w:val="1"/>
                <w:color w:val="auto"/>
              </w:rPr>
              <w:t>Consolidated</w:t>
            </w:r>
          </w:p>
        </w:tc>
      </w:tr>
      <w:tr>
        <w:trPr>
          <w:trHeight w:val="188"/>
        </w:trPr>
        <w:tc>
          <w:tcPr>
            <w:tcW w:w="4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ind w:left="202"/>
              <w:spacing w:after="0"/>
              <w:rPr>
                <w:sz w:val="20"/>
                <w:szCs w:val="20"/>
                <w:color w:val="auto"/>
              </w:rPr>
            </w:pPr>
            <w:r>
              <w:rPr>
                <w:rFonts w:ascii="Arial" w:cs="Arial" w:eastAsia="Arial" w:hAnsi="Arial"/>
                <w:sz w:val="12"/>
                <w:szCs w:val="12"/>
                <w:b w:val="1"/>
                <w:bCs w:val="1"/>
                <w:color w:val="auto"/>
                <w:w w:val="94"/>
              </w:rPr>
              <w:t>(In millions)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6"/>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3,667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782"/>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82"/>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22"/>
              <w:spacing w:after="0"/>
              <w:rPr>
                <w:sz w:val="20"/>
                <w:szCs w:val="20"/>
                <w:color w:val="auto"/>
              </w:rPr>
            </w:pPr>
            <w:r>
              <w:rPr>
                <w:rFonts w:ascii="Arial" w:cs="Arial" w:eastAsia="Arial" w:hAnsi="Arial"/>
                <w:sz w:val="13"/>
                <w:szCs w:val="13"/>
                <w:color w:val="auto"/>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r>
      <w:tr>
        <w:trPr>
          <w:trHeight w:val="174"/>
        </w:trPr>
        <w:tc>
          <w:tcPr>
            <w:tcW w:w="432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7,495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9,665</w:t>
            </w:r>
          </w:p>
        </w:tc>
      </w:tr>
      <w:tr>
        <w:trPr>
          <w:trHeight w:val="174"/>
        </w:trPr>
        <w:tc>
          <w:tcPr>
            <w:tcW w:w="4320" w:type="dxa"/>
            <w:vAlign w:val="bottom"/>
          </w:tcPr>
          <w:p>
            <w:pPr>
              <w:ind w:left="280"/>
              <w:spacing w:after="0"/>
              <w:rPr>
                <w:sz w:val="20"/>
                <w:szCs w:val="20"/>
                <w:color w:val="auto"/>
              </w:rPr>
            </w:pPr>
            <w:r>
              <w:rPr>
                <w:rFonts w:ascii="Arial" w:cs="Arial" w:eastAsia="Arial" w:hAnsi="Arial"/>
                <w:sz w:val="13"/>
                <w:szCs w:val="13"/>
                <w:color w:val="auto"/>
              </w:rPr>
              <w:t>Prior years</w:t>
            </w: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(186)</w:t>
            </w:r>
          </w:p>
        </w:tc>
      </w:tr>
      <w:tr>
        <w:trPr>
          <w:trHeight w:val="167"/>
        </w:trPr>
        <w:tc>
          <w:tcPr>
            <w:tcW w:w="43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medical care costs</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7,339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1,296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9,479</w:t>
            </w: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Payments for medical care costs related to:</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6"/>
        </w:trPr>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4,593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5,789</w:t>
            </w:r>
          </w:p>
        </w:tc>
      </w:tr>
      <w:tr>
        <w:trPr>
          <w:trHeight w:val="174"/>
        </w:trPr>
        <w:tc>
          <w:tcPr>
            <w:tcW w:w="4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2,760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3,684</w:t>
            </w:r>
          </w:p>
        </w:tc>
      </w:tr>
      <w:tr>
        <w:trPr>
          <w:trHeight w:val="167"/>
        </w:trPr>
        <w:tc>
          <w:tcPr>
            <w:tcW w:w="43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paid</w:t>
            </w: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7,353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1,344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9,473</w:t>
            </w:r>
          </w:p>
        </w:tc>
      </w:tr>
      <w:tr>
        <w:trPr>
          <w:trHeight w:val="165"/>
        </w:trPr>
        <w:tc>
          <w:tcPr>
            <w:tcW w:w="432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20" w:type="dxa"/>
            <w:vAlign w:val="bottom"/>
          </w:tcPr>
          <w:p>
            <w:pPr>
              <w:spacing w:after="0"/>
              <w:rPr>
                <w:sz w:val="14"/>
                <w:szCs w:val="1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7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payables</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67"/>
        </w:trPr>
        <w:tc>
          <w:tcPr>
            <w:tcW w:w="432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2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3,566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gridSpan w:val="2"/>
          </w:tcPr>
          <w:p>
            <w:pPr>
              <w:jc w:val="right"/>
              <w:ind w:right="782"/>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882"/>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415</w:t>
            </w:r>
          </w:p>
        </w:tc>
        <w:tc>
          <w:tcPr>
            <w:tcW w:w="60" w:type="dxa"/>
            <w:vAlign w:val="bottom"/>
          </w:tcPr>
          <w:p>
            <w:pPr>
              <w:spacing w:after="0"/>
              <w:rPr>
                <w:sz w:val="14"/>
                <w:szCs w:val="14"/>
                <w:color w:val="auto"/>
              </w:rPr>
            </w:pPr>
          </w:p>
        </w:tc>
        <w:tc>
          <w:tcPr>
            <w:tcW w:w="980" w:type="dxa"/>
            <w:vAlign w:val="bottom"/>
            <w:tcBorders>
              <w:top w:val="single" w:sz="8" w:color="auto"/>
              <w:bottom w:val="single" w:sz="8" w:color="auto"/>
            </w:tcBorders>
            <w:gridSpan w:val="2"/>
          </w:tcPr>
          <w:p>
            <w:pPr>
              <w:jc w:val="right"/>
              <w:ind w:right="822"/>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4,804</w:t>
            </w:r>
          </w:p>
        </w:tc>
      </w:tr>
      <w:tr>
        <w:trPr>
          <w:trHeight w:val="20"/>
        </w:trPr>
        <w:tc>
          <w:tcPr>
            <w:tcW w:w="4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55"/>
        </w:trPr>
        <w:tc>
          <w:tcPr>
            <w:tcW w:w="4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center"/>
              <w:ind w:right="502"/>
              <w:spacing w:after="0"/>
              <w:rPr>
                <w:sz w:val="20"/>
                <w:szCs w:val="20"/>
                <w:color w:val="auto"/>
              </w:rPr>
            </w:pPr>
            <w:r>
              <w:rPr>
                <w:rFonts w:ascii="Arial" w:cs="Arial" w:eastAsia="Arial" w:hAnsi="Arial"/>
                <w:sz w:val="12"/>
                <w:szCs w:val="12"/>
                <w:b w:val="1"/>
                <w:bCs w:val="1"/>
                <w:color w:val="auto"/>
                <w:w w:val="97"/>
              </w:rPr>
              <w:t>Three Months Ended March 31, 2024</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5"/>
        </w:trPr>
        <w:tc>
          <w:tcPr>
            <w:tcW w:w="43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Medicaid</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Medicare</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Marketplace</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Other</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2"/>
                <w:szCs w:val="12"/>
                <w:b w:val="1"/>
                <w:bCs w:val="1"/>
                <w:color w:val="auto"/>
              </w:rPr>
              <w:t>Consolidated</w:t>
            </w:r>
          </w:p>
        </w:tc>
      </w:tr>
      <w:tr>
        <w:trPr>
          <w:trHeight w:val="188"/>
        </w:trPr>
        <w:tc>
          <w:tcPr>
            <w:tcW w:w="4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ind w:left="222"/>
              <w:spacing w:after="0"/>
              <w:rPr>
                <w:sz w:val="20"/>
                <w:szCs w:val="20"/>
                <w:color w:val="auto"/>
              </w:rPr>
            </w:pPr>
            <w:r>
              <w:rPr>
                <w:rFonts w:ascii="Arial" w:cs="Arial" w:eastAsia="Arial" w:hAnsi="Arial"/>
                <w:sz w:val="12"/>
                <w:szCs w:val="12"/>
                <w:b w:val="1"/>
                <w:bCs w:val="1"/>
                <w:color w:val="auto"/>
                <w:w w:val="97"/>
              </w:rPr>
              <w:t>(In millions)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6"/>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3,444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782"/>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82"/>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22"/>
              <w:spacing w:after="0"/>
              <w:rPr>
                <w:sz w:val="20"/>
                <w:szCs w:val="20"/>
                <w:color w:val="auto"/>
              </w:rPr>
            </w:pPr>
            <w:r>
              <w:rPr>
                <w:rFonts w:ascii="Arial" w:cs="Arial" w:eastAsia="Arial" w:hAnsi="Arial"/>
                <w:sz w:val="13"/>
                <w:szCs w:val="13"/>
                <w:color w:val="auto"/>
              </w:rPr>
              <w:t>$</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4,204</w:t>
            </w:r>
          </w:p>
        </w:tc>
      </w:tr>
      <w:tr>
        <w:trPr>
          <w:trHeight w:val="174"/>
        </w:trPr>
        <w:tc>
          <w:tcPr>
            <w:tcW w:w="432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7,006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8,748</w:t>
            </w:r>
          </w:p>
        </w:tc>
      </w:tr>
      <w:tr>
        <w:trPr>
          <w:trHeight w:val="174"/>
        </w:trPr>
        <w:tc>
          <w:tcPr>
            <w:tcW w:w="4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w:t>
            </w:r>
          </w:p>
        </w:tc>
      </w:tr>
      <w:tr>
        <w:trPr>
          <w:trHeight w:val="167"/>
        </w:trPr>
        <w:tc>
          <w:tcPr>
            <w:tcW w:w="43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medical care costs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6,717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1,279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8,414</w:t>
            </w: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Payments for medical care costs related to:</w:t>
            </w:r>
          </w:p>
        </w:tc>
        <w:tc>
          <w:tcPr>
            <w:tcW w:w="9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6"/>
        </w:trPr>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4,490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5,409</w:t>
            </w:r>
          </w:p>
        </w:tc>
      </w:tr>
      <w:tr>
        <w:trPr>
          <w:trHeight w:val="174"/>
        </w:trPr>
        <w:tc>
          <w:tcPr>
            <w:tcW w:w="4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2,066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2,879</w:t>
            </w:r>
          </w:p>
        </w:tc>
      </w:tr>
      <w:tr>
        <w:trPr>
          <w:trHeight w:val="167"/>
        </w:trPr>
        <w:tc>
          <w:tcPr>
            <w:tcW w:w="43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paid</w:t>
            </w: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6,556</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1,332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8,288</w:t>
            </w:r>
          </w:p>
        </w:tc>
      </w:tr>
      <w:tr>
        <w:trPr>
          <w:trHeight w:val="165"/>
        </w:trPr>
        <w:tc>
          <w:tcPr>
            <w:tcW w:w="432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2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391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391</w:t>
            </w:r>
          </w:p>
        </w:tc>
      </w:tr>
      <w:tr>
        <w:trPr>
          <w:trHeight w:val="17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67"/>
        </w:trPr>
        <w:tc>
          <w:tcPr>
            <w:tcW w:w="432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20" w:type="dxa"/>
            <w:vAlign w:val="bottom"/>
          </w:tcPr>
          <w:p>
            <w:pPr>
              <w:jc w:val="right"/>
              <w:ind w:right="75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3,486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782"/>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882"/>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246</w:t>
            </w:r>
          </w:p>
        </w:tc>
        <w:tc>
          <w:tcPr>
            <w:tcW w:w="60" w:type="dxa"/>
            <w:vAlign w:val="bottom"/>
          </w:tcPr>
          <w:p>
            <w:pPr>
              <w:spacing w:after="0"/>
              <w:rPr>
                <w:sz w:val="14"/>
                <w:szCs w:val="14"/>
                <w:color w:val="auto"/>
              </w:rPr>
            </w:pPr>
          </w:p>
        </w:tc>
        <w:tc>
          <w:tcPr>
            <w:tcW w:w="980" w:type="dxa"/>
            <w:vAlign w:val="bottom"/>
            <w:gridSpan w:val="2"/>
          </w:tcPr>
          <w:p>
            <w:pPr>
              <w:jc w:val="right"/>
              <w:ind w:right="822"/>
              <w:spacing w:after="0"/>
              <w:rPr>
                <w:sz w:val="20"/>
                <w:szCs w:val="20"/>
                <w:color w:val="auto"/>
              </w:rPr>
            </w:pPr>
            <w:r>
              <w:rPr>
                <w:rFonts w:ascii="Arial" w:cs="Arial" w:eastAsia="Arial" w:hAnsi="Arial"/>
                <w:sz w:val="13"/>
                <w:szCs w:val="13"/>
                <w:color w:val="auto"/>
              </w:rPr>
              <w:t>$</w:t>
            </w:r>
          </w:p>
        </w:tc>
        <w:tc>
          <w:tcPr>
            <w:tcW w:w="440" w:type="dxa"/>
            <w:vAlign w:val="bottom"/>
            <w:gridSpan w:val="3"/>
          </w:tcPr>
          <w:p>
            <w:pPr>
              <w:ind w:lef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4,571</w:t>
            </w:r>
          </w:p>
        </w:tc>
      </w:tr>
      <w:tr>
        <w:trPr>
          <w:trHeight w:val="20"/>
        </w:trPr>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Incurred but not paid (“IBNP”) plus expected development on report claims as of March 31, 2025 was $3,194 million. IBNP includes the costs of claims incurred as of the balance sheet date which have been reported to us, and our best estimate of the cost of claims incurred but not yet reported to us. Our estimates of medical claims and benefits payable recorded at December 31, 2024, and 2023 developed favorably by approximately $186 million and $334 million as of March 31, 2025, and 2024, respectively.</w:t>
      </w:r>
    </w:p>
    <w:p>
      <w:pPr>
        <w:spacing w:after="0" w:line="43" w:lineRule="exact"/>
        <w:rPr>
          <w:sz w:val="20"/>
          <w:szCs w:val="20"/>
          <w:color w:val="auto"/>
        </w:rPr>
      </w:pPr>
    </w:p>
    <w:p>
      <w:pPr>
        <w:ind w:right="220"/>
        <w:spacing w:after="0" w:line="256" w:lineRule="auto"/>
        <w:rPr>
          <w:sz w:val="20"/>
          <w:szCs w:val="20"/>
          <w:color w:val="auto"/>
        </w:rPr>
      </w:pPr>
      <w:r>
        <w:rPr>
          <w:rFonts w:ascii="Arial" w:cs="Arial" w:eastAsia="Arial" w:hAnsi="Arial"/>
          <w:sz w:val="15"/>
          <w:szCs w:val="15"/>
          <w:color w:val="auto"/>
        </w:rPr>
        <w:t>The favorable prior year development recognized in the three months ended March 31, 2025 was primarily attributable to reserving under moderately adverse conditions, lower than expected utilization of medical services by our members and improved operating performance, mainly in the Medicaid segment. Consequently, the ultimate costs recognized in 2025, as claims payments were processed, were lower than our estimates in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8. Debt</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outstanding debt obligations, all of which are non-current as of the dates reported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316"/>
              <w:spacing w:after="0"/>
              <w:rPr>
                <w:sz w:val="20"/>
                <w:szCs w:val="20"/>
                <w:color w:val="auto"/>
              </w:rPr>
            </w:pPr>
            <w:r>
              <w:rPr>
                <w:rFonts w:ascii="Arial" w:cs="Arial" w:eastAsia="Arial" w:hAnsi="Arial"/>
                <w:sz w:val="12"/>
                <w:szCs w:val="12"/>
                <w:b w:val="1"/>
                <w:bCs w:val="1"/>
                <w:color w:val="auto"/>
              </w:rPr>
              <w:t>December 31,</w:t>
            </w:r>
          </w:p>
        </w:tc>
      </w:tr>
      <w:tr>
        <w:trPr>
          <w:trHeight w:val="150"/>
        </w:trPr>
        <w:tc>
          <w:tcPr>
            <w:tcW w:w="8080" w:type="dxa"/>
            <w:vAlign w:val="bottom"/>
          </w:tcPr>
          <w:p>
            <w:pPr>
              <w:spacing w:after="0"/>
              <w:rPr>
                <w:sz w:val="13"/>
                <w:szCs w:val="13"/>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2"/>
                <w:szCs w:val="12"/>
                <w:b w:val="1"/>
                <w:bCs w:val="1"/>
                <w:color w:val="auto"/>
              </w:rPr>
              <w:t>2024</w:t>
            </w:r>
          </w:p>
        </w:tc>
      </w:tr>
      <w:tr>
        <w:trPr>
          <w:trHeight w:val="187"/>
        </w:trPr>
        <w:tc>
          <w:tcPr>
            <w:tcW w:w="8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200" w:type="dxa"/>
            <w:vAlign w:val="bottom"/>
          </w:tcPr>
          <w:p>
            <w:pPr>
              <w:spacing w:after="0"/>
              <w:rPr>
                <w:sz w:val="16"/>
                <w:szCs w:val="16"/>
                <w:color w:val="auto"/>
              </w:rPr>
            </w:pPr>
          </w:p>
        </w:tc>
      </w:tr>
      <w:tr>
        <w:trPr>
          <w:trHeight w:val="176"/>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long-term debt:</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4"/>
        </w:trPr>
        <w:tc>
          <w:tcPr>
            <w:tcW w:w="8080" w:type="dxa"/>
            <w:vAlign w:val="bottom"/>
          </w:tcPr>
          <w:p>
            <w:pPr>
              <w:ind w:left="120"/>
              <w:spacing w:after="0"/>
              <w:rPr>
                <w:sz w:val="20"/>
                <w:szCs w:val="20"/>
                <w:color w:val="auto"/>
              </w:rPr>
            </w:pPr>
            <w:r>
              <w:rPr>
                <w:rFonts w:ascii="Arial" w:cs="Arial" w:eastAsia="Arial" w:hAnsi="Arial"/>
                <w:sz w:val="13"/>
                <w:szCs w:val="13"/>
                <w:color w:val="auto"/>
              </w:rPr>
              <w:t>4.375% Notes due 2028</w:t>
            </w:r>
          </w:p>
        </w:tc>
        <w:tc>
          <w:tcPr>
            <w:tcW w:w="1080" w:type="dxa"/>
            <w:vAlign w:val="bottom"/>
          </w:tcPr>
          <w:p>
            <w:pPr>
              <w:jc w:val="right"/>
              <w:ind w:right="938"/>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5"/>
                <w:szCs w:val="15"/>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176"/>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3.875% Notes due 2030</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74"/>
        </w:trPr>
        <w:tc>
          <w:tcPr>
            <w:tcW w:w="8080" w:type="dxa"/>
            <w:vAlign w:val="bottom"/>
          </w:tcPr>
          <w:p>
            <w:pPr>
              <w:ind w:left="100"/>
              <w:spacing w:after="0"/>
              <w:rPr>
                <w:sz w:val="20"/>
                <w:szCs w:val="20"/>
                <w:color w:val="auto"/>
              </w:rPr>
            </w:pPr>
            <w:r>
              <w:rPr>
                <w:rFonts w:ascii="Arial" w:cs="Arial" w:eastAsia="Arial" w:hAnsi="Arial"/>
                <w:sz w:val="13"/>
                <w:szCs w:val="13"/>
                <w:color w:val="auto"/>
              </w:rPr>
              <w:t>3.875% Notes due 2032</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76"/>
        </w:trPr>
        <w:tc>
          <w:tcPr>
            <w:tcW w:w="8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6.250% Notes due 2033</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74"/>
        </w:trPr>
        <w:tc>
          <w:tcPr>
            <w:tcW w:w="8080" w:type="dxa"/>
            <w:vAlign w:val="bottom"/>
          </w:tcPr>
          <w:p>
            <w:pPr>
              <w:ind w:left="100"/>
              <w:spacing w:after="0"/>
              <w:rPr>
                <w:sz w:val="20"/>
                <w:szCs w:val="20"/>
                <w:color w:val="auto"/>
              </w:rPr>
            </w:pPr>
            <w:r>
              <w:rPr>
                <w:rFonts w:ascii="Arial" w:cs="Arial" w:eastAsia="Arial" w:hAnsi="Arial"/>
                <w:sz w:val="13"/>
                <w:szCs w:val="13"/>
                <w:color w:val="auto"/>
              </w:rPr>
              <w:t>Term Loan</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Credit Facility</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Deferred debt issuance costs</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192"/>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Credit Agreement</w:t>
      </w:r>
    </w:p>
    <w:p>
      <w:pPr>
        <w:spacing w:after="0" w:line="88"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On February 19, 2025, we entered into a Third Amendment to our credit agreement (the “Amended Credit Agreement”) which reflects the establishment of a delayed draw commitment (“Term Loan”) in an aggregate principal amount of $500 million. The Term Loan matures on February 19, 2027. The Amended Credit Agreement also includes a revolving credit facility (“Credit Facility”) of $1.25 billion, among other provisions. The Amended Credit Agreement has a term of five years, and all amounts outstanding (other than the Term Loan) will be due and payable on September 20, 2029. Borrowings under the Amended Credit Agreement bear interest based, at our election, on a base rate or other defined rate, plus in each case, the applicable margin. In addition to interest payable on the principal amount of indebtedness outstanding from time to time under the Amended Credit Agreement, we are required to pay a quarterly commitment fee. We have other relationships, including financial advisory and banking, with some parties to the Amended Credit Agreement.</w:t>
      </w:r>
    </w:p>
    <w:p>
      <w:pPr>
        <w:spacing w:after="0" w:line="69" w:lineRule="exact"/>
        <w:rPr>
          <w:sz w:val="20"/>
          <w:szCs w:val="20"/>
          <w:color w:val="auto"/>
        </w:rPr>
      </w:pPr>
    </w:p>
    <w:p>
      <w:pPr>
        <w:jc w:val="both"/>
        <w:ind w:right="220"/>
        <w:spacing w:after="0" w:line="256" w:lineRule="auto"/>
        <w:rPr>
          <w:sz w:val="20"/>
          <w:szCs w:val="20"/>
          <w:color w:val="auto"/>
        </w:rPr>
      </w:pPr>
      <w:r>
        <w:rPr>
          <w:rFonts w:ascii="Arial" w:cs="Arial" w:eastAsia="Arial" w:hAnsi="Arial"/>
          <w:sz w:val="15"/>
          <w:szCs w:val="15"/>
          <w:color w:val="auto"/>
        </w:rPr>
        <w:t>The Amended Credit Agreement contains customary non-financial and financial covenants. As of March 31, 2025, we were in compliance with all financial and non-financial covenants under the Amended Credit Agreement. As of March 31, 2025, $150 million was outstanding under the Credit Facility and $500 million was outstanding under the Term Loan.</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Senior Notes</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March 31, 2025, we were in compliance with all non-financial covenants in the indentures governing the senior notes.</w:t>
      </w:r>
    </w:p>
    <w:p>
      <w:pPr>
        <w:spacing w:after="0" w:line="63"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4.375% Notes due 2028. </w:t>
      </w:r>
      <w:r>
        <w:rPr>
          <w:rFonts w:ascii="Arial" w:cs="Arial" w:eastAsia="Arial" w:hAnsi="Arial"/>
          <w:sz w:val="14"/>
          <w:szCs w:val="14"/>
          <w:color w:val="auto"/>
        </w:rPr>
        <w:t>We have $800 million aggregate principal amount of senior notes (the “4.375% Notes”) outstanding as of March 31, 2025, which are due June 15,</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2028, unless earlier redeemed. Interest, at a rate of 4.375% per annum, is payable semiannually in arrears on June 15 and December 15.</w:t>
      </w:r>
    </w:p>
    <w:p>
      <w:pPr>
        <w:spacing w:after="0" w:line="76"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i w:val="1"/>
          <w:iCs w:val="1"/>
          <w:color w:val="auto"/>
        </w:rPr>
        <w:t xml:space="preserve">3.875% Notes due 2030. </w:t>
      </w:r>
      <w:r>
        <w:rPr>
          <w:rFonts w:ascii="Arial" w:cs="Arial" w:eastAsia="Arial" w:hAnsi="Arial"/>
          <w:sz w:val="15"/>
          <w:szCs w:val="15"/>
          <w:color w:val="auto"/>
        </w:rPr>
        <w:t>We have $650 million aggregate principal amount of senior notes (the “3.875% Notes due 2030”) outstanding as of March 31, 2025, which are due</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15, 2030, unless earlier redeemed. Interest, at a rate of 3.875% per annum, is payable semiannually in arrears on May 15 and November 15.</w:t>
      </w:r>
    </w:p>
    <w:p>
      <w:pPr>
        <w:spacing w:after="0" w:line="49"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i w:val="1"/>
          <w:iCs w:val="1"/>
          <w:color w:val="auto"/>
        </w:rPr>
        <w:t xml:space="preserve">3.875% Notes due 2032. </w:t>
      </w:r>
      <w:r>
        <w:rPr>
          <w:rFonts w:ascii="Arial" w:cs="Arial" w:eastAsia="Arial" w:hAnsi="Arial"/>
          <w:sz w:val="15"/>
          <w:szCs w:val="15"/>
          <w:color w:val="auto"/>
        </w:rPr>
        <w:t>We have $750 million aggregate principal amount of senior notes (the “3.875% Notes due 2032”) outstanding as of March 31, 2025, which are due</w:t>
      </w:r>
      <w:r>
        <w:rPr>
          <w:rFonts w:ascii="Arial" w:cs="Arial" w:eastAsia="Arial" w:hAnsi="Arial"/>
          <w:sz w:val="15"/>
          <w:szCs w:val="15"/>
          <w:i w:val="1"/>
          <w:iCs w:val="1"/>
          <w:color w:val="auto"/>
        </w:rPr>
        <w:t xml:space="preserve"> </w:t>
      </w:r>
      <w:r>
        <w:rPr>
          <w:rFonts w:ascii="Arial" w:cs="Arial" w:eastAsia="Arial" w:hAnsi="Arial"/>
          <w:sz w:val="15"/>
          <w:szCs w:val="15"/>
          <w:color w:val="auto"/>
        </w:rPr>
        <w:t>May 15, 2032, unless earlier redeemed. Interest, at a rate of 3.875% per annum, is payable semiannually in arrears on May 15 and November 15.</w:t>
      </w:r>
    </w:p>
    <w:p>
      <w:pPr>
        <w:spacing w:after="0" w:line="49"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i w:val="1"/>
          <w:iCs w:val="1"/>
          <w:color w:val="auto"/>
        </w:rPr>
        <w:t xml:space="preserve">6.250% Notes due 2033. </w:t>
      </w:r>
      <w:r>
        <w:rPr>
          <w:rFonts w:ascii="Arial" w:cs="Arial" w:eastAsia="Arial" w:hAnsi="Arial"/>
          <w:sz w:val="15"/>
          <w:szCs w:val="15"/>
          <w:color w:val="auto"/>
        </w:rPr>
        <w:t>We have $750 million aggregate principal amount of senior notes (the “6.250% Notes due 2033”) outstanding as of March 31, 2025, which are due</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15, 2033, unless earlier redeemed. Interest, at a rate of 6.250% per annum, is payable semiannually in arrears on January 15 and July 15.</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9. Stockholders' Equity</w:t>
      </w:r>
    </w:p>
    <w:p>
      <w:pPr>
        <w:spacing w:after="0" w:line="9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In October 2024, our board of directors authorized the purchase of up to $1 billion of our common stock. This program had superseded the stock purchase program previously approved by our board of directors in September 2023. Under this program, pursuant to a Rule 10b5-1 trading plan, we purchased approximately 1,679,000 shares for</w:t>
      </w:r>
    </w:p>
    <w:p>
      <w:pPr>
        <w:ind w:right="400"/>
        <w:spacing w:after="0" w:line="250" w:lineRule="auto"/>
        <w:rPr>
          <w:sz w:val="20"/>
          <w:szCs w:val="20"/>
          <w:color w:val="auto"/>
        </w:rPr>
      </w:pPr>
      <w:r>
        <w:rPr>
          <w:rFonts w:ascii="Arial" w:cs="Arial" w:eastAsia="Arial" w:hAnsi="Arial"/>
          <w:sz w:val="15"/>
          <w:szCs w:val="15"/>
          <w:color w:val="auto"/>
        </w:rPr>
        <w:t>$500 million in the first quarter of 2025 (average cost of $297.83 per share). These first quarter purchases exhausted the funds available under the board’s October 2024 $1 billion repurchase authorization.</w:t>
      </w:r>
    </w:p>
    <w:p>
      <w:pPr>
        <w:spacing w:after="0" w:line="64"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We have accrued a stock repurchase excise tax of $13 million related to the current and prior year share repurchase programs as of March 31, 2025, located in “Accounts payable, accrued liabilities and other” and “Additional paid-in capital” in the accompanying consolidated balance sheets.</w:t>
      </w:r>
    </w:p>
    <w:p>
      <w:pPr>
        <w:spacing w:after="0" w:line="49"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In April 2025, our board of directors newly authorized the purchase of up to an additional $1 billion of our common stock. This new program extends through December 31, 2026. In consultation with the Finance Committee of the Board, the exact timing and amount of any share repurchases shall be determined by management based on market conditions and share price, in addition to other factors, and subject to the restrictions relating to volume, price, and timing under applicable law. No shares have been repurchased to date under this new program.</w:t>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10. Segments</w:t>
      </w:r>
    </w:p>
    <w:p>
      <w:pPr>
        <w:spacing w:after="0" w:line="90" w:lineRule="exact"/>
        <w:rPr>
          <w:sz w:val="20"/>
          <w:szCs w:val="20"/>
          <w:color w:val="auto"/>
        </w:rPr>
      </w:pPr>
    </w:p>
    <w:p>
      <w:pPr>
        <w:ind w:right="500"/>
        <w:spacing w:after="0" w:line="270" w:lineRule="auto"/>
        <w:rPr>
          <w:sz w:val="20"/>
          <w:szCs w:val="20"/>
          <w:color w:val="auto"/>
        </w:rPr>
      </w:pPr>
      <w:r>
        <w:rPr>
          <w:rFonts w:ascii="Arial" w:cs="Arial" w:eastAsia="Arial" w:hAnsi="Arial"/>
          <w:sz w:val="15"/>
          <w:szCs w:val="15"/>
          <w:color w:val="auto"/>
        </w:rPr>
        <w:t>We currently have four reportable segments consisting of: 1) Medicaid; 2) Medicare; 3) Marketplace; and 4) Other. Our reportable segments are consistent with how we currently manage the business and view the markets we serve.</w:t>
      </w:r>
    </w:p>
    <w:p>
      <w:pPr>
        <w:spacing w:after="0" w:line="49"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60"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2"/>
                <w:szCs w:val="12"/>
                <w:b w:val="1"/>
                <w:bCs w:val="1"/>
                <w:color w:val="auto"/>
              </w:rPr>
              <w:t>Three Months Ended March 31, 2025</w:t>
            </w:r>
          </w:p>
        </w:tc>
        <w:tc>
          <w:tcPr>
            <w:tcW w:w="10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5"/>
        </w:trPr>
        <w:tc>
          <w:tcPr>
            <w:tcW w:w="37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Medicaid</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Medicare</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Marketplace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Total</w:t>
            </w:r>
          </w:p>
        </w:tc>
      </w:tr>
      <w:tr>
        <w:trPr>
          <w:trHeight w:val="188"/>
        </w:trPr>
        <w:tc>
          <w:tcPr>
            <w:tcW w:w="3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2"/>
                <w:szCs w:val="12"/>
                <w:b w:val="1"/>
                <w:bCs w:val="1"/>
                <w:color w:val="auto"/>
              </w:rPr>
              <w:t>(In millions)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4"/>
        </w:trPr>
        <w:tc>
          <w:tcPr>
            <w:tcW w:w="376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1020" w:type="dxa"/>
            <w:vAlign w:val="bottom"/>
          </w:tcPr>
          <w:p>
            <w:pPr>
              <w:jc w:val="right"/>
              <w:ind w:right="85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8,130</w:t>
            </w:r>
          </w:p>
        </w:tc>
        <w:tc>
          <w:tcPr>
            <w:tcW w:w="100" w:type="dxa"/>
            <w:vAlign w:val="bottom"/>
          </w:tcPr>
          <w:p>
            <w:pPr>
              <w:spacing w:after="0"/>
              <w:rPr>
                <w:sz w:val="15"/>
                <w:szCs w:val="15"/>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1,004</w:t>
            </w:r>
          </w:p>
        </w:tc>
        <w:tc>
          <w:tcPr>
            <w:tcW w:w="80" w:type="dxa"/>
            <w:vAlign w:val="bottom"/>
          </w:tcPr>
          <w:p>
            <w:pPr>
              <w:spacing w:after="0"/>
              <w:rPr>
                <w:sz w:val="15"/>
                <w:szCs w:val="15"/>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5"/>
                <w:szCs w:val="15"/>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10,628</w:t>
            </w: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10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8,130</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1,004</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10,650</w:t>
            </w: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7"/>
                <w:szCs w:val="17"/>
                <w:color w:val="auto"/>
                <w:vertAlign w:val="superscript"/>
              </w:rPr>
              <w:t>(1)</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w:t>
            </w:r>
          </w:p>
        </w:tc>
      </w:tr>
      <w:tr>
        <w:trPr>
          <w:trHeight w:val="16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10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11,147</w:t>
            </w:r>
          </w:p>
        </w:tc>
      </w:tr>
      <w:tr>
        <w:trPr>
          <w:trHeight w:val="15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4"/>
        </w:trPr>
        <w:tc>
          <w:tcPr>
            <w:tcW w:w="376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7,339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9,479</w:t>
            </w: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10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7,339</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9,498</w:t>
            </w: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7"/>
                <w:szCs w:val="17"/>
                <w:color w:val="auto"/>
                <w:vertAlign w:val="superscript"/>
              </w:rPr>
              <w:t>(2)</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1,216</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433</w:t>
            </w:r>
          </w:p>
        </w:tc>
      </w:tr>
      <w:tr>
        <w:trPr>
          <w:trHeight w:val="17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390</w:t>
            </w:r>
          </w:p>
        </w:tc>
      </w:tr>
      <w:tr>
        <w:trPr>
          <w:trHeight w:val="17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4"/>
        </w:trPr>
        <w:tc>
          <w:tcPr>
            <w:tcW w:w="376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1020" w:type="dxa"/>
            <w:vAlign w:val="bottom"/>
          </w:tcPr>
          <w:p>
            <w:pPr>
              <w:jc w:val="right"/>
              <w:ind w:right="85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15"/>
                <w:szCs w:val="15"/>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5"/>
                <w:szCs w:val="15"/>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5"/>
                <w:szCs w:val="15"/>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1,149</w:t>
            </w: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349"/>
        </w:trPr>
        <w:tc>
          <w:tcPr>
            <w:tcW w:w="37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2"/>
                <w:szCs w:val="12"/>
                <w:b w:val="1"/>
                <w:bCs w:val="1"/>
                <w:color w:val="auto"/>
              </w:rPr>
              <w:t>Three Months Ended March 31, 2024</w:t>
            </w: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5"/>
        </w:trPr>
        <w:tc>
          <w:tcPr>
            <w:tcW w:w="37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Medicaid</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Medicare</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Marketplace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Total</w:t>
            </w:r>
          </w:p>
        </w:tc>
      </w:tr>
      <w:tr>
        <w:trPr>
          <w:trHeight w:val="188"/>
        </w:trPr>
        <w:tc>
          <w:tcPr>
            <w:tcW w:w="3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2"/>
                <w:szCs w:val="12"/>
                <w:b w:val="1"/>
                <w:bCs w:val="1"/>
                <w:color w:val="auto"/>
              </w:rPr>
              <w:t>(In millions)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4"/>
        </w:trPr>
        <w:tc>
          <w:tcPr>
            <w:tcW w:w="376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1020" w:type="dxa"/>
            <w:vAlign w:val="bottom"/>
          </w:tcPr>
          <w:p>
            <w:pPr>
              <w:jc w:val="right"/>
              <w:ind w:right="85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7,492</w:t>
            </w:r>
          </w:p>
        </w:tc>
        <w:tc>
          <w:tcPr>
            <w:tcW w:w="100" w:type="dxa"/>
            <w:vAlign w:val="bottom"/>
          </w:tcPr>
          <w:p>
            <w:pPr>
              <w:spacing w:after="0"/>
              <w:rPr>
                <w:sz w:val="15"/>
                <w:szCs w:val="15"/>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1,442</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570</w:t>
            </w:r>
          </w:p>
        </w:tc>
        <w:tc>
          <w:tcPr>
            <w:tcW w:w="80" w:type="dxa"/>
            <w:vAlign w:val="bottom"/>
          </w:tcPr>
          <w:p>
            <w:pPr>
              <w:spacing w:after="0"/>
              <w:rPr>
                <w:sz w:val="15"/>
                <w:szCs w:val="15"/>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9,504</w:t>
            </w: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10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7,492</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1,442</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570</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9,524</w:t>
            </w: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7"/>
                <w:szCs w:val="17"/>
                <w:color w:val="auto"/>
                <w:vertAlign w:val="superscript"/>
              </w:rPr>
              <w:t>(1)</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w:t>
            </w:r>
          </w:p>
        </w:tc>
      </w:tr>
      <w:tr>
        <w:trPr>
          <w:trHeight w:val="16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10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9,931</w:t>
            </w:r>
          </w:p>
        </w:tc>
      </w:tr>
      <w:tr>
        <w:trPr>
          <w:trHeight w:val="15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4"/>
        </w:trPr>
        <w:tc>
          <w:tcPr>
            <w:tcW w:w="376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6,717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8,414</w:t>
            </w: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10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6,717</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8,432</w:t>
            </w: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7"/>
                <w:szCs w:val="17"/>
                <w:color w:val="auto"/>
                <w:vertAlign w:val="superscript"/>
              </w:rPr>
              <w:t>(2)</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17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5"/>
        </w:trPr>
        <w:tc>
          <w:tcPr>
            <w:tcW w:w="376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399</w:t>
            </w:r>
          </w:p>
        </w:tc>
      </w:tr>
      <w:tr>
        <w:trPr>
          <w:trHeight w:val="176"/>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4"/>
        </w:trPr>
        <w:tc>
          <w:tcPr>
            <w:tcW w:w="376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1020" w:type="dxa"/>
            <w:vAlign w:val="bottom"/>
          </w:tcPr>
          <w:p>
            <w:pPr>
              <w:jc w:val="right"/>
              <w:ind w:right="85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15"/>
                <w:szCs w:val="15"/>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5"/>
                <w:szCs w:val="15"/>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1,090</w:t>
            </w:r>
          </w:p>
        </w:tc>
      </w:tr>
      <w:tr>
        <w:trPr>
          <w:trHeight w:val="176"/>
        </w:trPr>
        <w:tc>
          <w:tcPr>
            <w:tcW w:w="3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w:t>
      </w:r>
    </w:p>
    <w:p>
      <w:pPr>
        <w:spacing w:after="0" w:line="50"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operating revenues include premium tax revenue, investment income, and certain other revenue.</w:t>
      </w:r>
    </w:p>
    <w:p>
      <w:pPr>
        <w:spacing w:after="0" w:line="23" w:lineRule="exact"/>
        <w:rPr>
          <w:rFonts w:ascii="Arial" w:cs="Arial" w:eastAsia="Arial" w:hAnsi="Arial"/>
          <w:sz w:val="13"/>
          <w:szCs w:val="13"/>
          <w:color w:val="auto"/>
        </w:rPr>
      </w:pPr>
    </w:p>
    <w:p>
      <w:pPr>
        <w:ind w:left="260" w:hanging="253"/>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operating expenses include general and administrative expenses, premium tax expenses, depreciation and amortization, and certain other operating expenses.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8720" w:firstLine="7"/>
        <w:spacing w:after="0" w:line="365" w:lineRule="auto"/>
        <w:tabs>
          <w:tab w:leader="none" w:pos="235" w:val="left"/>
        </w:tabs>
        <w:numPr>
          <w:ilvl w:val="0"/>
          <w:numId w:val="8"/>
        </w:numPr>
        <w:rPr>
          <w:rFonts w:ascii="Arial" w:cs="Arial" w:eastAsia="Arial" w:hAnsi="Arial"/>
          <w:sz w:val="15"/>
          <w:szCs w:val="15"/>
          <w:b w:val="1"/>
          <w:bCs w:val="1"/>
          <w:color w:val="828282"/>
        </w:rPr>
      </w:pPr>
      <w:r>
        <w:rPr>
          <w:rFonts w:ascii="Arial" w:cs="Arial" w:eastAsia="Arial" w:hAnsi="Arial"/>
          <w:sz w:val="15"/>
          <w:szCs w:val="15"/>
          <w:b w:val="1"/>
          <w:bCs w:val="1"/>
          <w:color w:val="828282"/>
        </w:rPr>
        <w:t xml:space="preserve">Commitments and Contingencies </w:t>
      </w:r>
      <w:r>
        <w:rPr>
          <w:rFonts w:ascii="Arial" w:cs="Arial" w:eastAsia="Arial" w:hAnsi="Arial"/>
          <w:sz w:val="15"/>
          <w:szCs w:val="15"/>
          <w:b w:val="1"/>
          <w:bCs w:val="1"/>
          <w:i w:val="1"/>
          <w:iCs w:val="1"/>
          <w:color w:val="000000"/>
        </w:rPr>
        <w:t>Legal Proceedings</w:t>
      </w:r>
    </w:p>
    <w:p>
      <w:pPr>
        <w:ind w:right="180"/>
        <w:spacing w:after="0" w:line="250" w:lineRule="auto"/>
        <w:rPr>
          <w:sz w:val="20"/>
          <w:szCs w:val="20"/>
          <w:color w:val="auto"/>
        </w:rPr>
      </w:pPr>
      <w:r>
        <w:rPr>
          <w:rFonts w:ascii="Arial" w:cs="Arial" w:eastAsia="Arial" w:hAnsi="Arial"/>
          <w:sz w:val="15"/>
          <w:szCs w:val="15"/>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64"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MANAGEMENT’S DISCUSSION AND ANALYSIS OF FINANCIAL CONDITION AND RESULTS OF OPERATIONS (“MD&amp;A”)</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FORWARD-LOOKING STATEMENTS</w:t>
      </w:r>
    </w:p>
    <w:p>
      <w:pPr>
        <w:spacing w:after="0" w:line="9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10 -Q include, but are not limited to, statements regarding our future results of operations and financial position, industry and business trends, regulatory developments, business strategy, strategic transactions and commercial arrangements, membership and market growth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59"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Those known risks and uncertainties include, but are not limited to, the risk factors identified in the section titled “Risk Factors” in our 2024 Annual Report on Form 10-K, including without limitation risks related to the following matters:</w:t>
      </w:r>
    </w:p>
    <w:p>
      <w:pPr>
        <w:spacing w:after="0" w:line="51" w:lineRule="exact"/>
        <w:rPr>
          <w:sz w:val="20"/>
          <w:szCs w:val="20"/>
          <w:color w:val="auto"/>
        </w:rPr>
      </w:pPr>
    </w:p>
    <w:p>
      <w:pPr>
        <w:ind w:left="260" w:right="180" w:hanging="253"/>
        <w:spacing w:after="0" w:line="251" w:lineRule="auto"/>
        <w:tabs>
          <w:tab w:leader="none" w:pos="256" w:val="left"/>
        </w:tabs>
        <w:numPr>
          <w:ilvl w:val="0"/>
          <w:numId w:val="9"/>
        </w:numPr>
        <w:rPr>
          <w:rFonts w:ascii="Times New Roman" w:cs="Times New Roman" w:eastAsia="Times New Roman" w:hAnsi="Times New Roman"/>
          <w:sz w:val="15"/>
          <w:szCs w:val="15"/>
          <w:i w:val="1"/>
          <w:iCs w:val="1"/>
          <w:color w:val="auto"/>
        </w:rPr>
      </w:pPr>
      <w:r>
        <w:rPr>
          <w:rFonts w:ascii="Arial" w:cs="Arial" w:eastAsia="Arial" w:hAnsi="Arial"/>
          <w:sz w:val="15"/>
          <w:szCs w:val="15"/>
          <w:i w:val="1"/>
          <w:iCs w:val="1"/>
          <w:color w:val="auto"/>
        </w:rPr>
        <w:t>the implementation in 2025 of Medicaid rate adjustments and updates that are not commensurate with the current medical cost trends in our states and the health acuity levels of our members;</w:t>
      </w:r>
    </w:p>
    <w:p>
      <w:pPr>
        <w:ind w:left="260" w:right="200" w:hanging="253"/>
        <w:spacing w:after="0" w:line="243" w:lineRule="auto"/>
        <w:tabs>
          <w:tab w:leader="none" w:pos="256"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federal or state legislative or regulatory changes to the Medicaid, Medicare, or Marketplace programs, including potential reductions in Medicaid funding, changes to the federal matching percentage paid to states for either the Medicaid expansion or general population, block grants or per capita caps, work requirements, the reduction or elimination of provider taxes, the non-renewal of Marketplace subsidies, or the implementation of new program integrity rules, insufficient Medicare Advantage rate adjustments, or amendments of the Affordable Care Act (“ACA”);</w:t>
      </w:r>
    </w:p>
    <w:p>
      <w:pPr>
        <w:spacing w:after="0" w:line="1" w:lineRule="exact"/>
        <w:rPr>
          <w:rFonts w:ascii="Arial" w:cs="Arial" w:eastAsia="Arial" w:hAnsi="Arial"/>
          <w:sz w:val="15"/>
          <w:szCs w:val="15"/>
          <w:i w:val="1"/>
          <w:iCs w:val="1"/>
          <w:color w:val="auto"/>
        </w:rPr>
      </w:pPr>
    </w:p>
    <w:p>
      <w:pPr>
        <w:ind w:left="260" w:hanging="253"/>
        <w:spacing w:after="0"/>
        <w:tabs>
          <w:tab w:leader="none" w:pos="26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budget pressures on state governments and states’ efforts to reduce rates or limit rate increases;</w:t>
      </w:r>
    </w:p>
    <w:p>
      <w:pPr>
        <w:spacing w:after="0" w:line="2" w:lineRule="exact"/>
        <w:rPr>
          <w:rFonts w:ascii="Arial" w:cs="Arial" w:eastAsia="Arial" w:hAnsi="Arial"/>
          <w:sz w:val="15"/>
          <w:szCs w:val="15"/>
          <w:i w:val="1"/>
          <w:iCs w:val="1"/>
          <w:color w:val="auto"/>
        </w:rPr>
      </w:pPr>
    </w:p>
    <w:p>
      <w:pPr>
        <w:ind w:left="260" w:right="380" w:hanging="253"/>
        <w:spacing w:after="0" w:line="243" w:lineRule="auto"/>
        <w:tabs>
          <w:tab w:leader="none" w:pos="25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evolving Marketplace dynamics including issues impacting enrollment, special enrollment periods, member choice, premium subsidies, risk adjustment estimates and results, Marketplace plan insolvencies or receiverships, and the potential for disproportionate enrollment of higher acuity members;</w:t>
      </w:r>
    </w:p>
    <w:p>
      <w:pPr>
        <w:ind w:left="260" w:right="220" w:hanging="253"/>
        <w:spacing w:after="0" w:line="243" w:lineRule="auto"/>
        <w:tabs>
          <w:tab w:leader="none" w:pos="25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 at projected levels;</w:t>
      </w:r>
    </w:p>
    <w:p>
      <w:pPr>
        <w:ind w:left="260" w:right="120" w:hanging="253"/>
        <w:spacing w:after="0" w:line="243" w:lineRule="auto"/>
        <w:tabs>
          <w:tab w:leader="none" w:pos="25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the success of the scaling up of our operations in new states in connection with request for proposal wins, and the satisfaction of all readiness review requirements under the new Medicaid contracts;</w:t>
      </w:r>
    </w:p>
    <w:p>
      <w:pPr>
        <w:ind w:left="260" w:hanging="253"/>
        <w:spacing w:after="0"/>
        <w:tabs>
          <w:tab w:leader="none" w:pos="26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our ability to integrate our acquisitions and realize benefits as projected;</w:t>
      </w:r>
    </w:p>
    <w:p>
      <w:pPr>
        <w:spacing w:after="0" w:line="2" w:lineRule="exact"/>
        <w:rPr>
          <w:rFonts w:ascii="Arial" w:cs="Arial" w:eastAsia="Arial" w:hAnsi="Arial"/>
          <w:sz w:val="15"/>
          <w:szCs w:val="15"/>
          <w:i w:val="1"/>
          <w:iCs w:val="1"/>
          <w:color w:val="auto"/>
        </w:rPr>
      </w:pPr>
    </w:p>
    <w:p>
      <w:pPr>
        <w:ind w:left="260" w:right="340" w:hanging="253"/>
        <w:spacing w:after="0" w:line="243" w:lineRule="auto"/>
        <w:tabs>
          <w:tab w:leader="none" w:pos="25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260" w:hanging="253"/>
        <w:spacing w:after="0"/>
        <w:tabs>
          <w:tab w:leader="none" w:pos="26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effective management of our medical costs;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our ability to predict with a reasonable degree of accuracy utilization rates;</w:t>
      </w:r>
    </w:p>
    <w:p>
      <w:pPr>
        <w:spacing w:after="0" w:line="2" w:lineRule="exact"/>
        <w:rPr>
          <w:rFonts w:ascii="Arial" w:cs="Arial" w:eastAsia="Arial" w:hAnsi="Arial"/>
          <w:sz w:val="15"/>
          <w:szCs w:val="15"/>
          <w:color w:val="auto"/>
        </w:rPr>
      </w:pPr>
    </w:p>
    <w:p>
      <w:pPr>
        <w:ind w:left="260" w:right="820" w:hanging="253"/>
        <w:spacing w:after="0" w:line="243" w:lineRule="auto"/>
        <w:tabs>
          <w:tab w:leader="none" w:pos="25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cyber-attacks, ransomware attacks, or other privacy or data security incidents involving either ourselves or our contracted vendors, that result in an inadvertent unauthorized disclosure of protected information or operational delays;</w:t>
      </w:r>
    </w:p>
    <w:p>
      <w:pPr>
        <w:ind w:left="260" w:right="180" w:hanging="253"/>
        <w:spacing w:after="0" w:line="243" w:lineRule="auto"/>
        <w:tabs>
          <w:tab w:leader="none" w:pos="256"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260" w:right="540" w:hanging="253"/>
        <w:spacing w:after="0" w:line="243" w:lineRule="auto"/>
        <w:tabs>
          <w:tab w:leader="none" w:pos="256"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260" w:hanging="253"/>
        <w:spacing w:after="0"/>
        <w:tabs>
          <w:tab w:leader="none" w:pos="26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the impact of our working in a remote work environment;</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left="260" w:right="180" w:hanging="253"/>
        <w:spacing w:after="0" w:line="251" w:lineRule="auto"/>
        <w:tabs>
          <w:tab w:leader="none" w:pos="256"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1" w:lineRule="exact"/>
        <w:rPr>
          <w:rFonts w:ascii="Arial" w:cs="Arial" w:eastAsia="Arial" w:hAnsi="Arial"/>
          <w:sz w:val="15"/>
          <w:szCs w:val="15"/>
          <w:color w:val="auto"/>
        </w:rPr>
      </w:pPr>
    </w:p>
    <w:p>
      <w:pPr>
        <w:ind w:left="260" w:right="320" w:hanging="253"/>
        <w:spacing w:after="0" w:line="243" w:lineRule="auto"/>
        <w:tabs>
          <w:tab w:leader="none" w:pos="256"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interpretation, implementation, and estimates of amounts owed for federal or state medical cost expenditure floors, administrative cost and profit ceilings, premium stabilization programs, profit-sharing arrangements, and risk adjustment provisions and requirements;</w:t>
      </w:r>
    </w:p>
    <w:p>
      <w:pPr>
        <w:ind w:left="260" w:right="220" w:hanging="253"/>
        <w:spacing w:after="0" w:line="243" w:lineRule="auto"/>
        <w:tabs>
          <w:tab w:leader="none" w:pos="256"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260" w:right="360" w:hanging="253"/>
        <w:spacing w:after="0" w:line="243" w:lineRule="auto"/>
        <w:tabs>
          <w:tab w:leader="none" w:pos="256"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the Centers for Medicare and Medicaid Services (“CMS”) into state-administered Medicaid programs;</w:t>
      </w:r>
    </w:p>
    <w:p>
      <w:pPr>
        <w:ind w:left="260" w:hanging="253"/>
        <w:spacing w:after="0"/>
        <w:tabs>
          <w:tab w:leader="none" w:pos="26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the accurate estimation of incurred but not reported or paid medical costs across our health plans;</w:t>
      </w:r>
    </w:p>
    <w:p>
      <w:pPr>
        <w:spacing w:after="0" w:line="2" w:lineRule="exact"/>
        <w:rPr>
          <w:rFonts w:ascii="Arial" w:cs="Arial" w:eastAsia="Arial" w:hAnsi="Arial"/>
          <w:sz w:val="15"/>
          <w:szCs w:val="15"/>
          <w:i w:val="1"/>
          <w:iCs w:val="1"/>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changes in our annual effective tax rate due to federal and/or state legislation, or changes in our mix of earnings and other factors;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efficient and effective operations of the vendors on whom our business relies;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complications, member confusion, or enrollment backlogs related to the renewal of Medicaid coverage;</w:t>
      </w:r>
    </w:p>
    <w:p>
      <w:pPr>
        <w:spacing w:after="0" w:line="2" w:lineRule="exact"/>
        <w:rPr>
          <w:rFonts w:ascii="Arial" w:cs="Arial" w:eastAsia="Arial" w:hAnsi="Arial"/>
          <w:sz w:val="15"/>
          <w:szCs w:val="15"/>
          <w:color w:val="auto"/>
        </w:rPr>
      </w:pPr>
    </w:p>
    <w:p>
      <w:pPr>
        <w:ind w:left="260" w:right="240" w:hanging="253"/>
        <w:spacing w:after="0" w:line="243" w:lineRule="auto"/>
        <w:tabs>
          <w:tab w:leader="none" w:pos="256"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260" w:right="500" w:hanging="253"/>
        <w:spacing w:after="0" w:line="243" w:lineRule="auto"/>
        <w:tabs>
          <w:tab w:leader="none" w:pos="256"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success of our providers, including delegated providers, the adequacy of our provider networks, the successful maintenance of relations with our providers, and potential medical or pharmaceutical supply shortfalls suffered by our providers incidental to the implementation of tariffs;</w:t>
      </w: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approval by state regulators of dividends and distributions by our health plan subsidiaries;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high dollar claims related to catastrophic illness;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favorable resolution of litigation, arbitration, or administrative proceedings;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greater scale and revenues of our health plans in California, New York, Texas, and Washington, and risks related to the concentration of our business in those states;</w:t>
      </w:r>
    </w:p>
    <w:p>
      <w:pPr>
        <w:spacing w:after="0" w:line="13" w:lineRule="exact"/>
        <w:rPr>
          <w:rFonts w:ascii="Arial" w:cs="Arial" w:eastAsia="Arial" w:hAnsi="Arial"/>
          <w:sz w:val="14"/>
          <w:szCs w:val="14"/>
          <w:color w:val="auto"/>
        </w:rPr>
      </w:pPr>
    </w:p>
    <w:p>
      <w:pPr>
        <w:ind w:left="260" w:hanging="253"/>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failure to comply with the financial or other covenants in the Amended Credit Agreement (as defined below) or the indentures governing our outstanding senior notes;</w:t>
      </w:r>
    </w:p>
    <w:p>
      <w:pPr>
        <w:spacing w:after="0" w:line="13" w:lineRule="exact"/>
        <w:rPr>
          <w:rFonts w:ascii="Arial" w:cs="Arial" w:eastAsia="Arial" w:hAnsi="Arial"/>
          <w:sz w:val="14"/>
          <w:szCs w:val="14"/>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availability of adequate financing on acceptable terms to fund and capitalize our expansion and growth, and meet our general liquidity needs;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failure of a state in which we operate to renew its federal Medicaid waiver;</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risks associated with vaccine hesitancy and the potential for a new epidemic or pandemic, including risks presented by the H5N1 bird flu or the measles;</w:t>
      </w:r>
    </w:p>
    <w:p>
      <w:pPr>
        <w:spacing w:after="0" w:line="2" w:lineRule="exact"/>
        <w:rPr>
          <w:rFonts w:ascii="Arial" w:cs="Arial" w:eastAsia="Arial" w:hAnsi="Arial"/>
          <w:sz w:val="15"/>
          <w:szCs w:val="15"/>
          <w:i w:val="1"/>
          <w:iCs w:val="1"/>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changes generally affecting the managed care industry, including any new federal or state legislation that impacts the business space in which we operate;</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increases in government surcharges, taxes, and assessments;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impact of inflation on our medical costs and the cost of refinancing our outstanding indebtedness;</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the unexpected loss of the leadership of one or more of our senior executives; and</w:t>
      </w:r>
    </w:p>
    <w:p>
      <w:pPr>
        <w:spacing w:after="0" w:line="2" w:lineRule="exact"/>
        <w:rPr>
          <w:rFonts w:ascii="Arial" w:cs="Arial" w:eastAsia="Arial" w:hAnsi="Arial"/>
          <w:sz w:val="15"/>
          <w:szCs w:val="15"/>
          <w:color w:val="auto"/>
        </w:rPr>
      </w:pPr>
    </w:p>
    <w:p>
      <w:pPr>
        <w:ind w:left="260" w:hanging="253"/>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increasing competition and consolidation in the Medicaid or general healthcare sector.</w:t>
      </w:r>
    </w:p>
    <w:p>
      <w:pPr>
        <w:spacing w:after="0" w:line="76"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2024 Annual Report on Form 10-K.</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97"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Molina Healthcare, Inc., a FORTUNE 500 company, provides managed healthcare services under the Medicaid and Medicare programs, and through the state insurance marketplaces (the “Marketplace”). We served approximately 5.8 million members as of March 31, 2025, located across 22 states.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FIRST QUARTER 2025 HIGHLIGHTS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reported net income of $298 million, or $5.45 per diluted share, for the first quarter of 2025, which reflected the following:</w:t>
      </w:r>
    </w:p>
    <w:p>
      <w:pPr>
        <w:spacing w:after="0" w:line="90" w:lineRule="exact"/>
        <w:rPr>
          <w:sz w:val="20"/>
          <w:szCs w:val="20"/>
          <w:color w:val="auto"/>
        </w:rPr>
      </w:pPr>
    </w:p>
    <w:p>
      <w:pPr>
        <w:ind w:left="540" w:right="380" w:hanging="270"/>
        <w:spacing w:after="0" w:line="253"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Membership of 5.8 million at March 31, 2025 increased 25,000, or 0.4%, compared with March 31, 2024, primarily due to the growth in the Marketplace segment, including as a result of the ConnectiCare acquisition, partially offset by the impact of Medicaid redeterminations;</w:t>
      </w:r>
    </w:p>
    <w:p>
      <w:pPr>
        <w:ind w:left="540" w:right="720" w:hanging="270"/>
        <w:spacing w:after="0" w:line="243"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Premium revenue of $10.6 billion, which increased 12% compared with the first quarter of 2024 due to the premium growth in the Medicaid and Marketplace segments;</w:t>
      </w:r>
    </w:p>
    <w:p>
      <w:pPr>
        <w:ind w:left="540" w:right="220" w:hanging="270"/>
        <w:spacing w:after="0" w:line="243"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Consolidated medical care ratio (“MCR”) of 89.2% compared with 88.5% for the first quarter of 2024, mainly reflecting expected higher medical benefits utilization in our Medicaid segment and a higher than expected MCR in our Marketplace segment, due to certain prior period items, and a higher initial MCR related to the ConnectiCare acquisition;</w:t>
      </w:r>
    </w:p>
    <w:p>
      <w:pPr>
        <w:ind w:left="540" w:right="60" w:hanging="270"/>
        <w:spacing w:after="0" w:line="243" w:lineRule="auto"/>
        <w:tabs>
          <w:tab w:leader="none" w:pos="536" w:val="left"/>
        </w:tabs>
        <w:numPr>
          <w:ilvl w:val="0"/>
          <w:numId w:val="11"/>
        </w:numPr>
        <w:rPr>
          <w:rFonts w:ascii="Arial" w:cs="Arial" w:eastAsia="Arial" w:hAnsi="Arial"/>
          <w:sz w:val="15"/>
          <w:szCs w:val="15"/>
          <w:color w:val="auto"/>
        </w:rPr>
      </w:pPr>
      <w:r>
        <w:rPr>
          <w:rFonts w:ascii="Arial" w:cs="Arial" w:eastAsia="Arial" w:hAnsi="Arial"/>
          <w:sz w:val="15"/>
          <w:szCs w:val="15"/>
          <w:color w:val="auto"/>
        </w:rPr>
        <w:t>General and administrative expense (“G&amp;A”) ratio of 6.9%, compared with 7.2% for the first quarter of 2024, reflecting operating discipline and the continued benefit of fixed cost leverage as we grow our business; and</w:t>
      </w:r>
    </w:p>
    <w:p>
      <w:pPr>
        <w:ind w:left="520" w:hanging="250"/>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After-tax margin of 2.7%, which was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FINANCIAL SUMMARY</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consolidated results of operations and other financial information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94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r>
      <w:tr>
        <w:trPr>
          <w:trHeight w:val="155"/>
        </w:trPr>
        <w:tc>
          <w:tcPr>
            <w:tcW w:w="794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r>
      <w:tr>
        <w:trPr>
          <w:trHeight w:val="199"/>
        </w:trPr>
        <w:tc>
          <w:tcPr>
            <w:tcW w:w="7940" w:type="dxa"/>
            <w:vAlign w:val="bottom"/>
          </w:tcPr>
          <w:p>
            <w:pPr>
              <w:spacing w:after="0"/>
              <w:rPr>
                <w:sz w:val="17"/>
                <w:szCs w:val="17"/>
                <w:color w:val="auto"/>
              </w:rPr>
            </w:pPr>
          </w:p>
        </w:tc>
        <w:tc>
          <w:tcPr>
            <w:tcW w:w="2800" w:type="dxa"/>
            <w:vAlign w:val="bottom"/>
            <w:gridSpan w:val="4"/>
          </w:tcPr>
          <w:p>
            <w:pPr>
              <w:jc w:val="right"/>
              <w:spacing w:after="0"/>
              <w:rPr>
                <w:sz w:val="20"/>
                <w:szCs w:val="20"/>
                <w:color w:val="auto"/>
              </w:rPr>
            </w:pPr>
            <w:r>
              <w:rPr>
                <w:rFonts w:ascii="Arial" w:cs="Arial" w:eastAsia="Arial" w:hAnsi="Arial"/>
                <w:sz w:val="12"/>
                <w:szCs w:val="12"/>
                <w:b w:val="1"/>
                <w:bCs w:val="1"/>
                <w:color w:val="auto"/>
              </w:rPr>
              <w:t>(In millions, except per-share amounts)</w:t>
            </w:r>
          </w:p>
        </w:tc>
        <w:tc>
          <w:tcPr>
            <w:tcW w:w="540" w:type="dxa"/>
            <w:vAlign w:val="bottom"/>
          </w:tcPr>
          <w:p>
            <w:pPr>
              <w:spacing w:after="0"/>
              <w:rPr>
                <w:sz w:val="17"/>
                <w:szCs w:val="17"/>
                <w:color w:val="auto"/>
              </w:rPr>
            </w:pPr>
          </w:p>
        </w:tc>
      </w:tr>
      <w:tr>
        <w:trPr>
          <w:trHeight w:val="176"/>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revenue</w:t>
            </w: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10,628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9,504</w:t>
            </w:r>
          </w:p>
        </w:tc>
      </w:tr>
      <w:tr>
        <w:trPr>
          <w:trHeight w:val="174"/>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medical care costs</w:t>
            </w: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9,479</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8,414</w:t>
            </w:r>
          </w:p>
        </w:tc>
      </w:tr>
      <w:tr>
        <w:trPr>
          <w:trHeight w:val="167"/>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margin</w:t>
            </w: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1,149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1,090</w:t>
            </w:r>
          </w:p>
        </w:tc>
      </w:tr>
      <w:tr>
        <w:trPr>
          <w:trHeight w:val="175"/>
        </w:trPr>
        <w:tc>
          <w:tcPr>
            <w:tcW w:w="7940" w:type="dxa"/>
            <w:vAlign w:val="bottom"/>
          </w:tcPr>
          <w:p>
            <w:pPr>
              <w:ind w:left="100"/>
              <w:spacing w:after="0" w:line="175" w:lineRule="exact"/>
              <w:rPr>
                <w:sz w:val="20"/>
                <w:szCs w:val="20"/>
                <w:color w:val="auto"/>
              </w:rPr>
            </w:pPr>
            <w:r>
              <w:rPr>
                <w:rFonts w:ascii="Arial" w:cs="Arial" w:eastAsia="Arial" w:hAnsi="Arial"/>
                <w:sz w:val="13"/>
                <w:szCs w:val="13"/>
                <w:i w:val="1"/>
                <w:iCs w:val="1"/>
                <w:color w:val="auto"/>
              </w:rPr>
              <w:t xml:space="preserve">MCR </w:t>
            </w:r>
            <w:r>
              <w:rPr>
                <w:rFonts w:ascii="Arial" w:cs="Arial" w:eastAsia="Arial" w:hAnsi="Arial"/>
                <w:sz w:val="17"/>
                <w:szCs w:val="17"/>
                <w:i w:val="1"/>
                <w:iCs w:val="1"/>
                <w:color w:val="auto"/>
                <w:vertAlign w:val="superscript"/>
              </w:rPr>
              <w:t>(1)</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i w:val="1"/>
                <w:iCs w:val="1"/>
                <w:color w:val="auto"/>
              </w:rPr>
              <w:t>89.2 %</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i w:val="1"/>
                <w:iCs w:val="1"/>
                <w:color w:val="auto"/>
              </w:rPr>
              <w:t>88.5 %</w:t>
            </w:r>
          </w:p>
        </w:tc>
      </w:tr>
      <w:tr>
        <w:trPr>
          <w:trHeight w:val="208"/>
        </w:trPr>
        <w:tc>
          <w:tcPr>
            <w:tcW w:w="7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74"/>
        </w:trPr>
        <w:tc>
          <w:tcPr>
            <w:tcW w:w="7940" w:type="dxa"/>
            <w:vAlign w:val="bottom"/>
          </w:tcPr>
          <w:p>
            <w:pPr>
              <w:ind w:left="20"/>
              <w:spacing w:after="0"/>
              <w:rPr>
                <w:sz w:val="20"/>
                <w:szCs w:val="20"/>
                <w:color w:val="auto"/>
              </w:rPr>
            </w:pPr>
            <w:r>
              <w:rPr>
                <w:rFonts w:ascii="Arial" w:cs="Arial" w:eastAsia="Arial" w:hAnsi="Arial"/>
                <w:sz w:val="13"/>
                <w:szCs w:val="13"/>
                <w:color w:val="auto"/>
              </w:rPr>
              <w:t>Other revenues:</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tax revenue</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297</w:t>
            </w:r>
          </w:p>
        </w:tc>
      </w:tr>
      <w:tr>
        <w:trPr>
          <w:trHeight w:val="174"/>
        </w:trPr>
        <w:tc>
          <w:tcPr>
            <w:tcW w:w="794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100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108</w:t>
            </w:r>
          </w:p>
        </w:tc>
      </w:tr>
      <w:tr>
        <w:trPr>
          <w:trHeight w:val="176"/>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22</w:t>
            </w:r>
          </w:p>
        </w:tc>
      </w:tr>
      <w:tr>
        <w:trPr>
          <w:trHeight w:val="208"/>
        </w:trPr>
        <w:tc>
          <w:tcPr>
            <w:tcW w:w="7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75"/>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711</w:t>
            </w:r>
          </w:p>
        </w:tc>
      </w:tr>
      <w:tr>
        <w:trPr>
          <w:trHeight w:val="175"/>
        </w:trPr>
        <w:tc>
          <w:tcPr>
            <w:tcW w:w="7940" w:type="dxa"/>
            <w:vAlign w:val="bottom"/>
          </w:tcPr>
          <w:p>
            <w:pPr>
              <w:ind w:left="100"/>
              <w:spacing w:after="0" w:line="175" w:lineRule="exact"/>
              <w:rPr>
                <w:sz w:val="20"/>
                <w:szCs w:val="20"/>
                <w:color w:val="auto"/>
              </w:rPr>
            </w:pPr>
            <w:r>
              <w:rPr>
                <w:rFonts w:ascii="Arial" w:cs="Arial" w:eastAsia="Arial" w:hAnsi="Arial"/>
                <w:sz w:val="13"/>
                <w:szCs w:val="13"/>
                <w:i w:val="1"/>
                <w:iCs w:val="1"/>
                <w:color w:val="auto"/>
              </w:rPr>
              <w:t xml:space="preserve">G&amp;A ratio </w:t>
            </w:r>
            <w:r>
              <w:rPr>
                <w:rFonts w:ascii="Arial" w:cs="Arial" w:eastAsia="Arial" w:hAnsi="Arial"/>
                <w:sz w:val="17"/>
                <w:szCs w:val="17"/>
                <w:i w:val="1"/>
                <w:iCs w:val="1"/>
                <w:color w:val="auto"/>
                <w:vertAlign w:val="superscript"/>
              </w:rPr>
              <w:t>(2)</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i w:val="1"/>
                <w:iCs w:val="1"/>
                <w:color w:val="auto"/>
              </w:rPr>
              <w:t>6.9 %</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i w:val="1"/>
                <w:iCs w:val="1"/>
                <w:color w:val="auto"/>
              </w:rPr>
              <w:t>7.2 %</w:t>
            </w:r>
          </w:p>
        </w:tc>
      </w:tr>
      <w:tr>
        <w:trPr>
          <w:trHeight w:val="208"/>
        </w:trPr>
        <w:tc>
          <w:tcPr>
            <w:tcW w:w="7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74"/>
        </w:trPr>
        <w:tc>
          <w:tcPr>
            <w:tcW w:w="7940" w:type="dxa"/>
            <w:vAlign w:val="bottom"/>
          </w:tcPr>
          <w:p>
            <w:pPr>
              <w:ind w:left="20"/>
              <w:spacing w:after="0"/>
              <w:rPr>
                <w:sz w:val="20"/>
                <w:szCs w:val="20"/>
                <w:color w:val="auto"/>
              </w:rPr>
            </w:pPr>
            <w:r>
              <w:rPr>
                <w:rFonts w:ascii="Arial" w:cs="Arial" w:eastAsia="Arial" w:hAnsi="Arial"/>
                <w:sz w:val="13"/>
                <w:szCs w:val="13"/>
                <w:color w:val="auto"/>
              </w:rPr>
              <w:t>Premium tax expenses</w:t>
            </w:r>
          </w:p>
        </w:tc>
        <w:tc>
          <w:tcPr>
            <w:tcW w:w="100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297</w:t>
            </w:r>
          </w:p>
        </w:tc>
      </w:tr>
      <w:tr>
        <w:trPr>
          <w:trHeight w:val="176"/>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45</w:t>
            </w:r>
          </w:p>
        </w:tc>
      </w:tr>
      <w:tr>
        <w:trPr>
          <w:trHeight w:val="174"/>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38</w:t>
            </w:r>
          </w:p>
        </w:tc>
      </w:tr>
      <w:tr>
        <w:trPr>
          <w:trHeight w:val="167"/>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426</w:t>
            </w:r>
          </w:p>
        </w:tc>
      </w:tr>
      <w:tr>
        <w:trPr>
          <w:trHeight w:val="16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27</w:t>
            </w:r>
          </w:p>
        </w:tc>
      </w:tr>
      <w:tr>
        <w:trPr>
          <w:trHeight w:val="167"/>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399</w:t>
            </w:r>
          </w:p>
        </w:tc>
      </w:tr>
      <w:tr>
        <w:trPr>
          <w:trHeight w:val="174"/>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92</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98</w:t>
            </w:r>
          </w:p>
        </w:tc>
      </w:tr>
      <w:tr>
        <w:trPr>
          <w:trHeight w:val="19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298</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301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per share – Diluted</w:t>
            </w:r>
          </w:p>
        </w:tc>
        <w:tc>
          <w:tcPr>
            <w:tcW w:w="100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5.45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5.17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weighted average shares outstanding</w:t>
            </w: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54.8</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58.3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5"/>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Key Statistics</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74"/>
        </w:trPr>
        <w:tc>
          <w:tcPr>
            <w:tcW w:w="7940" w:type="dxa"/>
            <w:vAlign w:val="bottom"/>
          </w:tcPr>
          <w:p>
            <w:pPr>
              <w:ind w:left="20"/>
              <w:spacing w:after="0"/>
              <w:rPr>
                <w:sz w:val="20"/>
                <w:szCs w:val="20"/>
                <w:color w:val="auto"/>
              </w:rPr>
            </w:pPr>
            <w:r>
              <w:rPr>
                <w:rFonts w:ascii="Arial" w:cs="Arial" w:eastAsia="Arial" w:hAnsi="Arial"/>
                <w:sz w:val="13"/>
                <w:szCs w:val="13"/>
                <w:color w:val="auto"/>
              </w:rPr>
              <w:t>Ending Membership</w:t>
            </w:r>
          </w:p>
        </w:tc>
        <w:tc>
          <w:tcPr>
            <w:tcW w:w="100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5.7</w:t>
            </w:r>
          </w:p>
        </w:tc>
      </w:tr>
      <w:tr>
        <w:trPr>
          <w:trHeight w:val="176"/>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24.5 %</w:t>
            </w:r>
          </w:p>
        </w:tc>
      </w:tr>
      <w:tr>
        <w:trPr>
          <w:trHeight w:val="229"/>
        </w:trPr>
        <w:tc>
          <w:tcPr>
            <w:tcW w:w="7940" w:type="dxa"/>
            <w:vAlign w:val="bottom"/>
          </w:tcPr>
          <w:p>
            <w:pPr>
              <w:ind w:left="20"/>
              <w:spacing w:after="0"/>
              <w:rPr>
                <w:sz w:val="20"/>
                <w:szCs w:val="20"/>
                <w:color w:val="auto"/>
              </w:rPr>
            </w:pPr>
            <w:r>
              <w:rPr>
                <w:rFonts w:ascii="Arial" w:cs="Arial" w:eastAsia="Arial" w:hAnsi="Arial"/>
                <w:sz w:val="13"/>
                <w:szCs w:val="13"/>
                <w:color w:val="auto"/>
              </w:rPr>
              <w:t xml:space="preserve">After-tax margin </w:t>
            </w:r>
            <w:r>
              <w:rPr>
                <w:rFonts w:ascii="Arial" w:cs="Arial" w:eastAsia="Arial" w:hAnsi="Arial"/>
                <w:sz w:val="17"/>
                <w:szCs w:val="17"/>
                <w:color w:val="auto"/>
                <w:vertAlign w:val="superscript"/>
              </w:rPr>
              <w:t>(3)</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3.0 %</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w:t>
      </w:r>
    </w:p>
    <w:p>
      <w:pPr>
        <w:spacing w:after="0" w:line="50"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MCR represents medical care costs as a percentage of premium revenue.</w:t>
      </w:r>
    </w:p>
    <w:p>
      <w:pPr>
        <w:spacing w:after="0" w:line="15" w:lineRule="exact"/>
        <w:rPr>
          <w:rFonts w:ascii="Arial" w:cs="Arial" w:eastAsia="Arial" w:hAnsi="Arial"/>
          <w:sz w:val="13"/>
          <w:szCs w:val="13"/>
          <w:color w:val="auto"/>
        </w:rPr>
      </w:pPr>
    </w:p>
    <w:p>
      <w:pPr>
        <w:ind w:left="320" w:hanging="313"/>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G&amp;A ratio represents general and administrative expenses as a percentage of total revenue.</w:t>
      </w:r>
    </w:p>
    <w:p>
      <w:pPr>
        <w:spacing w:after="0" w:line="11" w:lineRule="exact"/>
        <w:rPr>
          <w:rFonts w:ascii="Arial" w:cs="Arial" w:eastAsia="Arial" w:hAnsi="Arial"/>
          <w:sz w:val="13"/>
          <w:szCs w:val="13"/>
          <w:color w:val="auto"/>
        </w:rPr>
      </w:pPr>
    </w:p>
    <w:p>
      <w:pPr>
        <w:ind w:left="300" w:hanging="293"/>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After-tax margin represents net income as a percentage of total revenue.</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RESULTS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NET INCOME AND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Net income in the first quarter of 2025 amounted to $298 million, or $5.45 per diluted share, compared with $301 million, or $5.17 per diluted share, in the first quarter of 2024.</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Operating income increased to $433 million in the first quarter of 2025, compared with $426 million in the first quarter of 2024.</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The change in operating income was mainly due to the impact of higher MCRs in our Medicaid and Marketplace, including the expected higher initial MCR related to new contracts, recent acquisitions and organic growth, partially offset by the impact of increased premium revenue.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PREMIUM REVENUE</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Premium revenue increased $1,124 million, or 12%, in the first quarter of 2025, when compared with the first quarter of 2024. The higher premium revenue is due to premium growth in the Medicaid and Marketplace segments, reflecting the impact of a balanced combination of the new Medicaid contract wins, rate increases, organic growth, and the ConnectiCare acquisition, partially offset by the impact of Medicaid redeterminations. See further discussion in “Reportable Segments—Segment Financial Performance,” below.</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MEDICAL CARE RATIO</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consolidated MCR was 89.2% in the first quarter of 2025, and 88.5% in the first quarter of 2024. The results mainly reflect expected higher medical benefit utilization in our Medicaid segment, partially offset by rate increases, and a higher than expected MCR in our Marketplace segment, due to certain prior period items, and a higher initial MCR related to the ConnectiCare acquisition. These increases were partially offset by continued strong medical cost management. See further discussion in “Reportable Segments —Segment Financial Performance,” below.</w:t>
      </w:r>
    </w:p>
    <w:p>
      <w:pPr>
        <w:spacing w:after="0" w:line="63"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The impact of prior year reserve development in the first quarter of 2025 was not significant, and its impact on earnings was mostly absorbed by minimum MLRs and medical cost corridors.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PREMIUM TAX REVENUE AND EXPENSES</w:t>
      </w:r>
    </w:p>
    <w:p>
      <w:pPr>
        <w:spacing w:after="0" w:line="90"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The premium tax ratio (premium tax expense as a percentage of premium revenue plus premium tax revenue) was 3.5% and 3.0% for the first quarter of 2025 and 2024, respectively. The current year ratio increase was mainly due to changes in business mix.</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INVESTMENT INCOME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was $108 million in the first quarter of 2025, which was consistent with the first quarter of 2024.</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OTHER REVENUE</w:t>
      </w:r>
    </w:p>
    <w:p>
      <w:pPr>
        <w:spacing w:after="0" w:line="90"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Other revenue amounted to $23 million in the first quarter of 2025, compared with $22 million in the first quarter of 2024. Other revenue mainly includes service revenue associated with long-term services and supports consultative services we provide in Wisconsin.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G&amp;A EXPENSES</w:t>
      </w:r>
    </w:p>
    <w:p>
      <w:pPr>
        <w:spacing w:after="0" w:line="90" w:lineRule="exact"/>
        <w:rPr>
          <w:sz w:val="20"/>
          <w:szCs w:val="20"/>
          <w:color w:val="auto"/>
        </w:rPr>
      </w:pPr>
    </w:p>
    <w:p>
      <w:pPr>
        <w:ind w:right="560"/>
        <w:spacing w:after="0" w:line="270" w:lineRule="auto"/>
        <w:rPr>
          <w:sz w:val="20"/>
          <w:szCs w:val="20"/>
          <w:color w:val="auto"/>
        </w:rPr>
      </w:pPr>
      <w:r>
        <w:rPr>
          <w:rFonts w:ascii="Arial" w:cs="Arial" w:eastAsia="Arial" w:hAnsi="Arial"/>
          <w:sz w:val="15"/>
          <w:szCs w:val="15"/>
          <w:color w:val="auto"/>
        </w:rPr>
        <w:t>The G&amp;A expense ratio was 6.9% in the first quarter of 2025, compared with 7.2% in the first quarter of 2024. The G&amp;A ratio reflects the continued benefit of fixed cost leverage as we grow our business, and operating discipline, partially offset by new business implementation costs associated with the start of new contracts.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DEPRECIATION AND AMORTIZATION</w:t>
      </w:r>
    </w:p>
    <w:p>
      <w:pPr>
        <w:spacing w:after="0" w:line="90" w:lineRule="exact"/>
        <w:rPr>
          <w:sz w:val="20"/>
          <w:szCs w:val="20"/>
          <w:color w:val="auto"/>
        </w:rPr>
      </w:pPr>
    </w:p>
    <w:p>
      <w:pPr>
        <w:ind w:right="500"/>
        <w:spacing w:after="0" w:line="270" w:lineRule="auto"/>
        <w:rPr>
          <w:sz w:val="20"/>
          <w:szCs w:val="20"/>
          <w:color w:val="auto"/>
        </w:rPr>
      </w:pPr>
      <w:r>
        <w:rPr>
          <w:rFonts w:ascii="Arial" w:cs="Arial" w:eastAsia="Arial" w:hAnsi="Arial"/>
          <w:sz w:val="15"/>
          <w:szCs w:val="15"/>
          <w:color w:val="auto"/>
        </w:rPr>
        <w:t>Depreciation and amortization was $48 million in the first quarter of 2025, compared with $45 million in the first quarter of 2024. The increase is due to impacts from the ConnectiCare acquisition.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OTHER OPERATING EXPENSES</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auto"/>
        </w:rPr>
        <w:t>Other operating expenses totaled $25 million in the first quarter of 2025 compared to $38 million in the first quarter of 2024, and the decrease compared with the first quarter of 2024 reflects certain non-recurring costs associated with acquisitions, and costs for litigation incurred in 2024. Other operating expenses also include service costs associated with long-term services and supports consultative services we provide in Wisconsin, as noted above.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INTEREST EXPENSE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Interest expense totaled $43 million in the first quarter of 2025 and was $27 million in the first quarter of 2024. The increase is due to borrowings under the Credit Facility (as defined below), the $500 million Term Loan issuance occurring in the first quarter of 2025 (as defined below), and the $750 million 6.250% Notes due 2033 that were issued in November 2024.</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INCOME TAXES</w:t>
      </w:r>
    </w:p>
    <w:p>
      <w:pPr>
        <w:spacing w:after="0" w:line="90"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Income tax expense amounted to $92 million in the first quarter of 2025, or 23.7% of pretax income, compared with income tax expense of $98 million, or 24.5% of pretax income in the first quarter of 2024. The difference in the</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effective tax rate is due to an increase in tax benefits related to transferable federal tax credits, a decrease in state and local income taxes, and differences in discrete tax benefits recognized in the respective periods.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TRENDS AND UNCERTAINTIES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OTHER RECENT DEVELOPMENTS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RFPs and Acquisitions</w:t>
      </w:r>
    </w:p>
    <w:p>
      <w:pPr>
        <w:spacing w:after="0" w:line="88"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i w:val="1"/>
          <w:iCs w:val="1"/>
          <w:color w:val="auto"/>
        </w:rPr>
        <w:t xml:space="preserve">Virginia Procurement—Medicaid. </w:t>
      </w:r>
      <w:r>
        <w:rPr>
          <w:rFonts w:ascii="Arial" w:cs="Arial" w:eastAsia="Arial" w:hAnsi="Arial"/>
          <w:sz w:val="15"/>
          <w:szCs w:val="15"/>
          <w:color w:val="auto"/>
        </w:rPr>
        <w:t>In April 2024, the Virginia Department of Medical Assistance Services (“DMAS”) issued a notice of intent to award which did not include our</w:t>
      </w:r>
      <w:r>
        <w:rPr>
          <w:rFonts w:ascii="Arial" w:cs="Arial" w:eastAsia="Arial" w:hAnsi="Arial"/>
          <w:sz w:val="15"/>
          <w:szCs w:val="15"/>
          <w:i w:val="1"/>
          <w:iCs w:val="1"/>
          <w:color w:val="auto"/>
        </w:rPr>
        <w:t xml:space="preserve"> </w:t>
      </w:r>
      <w:r>
        <w:rPr>
          <w:rFonts w:ascii="Arial" w:cs="Arial" w:eastAsia="Arial" w:hAnsi="Arial"/>
          <w:sz w:val="15"/>
          <w:szCs w:val="15"/>
          <w:color w:val="auto"/>
        </w:rPr>
        <w:t>Virginia health plan as an awardee for its Cardinal Care Managed Care (“CCMC”) 2.0 procurement. We exercised our right to protest that decision. On April 19, 2024, DMAS upheld its notice of intent to award in response to our protest. On April 26, 2024, Molina filed a legal action in Virginia Circuit Court over DMAS’s decision not to award Molina a CCMC 2.0 contract. The state court action continues, with trial set for September 2-8, 2025. In addition, on April 1, 2025, DMAS notified us that, effective June 30, 2025, it was exercising its right to terminate Molina’s present CCMC contract and Molina’s associated Dual Eligible Special Needs contract, and that DMAS would transition Molina’s members to new plans effective July 1, 2025.</w:t>
      </w:r>
    </w:p>
    <w:p>
      <w:pPr>
        <w:spacing w:after="0" w:line="68"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i w:val="1"/>
          <w:iCs w:val="1"/>
          <w:color w:val="auto"/>
        </w:rPr>
        <w:t xml:space="preserve">Nevada Procurement—Medicaid. </w:t>
      </w:r>
      <w:r>
        <w:rPr>
          <w:rFonts w:ascii="Arial" w:cs="Arial" w:eastAsia="Arial" w:hAnsi="Arial"/>
          <w:sz w:val="15"/>
          <w:szCs w:val="15"/>
          <w:color w:val="auto"/>
        </w:rPr>
        <w:t>In March 2025, the Nevada Department of Health and Human Services Division of Health Care Policy and Financing (“DHCPF”) released</w:t>
      </w:r>
      <w:r>
        <w:rPr>
          <w:rFonts w:ascii="Arial" w:cs="Arial" w:eastAsia="Arial" w:hAnsi="Arial"/>
          <w:sz w:val="15"/>
          <w:szCs w:val="15"/>
          <w:i w:val="1"/>
          <w:iCs w:val="1"/>
          <w:color w:val="auto"/>
        </w:rPr>
        <w:t xml:space="preserve"> </w:t>
      </w:r>
      <w:r>
        <w:rPr>
          <w:rFonts w:ascii="Arial" w:cs="Arial" w:eastAsia="Arial" w:hAnsi="Arial"/>
          <w:sz w:val="15"/>
          <w:szCs w:val="15"/>
          <w:color w:val="auto"/>
        </w:rPr>
        <w:t>notice of intent to award Medicaid and Children’s Health Insurance Program managed care contracts to our Nevada health plan. The new contract will cover Urban Clark, Urban Washoe, and Rural service areas. The new contract is expected to begin on January 1, 2026, and is expected to run through December 31, 2030, with one two-year extension.</w:t>
      </w:r>
    </w:p>
    <w:p>
      <w:pPr>
        <w:spacing w:after="0" w:line="6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i w:val="1"/>
          <w:iCs w:val="1"/>
          <w:color w:val="auto"/>
        </w:rPr>
        <w:t xml:space="preserve">Illinois Procurement—Medicare. </w:t>
      </w:r>
      <w:r>
        <w:rPr>
          <w:rFonts w:ascii="Arial" w:cs="Arial" w:eastAsia="Arial" w:hAnsi="Arial"/>
          <w:sz w:val="15"/>
          <w:szCs w:val="15"/>
          <w:color w:val="auto"/>
        </w:rPr>
        <w:t>In March 2025, the Illinois Department of Healthcare and Family Services awarded a contract to provide a Fully Integrated Dual Eligible</w:t>
      </w:r>
      <w:r>
        <w:rPr>
          <w:rFonts w:ascii="Arial" w:cs="Arial" w:eastAsia="Arial" w:hAnsi="Arial"/>
          <w:sz w:val="15"/>
          <w:szCs w:val="15"/>
          <w:i w:val="1"/>
          <w:iCs w:val="1"/>
          <w:color w:val="auto"/>
        </w:rPr>
        <w:t xml:space="preserve"> </w:t>
      </w:r>
      <w:r>
        <w:rPr>
          <w:rFonts w:ascii="Arial" w:cs="Arial" w:eastAsia="Arial" w:hAnsi="Arial"/>
          <w:sz w:val="15"/>
          <w:szCs w:val="15"/>
          <w:color w:val="auto"/>
        </w:rPr>
        <w:t>Special Needs Plan (“D-SNP”) to our Illinois health plan. This contract will replace the State’s Medicare -Medicaid Alignment Initiative demonstration program. The go-live date for the new contract is expected to be January 1, 2026. The contract is expected to have an initial term of four years, with the option to extend the contract from the initial term so long as the total contract term does not exceed ten years.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i w:val="1"/>
          <w:iCs w:val="1"/>
          <w:color w:val="auto"/>
        </w:rPr>
        <w:t xml:space="preserve">Connecticut Acquisition—Marketplace and Medicare. </w:t>
      </w:r>
      <w:r>
        <w:rPr>
          <w:rFonts w:ascii="Arial" w:cs="Arial" w:eastAsia="Arial" w:hAnsi="Arial"/>
          <w:sz w:val="15"/>
          <w:szCs w:val="15"/>
          <w:color w:val="auto"/>
        </w:rPr>
        <w:t>Effective February 1, 2025, we closed on our acquisition of ConnectiCare Holding Company, Inc. (“ConnectiCare”), a</w:t>
      </w:r>
      <w:r>
        <w:rPr>
          <w:rFonts w:ascii="Arial" w:cs="Arial" w:eastAsia="Arial" w:hAnsi="Arial"/>
          <w:sz w:val="15"/>
          <w:szCs w:val="15"/>
          <w:i w:val="1"/>
          <w:iCs w:val="1"/>
          <w:color w:val="auto"/>
        </w:rPr>
        <w:t xml:space="preserve"> </w:t>
      </w:r>
      <w:r>
        <w:rPr>
          <w:rFonts w:ascii="Arial" w:cs="Arial" w:eastAsia="Arial" w:hAnsi="Arial"/>
          <w:sz w:val="15"/>
          <w:szCs w:val="15"/>
          <w:color w:val="auto"/>
        </w:rPr>
        <w:t>wholly owned subsidiary of EmblemHealth, Inc. ConnectiCare is a leading health plan in the state of Connecticut serving approximately 140,000 members across Marketplace, Medicare, and certain commercial products. The purchase price for the transaction was $350 million.</w:t>
      </w:r>
    </w:p>
    <w:p>
      <w:pPr>
        <w:spacing w:after="0" w:line="60"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i w:val="1"/>
          <w:iCs w:val="1"/>
          <w:color w:val="auto"/>
        </w:rPr>
        <w:t xml:space="preserve">Florida Procurement—Medicaid. </w:t>
      </w:r>
      <w:r>
        <w:rPr>
          <w:rFonts w:ascii="Arial" w:cs="Arial" w:eastAsia="Arial" w:hAnsi="Arial"/>
          <w:sz w:val="15"/>
          <w:szCs w:val="15"/>
          <w:color w:val="auto"/>
        </w:rPr>
        <w:t>In July 2024, we were notified that the Florida Agency for Healthcare Administration awarded a Medicaid managed care contract to our</w:t>
      </w:r>
      <w:r>
        <w:rPr>
          <w:rFonts w:ascii="Arial" w:cs="Arial" w:eastAsia="Arial" w:hAnsi="Arial"/>
          <w:sz w:val="15"/>
          <w:szCs w:val="15"/>
          <w:i w:val="1"/>
          <w:iCs w:val="1"/>
          <w:color w:val="auto"/>
        </w:rPr>
        <w:t xml:space="preserve"> </w:t>
      </w:r>
      <w:r>
        <w:rPr>
          <w:rFonts w:ascii="Arial" w:cs="Arial" w:eastAsia="Arial" w:hAnsi="Arial"/>
          <w:sz w:val="15"/>
          <w:szCs w:val="15"/>
          <w:color w:val="auto"/>
        </w:rPr>
        <w:t>Florida health plan. The contract commenced on February 1, 2025 and will run through December 31, 2030. We expect to serve approximately 90,000 Medicaid beneficiaries in Miami-Dade County.</w:t>
      </w:r>
    </w:p>
    <w:p>
      <w:pPr>
        <w:spacing w:after="0" w:line="60"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i w:val="1"/>
          <w:iCs w:val="1"/>
          <w:color w:val="auto"/>
        </w:rPr>
        <w:t xml:space="preserve">Wisconsin Procurement—Medicaid. </w:t>
      </w:r>
      <w:r>
        <w:rPr>
          <w:rFonts w:ascii="Arial" w:cs="Arial" w:eastAsia="Arial" w:hAnsi="Arial"/>
          <w:sz w:val="15"/>
          <w:szCs w:val="15"/>
          <w:color w:val="auto"/>
        </w:rPr>
        <w:t>In May 2024, the Wisconsin Department of Health Services awarded a contract to provide services under the Family Care and Family</w:t>
      </w:r>
      <w:r>
        <w:rPr>
          <w:rFonts w:ascii="Arial" w:cs="Arial" w:eastAsia="Arial" w:hAnsi="Arial"/>
          <w:sz w:val="15"/>
          <w:szCs w:val="15"/>
          <w:i w:val="1"/>
          <w:iCs w:val="1"/>
          <w:color w:val="auto"/>
        </w:rPr>
        <w:t xml:space="preserve"> </w:t>
      </w:r>
      <w:r>
        <w:rPr>
          <w:rFonts w:ascii="Arial" w:cs="Arial" w:eastAsia="Arial" w:hAnsi="Arial"/>
          <w:sz w:val="15"/>
          <w:szCs w:val="15"/>
          <w:color w:val="auto"/>
        </w:rPr>
        <w:t>Care Partnership program in its Geographic Service Region 5 to our Wisconsin health plan. The contract commenced on January 1, 2025, and is expected to have a duration of two years, with an option for three two-year extensions. Additionally, we were re-awarded our sole contract position in the self-directed long-term services and supports personal care program.</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REPORTABLE SEGMENTS</w:t>
      </w:r>
    </w:p>
    <w:p>
      <w:pPr>
        <w:spacing w:after="0" w:line="97"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As of March 31, 2025, we served approximately 5.8 million members eligible for Medicaid, Medicare, and other government-sponsored healthcare programs for low-income families and individuals, including Marketplace members, most of whom receive government premium subsidies.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We currently have reportable segments consisting of: 1) Medicaid; 2) Medicare; 3) Marketplace; and 4) Other.</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HOW WE ASSESS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64" w:lineRule="exact"/>
        <w:rPr>
          <w:sz w:val="20"/>
          <w:szCs w:val="20"/>
          <w:color w:val="auto"/>
        </w:rPr>
      </w:pPr>
    </w:p>
    <w:p>
      <w:pPr>
        <w:ind w:right="420"/>
        <w:spacing w:after="0" w:line="270" w:lineRule="auto"/>
        <w:rPr>
          <w:sz w:val="20"/>
          <w:szCs w:val="20"/>
          <w:color w:val="auto"/>
        </w:rPr>
      </w:pPr>
      <w:r>
        <w:rPr>
          <w:rFonts w:ascii="Arial" w:cs="Arial" w:eastAsia="Arial" w:hAnsi="Arial"/>
          <w:sz w:val="15"/>
          <w:szCs w:val="15"/>
          <w:color w:val="auto"/>
        </w:rPr>
        <w:t>Management’s discussion and analysis of the change in medical margin is discussed below under “Segment Financial Performance.” For more information, see Notes to Consolidated Financial Statements, Note 10, “Segments.”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SEGMENT FINANCIAL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membership by segment as of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March 31,</w:t>
            </w:r>
          </w:p>
        </w:tc>
        <w:tc>
          <w:tcPr>
            <w:tcW w:w="1520" w:type="dxa"/>
            <w:vAlign w:val="bottom"/>
            <w:gridSpan w:val="2"/>
          </w:tcPr>
          <w:p>
            <w:pPr>
              <w:ind w:left="340"/>
              <w:spacing w:after="0"/>
              <w:rPr>
                <w:sz w:val="20"/>
                <w:szCs w:val="20"/>
                <w:color w:val="auto"/>
              </w:rPr>
            </w:pPr>
            <w:r>
              <w:rPr>
                <w:rFonts w:ascii="Arial" w:cs="Arial" w:eastAsia="Arial" w:hAnsi="Arial"/>
                <w:sz w:val="12"/>
                <w:szCs w:val="12"/>
                <w:b w:val="1"/>
                <w:bCs w:val="1"/>
                <w:color w:val="auto"/>
              </w:rPr>
              <w:t>December 31,</w:t>
            </w:r>
          </w:p>
        </w:tc>
        <w:tc>
          <w:tcPr>
            <w:tcW w:w="1440" w:type="dxa"/>
            <w:vAlign w:val="bottom"/>
          </w:tcPr>
          <w:p>
            <w:pPr>
              <w:jc w:val="right"/>
              <w:ind w:right="376"/>
              <w:spacing w:after="0"/>
              <w:rPr>
                <w:sz w:val="20"/>
                <w:szCs w:val="20"/>
                <w:color w:val="auto"/>
              </w:rPr>
            </w:pPr>
            <w:r>
              <w:rPr>
                <w:rFonts w:ascii="Arial" w:cs="Arial" w:eastAsia="Arial" w:hAnsi="Arial"/>
                <w:sz w:val="12"/>
                <w:szCs w:val="12"/>
                <w:b w:val="1"/>
                <w:bCs w:val="1"/>
                <w:color w:val="auto"/>
              </w:rPr>
              <w:t>March 31,</w:t>
            </w:r>
          </w:p>
        </w:tc>
      </w:tr>
      <w:tr>
        <w:trPr>
          <w:trHeight w:val="165"/>
        </w:trPr>
        <w:tc>
          <w:tcPr>
            <w:tcW w:w="67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2"/>
                <w:szCs w:val="12"/>
                <w:b w:val="1"/>
                <w:bCs w:val="1"/>
                <w:color w:val="auto"/>
              </w:rPr>
              <w:t>2024</w:t>
            </w:r>
          </w:p>
        </w:tc>
      </w:tr>
      <w:tr>
        <w:trPr>
          <w:trHeight w:val="167"/>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4,812,000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4,890,000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5,123,000</w:t>
            </w:r>
          </w:p>
        </w:tc>
      </w:tr>
      <w:tr>
        <w:trPr>
          <w:trHeight w:val="174"/>
        </w:trPr>
        <w:tc>
          <w:tcPr>
            <w:tcW w:w="678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40" w:type="dxa"/>
            <w:vAlign w:val="bottom"/>
          </w:tcPr>
          <w:p>
            <w:pPr>
              <w:jc w:val="right"/>
              <w:spacing w:after="0"/>
              <w:rPr>
                <w:sz w:val="20"/>
                <w:szCs w:val="20"/>
                <w:color w:val="auto"/>
              </w:rPr>
            </w:pPr>
            <w:r>
              <w:rPr>
                <w:rFonts w:ascii="Arial" w:cs="Arial" w:eastAsia="Arial" w:hAnsi="Arial"/>
                <w:sz w:val="13"/>
                <w:szCs w:val="13"/>
                <w:color w:val="auto"/>
              </w:rPr>
              <w:t>260,000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242,000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258,000</w:t>
            </w:r>
          </w:p>
        </w:tc>
      </w:tr>
      <w:tr>
        <w:trPr>
          <w:trHeight w:val="176"/>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662,000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403,000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346,000</w:t>
            </w:r>
          </w:p>
        </w:tc>
      </w:tr>
      <w:tr>
        <w:trPr>
          <w:trHeight w:val="174"/>
        </w:trPr>
        <w:tc>
          <w:tcPr>
            <w:tcW w:w="6780" w:type="dxa"/>
            <w:vAlign w:val="bottom"/>
          </w:tcPr>
          <w:p>
            <w:pPr>
              <w:ind w:left="20"/>
              <w:spacing w:after="0"/>
              <w:rPr>
                <w:sz w:val="20"/>
                <w:szCs w:val="20"/>
                <w:color w:val="auto"/>
              </w:rPr>
            </w:pPr>
            <w:r>
              <w:rPr>
                <w:rFonts w:ascii="Arial" w:cs="Arial" w:eastAsia="Arial" w:hAnsi="Arial"/>
                <w:sz w:val="13"/>
                <w:szCs w:val="13"/>
                <w:color w:val="auto"/>
              </w:rPr>
              <w:t>Other</w:t>
            </w:r>
          </w:p>
        </w:tc>
        <w:tc>
          <w:tcPr>
            <w:tcW w:w="1440" w:type="dxa"/>
            <w:vAlign w:val="bottom"/>
          </w:tcPr>
          <w:p>
            <w:pPr>
              <w:jc w:val="right"/>
              <w:spacing w:after="0"/>
              <w:rPr>
                <w:sz w:val="20"/>
                <w:szCs w:val="20"/>
                <w:color w:val="auto"/>
              </w:rPr>
            </w:pPr>
            <w:r>
              <w:rPr>
                <w:rFonts w:ascii="Arial" w:cs="Arial" w:eastAsia="Arial" w:hAnsi="Arial"/>
                <w:sz w:val="13"/>
                <w:szCs w:val="13"/>
                <w:color w:val="auto"/>
              </w:rPr>
              <w:t>18,000</w:t>
            </w: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5,752,000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5,535,000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5,727,000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premium revenue, medical margin, and MCR by segment for the periods indicated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rPr>
              <w:t>Three Months Ended March 31,</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Premium</w:t>
            </w:r>
          </w:p>
        </w:tc>
        <w:tc>
          <w:tcPr>
            <w:tcW w:w="200" w:type="dxa"/>
            <w:vAlign w:val="bottom"/>
          </w:tcPr>
          <w:p>
            <w:pPr>
              <w:spacing w:after="0"/>
              <w:rPr>
                <w:sz w:val="10"/>
                <w:szCs w:val="10"/>
                <w:color w:val="auto"/>
              </w:rPr>
            </w:pPr>
          </w:p>
        </w:tc>
        <w:tc>
          <w:tcPr>
            <w:tcW w:w="820" w:type="dxa"/>
            <w:vAlign w:val="bottom"/>
          </w:tcPr>
          <w:p>
            <w:pPr>
              <w:jc w:val="right"/>
              <w:ind w:right="237"/>
              <w:spacing w:after="0" w:line="126" w:lineRule="exact"/>
              <w:rPr>
                <w:sz w:val="20"/>
                <w:szCs w:val="20"/>
                <w:color w:val="auto"/>
              </w:rPr>
            </w:pPr>
            <w:r>
              <w:rPr>
                <w:rFonts w:ascii="Arial" w:cs="Arial" w:eastAsia="Arial" w:hAnsi="Arial"/>
                <w:sz w:val="12"/>
                <w:szCs w:val="12"/>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MCR</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Premium</w:t>
            </w:r>
          </w:p>
        </w:tc>
        <w:tc>
          <w:tcPr>
            <w:tcW w:w="200" w:type="dxa"/>
            <w:vAlign w:val="bottom"/>
          </w:tcPr>
          <w:p>
            <w:pPr>
              <w:spacing w:after="0"/>
              <w:rPr>
                <w:sz w:val="10"/>
                <w:szCs w:val="10"/>
                <w:color w:val="auto"/>
              </w:rPr>
            </w:pPr>
          </w:p>
        </w:tc>
        <w:tc>
          <w:tcPr>
            <w:tcW w:w="840" w:type="dxa"/>
            <w:vAlign w:val="bottom"/>
          </w:tcPr>
          <w:p>
            <w:pPr>
              <w:jc w:val="right"/>
              <w:ind w:right="237"/>
              <w:spacing w:after="0" w:line="126" w:lineRule="exact"/>
              <w:rPr>
                <w:sz w:val="20"/>
                <w:szCs w:val="20"/>
                <w:color w:val="auto"/>
              </w:rPr>
            </w:pPr>
            <w:r>
              <w:rPr>
                <w:rFonts w:ascii="Arial" w:cs="Arial" w:eastAsia="Arial" w:hAnsi="Arial"/>
                <w:sz w:val="12"/>
                <w:szCs w:val="12"/>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jc w:val="right"/>
              <w:ind w:right="358"/>
              <w:spacing w:after="0"/>
              <w:rPr>
                <w:sz w:val="20"/>
                <w:szCs w:val="20"/>
                <w:color w:val="auto"/>
              </w:rPr>
            </w:pPr>
            <w:r>
              <w:rPr>
                <w:rFonts w:ascii="Arial" w:cs="Arial" w:eastAsia="Arial" w:hAnsi="Arial"/>
                <w:sz w:val="12"/>
                <w:szCs w:val="12"/>
                <w:b w:val="1"/>
                <w:bCs w:val="1"/>
                <w:color w:val="auto"/>
              </w:rPr>
              <w:t>MCR</w:t>
            </w:r>
          </w:p>
        </w:tc>
        <w:tc>
          <w:tcPr>
            <w:tcW w:w="0" w:type="dxa"/>
            <w:vAlign w:val="bottom"/>
          </w:tcPr>
          <w:p>
            <w:pPr>
              <w:spacing w:after="0"/>
              <w:rPr>
                <w:sz w:val="1"/>
                <w:szCs w:val="1"/>
                <w:color w:val="auto"/>
              </w:rPr>
            </w:pPr>
          </w:p>
        </w:tc>
      </w:tr>
      <w:tr>
        <w:trPr>
          <w:trHeight w:val="150"/>
        </w:trPr>
        <w:tc>
          <w:tcPr>
            <w:tcW w:w="4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2"/>
                <w:szCs w:val="12"/>
                <w:b w:val="1"/>
                <w:bCs w:val="1"/>
                <w:color w:val="auto"/>
              </w:rPr>
              <w:t>Revenue</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Margin</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Revenue</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Margin</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w w:val="98"/>
              </w:rPr>
              <w:t>90.3 %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89.7 %</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3"/>
                <w:szCs w:val="13"/>
                <w:color w:val="auto"/>
              </w:rPr>
              <w:t>Medicare</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172</w:t>
            </w:r>
          </w:p>
        </w:tc>
        <w:tc>
          <w:tcPr>
            <w:tcW w:w="1220" w:type="dxa"/>
            <w:vAlign w:val="bottom"/>
            <w:gridSpan w:val="2"/>
          </w:tcPr>
          <w:p>
            <w:pPr>
              <w:ind w:left="800"/>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163</w:t>
            </w:r>
          </w:p>
        </w:tc>
        <w:tc>
          <w:tcPr>
            <w:tcW w:w="1220" w:type="dxa"/>
            <w:vAlign w:val="bottom"/>
            <w:gridSpan w:val="2"/>
          </w:tcPr>
          <w:p>
            <w:pPr>
              <w:jc w:val="right"/>
              <w:ind w:right="98"/>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76"/>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220" w:type="dxa"/>
            <w:vAlign w:val="bottom"/>
            <w:gridSpan w:val="2"/>
          </w:tcPr>
          <w:p>
            <w:pPr>
              <w:ind w:left="800"/>
              <w:spacing w:after="0"/>
              <w:rPr>
                <w:sz w:val="20"/>
                <w:szCs w:val="20"/>
                <w:color w:val="auto"/>
              </w:rPr>
            </w:pPr>
            <w:r>
              <w:rPr>
                <w:rFonts w:ascii="Arial" w:cs="Arial" w:eastAsia="Arial" w:hAnsi="Arial"/>
                <w:sz w:val="13"/>
                <w:szCs w:val="13"/>
                <w:color w:val="auto"/>
              </w:rPr>
              <w:t>87.7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4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22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Arial" w:cs="Arial" w:eastAsia="Arial" w:hAnsi="Arial"/>
                <w:sz w:val="13"/>
                <w:szCs w:val="13"/>
                <w:color w:val="auto"/>
                <w:w w:val="98"/>
              </w:rPr>
              <w:t>89.2 %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88.5 %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Medicaid</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Medicaid premium revenue increased $638 million, or 9%, in the first quarter of 2025, when compared with the first quarter of 2024. The increase was mainly due to revenue tied to the new contract win in New Mexico, which commenced in July 2024, expansions in Texas, which commenced in September 2024, and certain rate actions, which were partially offset by the impact of Medicaid redetermination. Also contributing to the overall premium revenue increase is a lower impact of minimum MLRs and medical cost corridors in the first quarter of 2025, when compared with the first quarter of 2024.</w:t>
      </w:r>
    </w:p>
    <w:p>
      <w:pPr>
        <w:spacing w:after="0" w:line="63"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The medical margin in our Medicaid program increased $16 million, or 2%, in the first quarter of 2025 when compared with the first quarter of 2024. The improvement was driven by the increased premium revenues discussed above, partially offset by an increase in the MCR, as described below.</w:t>
      </w:r>
    </w:p>
    <w:p>
      <w:pPr>
        <w:spacing w:after="0" w:line="49" w:lineRule="exact"/>
        <w:rPr>
          <w:sz w:val="20"/>
          <w:szCs w:val="20"/>
          <w:color w:val="auto"/>
        </w:rPr>
      </w:pPr>
    </w:p>
    <w:p>
      <w:pPr>
        <w:jc w:val="both"/>
        <w:ind w:right="360"/>
        <w:spacing w:after="0" w:line="256" w:lineRule="auto"/>
        <w:rPr>
          <w:sz w:val="20"/>
          <w:szCs w:val="20"/>
          <w:color w:val="auto"/>
        </w:rPr>
      </w:pPr>
      <w:r>
        <w:rPr>
          <w:rFonts w:ascii="Arial" w:cs="Arial" w:eastAsia="Arial" w:hAnsi="Arial"/>
          <w:sz w:val="15"/>
          <w:szCs w:val="15"/>
          <w:color w:val="auto"/>
        </w:rPr>
        <w:t>The Medicaid MCR increased to 90.3% in the first quarter of 2025, from 89.7% in the first quarter of 2024, or 60 basis points, which was in line with our expectations. The increase was mainly attributable to the continued impact of higher utilization among our continuing population from the second half of 2024 that has continued into 2025, including LTSS benefits, high-cost drugs, and behavioral health services and seasonal illnesses, partially offset by rate increases.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26" w:name="page27"/>
    <w:bookmarkEnd w:id="2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Medicare</w:t>
      </w:r>
    </w:p>
    <w:p>
      <w:pPr>
        <w:spacing w:after="0" w:line="88"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Medicare premium revenue increased $26 million, or 2%, in the first quarter of 2025 when compared to the first quarter of 2024. The increase primarily reflects membership growth associated with the ConnectiCare acquisition, partially offset by the impact of our exit from MAPD in thirteen states in 2025.</w:t>
      </w:r>
    </w:p>
    <w:p>
      <w:pPr>
        <w:spacing w:after="0" w:line="49"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The medical margin in Medicare increased $9 million in the first quarter of 2025, when compared with the first quarter of 2024, mainly due to the year-over-year increase in premium revenues discussed above, and the improved MCR discussed below.</w:t>
      </w:r>
    </w:p>
    <w:p>
      <w:pPr>
        <w:spacing w:after="0" w:line="4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Medicare MCR of 88.3% in the first quarter of 2025 was 40 basis points lower than the first quarter of 2024 and in line with our expectations, resulting from product pricing and benefit adjustments implemented for 2025, and the exit from MAPD in thirteen states.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Marketplace</w:t>
      </w:r>
    </w:p>
    <w:p>
      <w:pPr>
        <w:spacing w:after="0" w:line="88"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Marketplace premium revenue in the first quarter of 2025 increased $434 million, compared with the first quarter of 2024, due to an expected increase in membership in line with our product and pricing strategy to achieve growth, membership growth associated with the ConnectiCare acquisition, and the impact of membership gained from redeterminations in 2024. Our Marketplace membership as of March 31, 2025 amounted to 662,000 members, representing an increase of 316,000 members compared to March 31, 2024.</w:t>
      </w:r>
    </w:p>
    <w:p>
      <w:pPr>
        <w:spacing w:after="0" w:line="63"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The Marketplace medical margin increased $31 million in the first quarter of 2025, when compared with the first quarter of 2024, primarily due to the growth in premiums and margin associated with the higher membership, partially offset by the impact of MCR changes discussed below.</w:t>
      </w:r>
    </w:p>
    <w:p>
      <w:pPr>
        <w:spacing w:after="0" w:line="49"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Marketplace MCR increased to 81.7% in the first quarter of 2025, from 73.3% in the first quarter of 2024. The MCR reflects our product pricing strategy to achieve growth, and approximately 400 basis points related to unfavorable changes in estimate for 2024 risk adjustment, retrospective member reconciliation adjustments and the impact of higher initial MCRs related to the ConnectiCare acquisition. Excluding the prior year adjustments and ConnectiCare MCR impact, the Marketplace MCR was in line with the Company’s expectations.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w:t>
      </w:r>
    </w:p>
    <w:p>
      <w:pPr>
        <w:spacing w:after="0" w:line="88"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color w:val="auto"/>
        </w:rPr>
        <w:t>The Other segment includes service revenues and costs associated with long-term services and supports consultative services we provide in Wisconsin, the commercial portion of the business acquired in connection with the ConnectiCare transaction that closed effective February 1, 2025, and certain corporate amounts not allocated to the Medicaid, Medicare, or Marketplace segments. Such amounts were immaterial to our consolidated results of operations in the first quarters of 2025 and 2024,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LIQUIDITY, FINANCIAL CONDITION AND CAPITAL RESOURCES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LIQUIDITY</w:t>
      </w:r>
    </w:p>
    <w:p>
      <w:pPr>
        <w:spacing w:after="0" w:line="90"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We maintain liquidity at two levels: 1) the regulated health plan subsidiaries; and 2) the parent company.</w:t>
      </w:r>
    </w:p>
    <w:p>
      <w:pPr>
        <w:spacing w:after="0" w:line="90" w:lineRule="exact"/>
        <w:rPr>
          <w:sz w:val="20"/>
          <w:szCs w:val="20"/>
          <w:color w:val="auto"/>
        </w:rPr>
      </w:pPr>
    </w:p>
    <w:p>
      <w:pPr>
        <w:ind w:right="120"/>
        <w:spacing w:after="0" w:line="272" w:lineRule="auto"/>
        <w:rPr>
          <w:sz w:val="20"/>
          <w:szCs w:val="20"/>
          <w:color w:val="auto"/>
        </w:rPr>
      </w:pPr>
      <w:r>
        <w:rPr>
          <w:rFonts w:ascii="Arial" w:cs="Arial" w:eastAsia="Arial" w:hAnsi="Arial"/>
          <w:sz w:val="14"/>
          <w:szCs w:val="14"/>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50"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ind w:right="360"/>
        <w:spacing w:after="0" w:line="256" w:lineRule="auto"/>
        <w:rPr>
          <w:sz w:val="20"/>
          <w:szCs w:val="20"/>
          <w:color w:val="auto"/>
        </w:rPr>
      </w:pPr>
      <w:r>
        <w:rPr>
          <w:rFonts w:ascii="Arial" w:cs="Arial" w:eastAsia="Arial" w:hAnsi="Arial"/>
          <w:sz w:val="15"/>
          <w:szCs w:val="15"/>
          <w:color w:val="auto"/>
        </w:rPr>
        <w:t>in the form of dividends to our parent company to be used for general corporate purposes. In the three months ended March 31, 2025, the parent company received $110 million in dividends and return of capital from the regulated health plan subsidiaries. See further discussion of dividends below in “Future Sources and Uses of Liquidity— Future Sources.”</w:t>
      </w:r>
    </w:p>
    <w:p>
      <w:pPr>
        <w:spacing w:after="0" w:line="60"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three months ended March 31, 2025, the parent company contributed capital in the aggregate amount of $39 million to our regulated health plan subsidiaries to satisfy statutory capital and surplus requirements and to fund our Connecticut health plans acquired in the ConnectiCare acquisition and our New Mexico health plan.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67"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Cash, cash equivalents and investments at the parent company amounted to $ 191 million and $445 million as of March 31, 2025, and December 31, 2024, respectively. The decrease for the three months ended March 31, 2025, was primarily due to the purchase of approximately 1.7 million shares of our stock for $500 million in the first quarter of 2025, funding the ConnectiCare transaction for $350 million, and capital contributions to regulated health plan subsidiaries, partially offset by the timing of corporate payments, and dividends received from regulated health plan subsidiaries and net proceeds of $650 million from borrowings under the Credit Facility and Term Loan.</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Investments</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0"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overall rating of our portfolio is AA-. Our investment policy has directives in conjunction with state guidelines to minimize risks and exposures in volatile markets.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Additionally, our portfolio managers assist us in navigating the current volatility in the capital markets.</w:t>
      </w:r>
    </w:p>
    <w:p>
      <w:pPr>
        <w:spacing w:after="0" w:line="76"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 Activities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Our cash flows are summarized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7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right="194"/>
              <w:spacing w:after="0"/>
              <w:rPr>
                <w:sz w:val="20"/>
                <w:szCs w:val="20"/>
                <w:color w:val="auto"/>
              </w:rPr>
            </w:pPr>
            <w:r>
              <w:rPr>
                <w:rFonts w:ascii="Arial" w:cs="Arial" w:eastAsia="Arial" w:hAnsi="Arial"/>
                <w:sz w:val="12"/>
                <w:szCs w:val="12"/>
                <w:b w:val="1"/>
                <w:bCs w:val="1"/>
                <w:color w:val="auto"/>
                <w:w w:val="96"/>
              </w:rPr>
              <w:t>Three Months Ended March 31,</w:t>
            </w:r>
          </w:p>
        </w:tc>
        <w:tc>
          <w:tcPr>
            <w:tcW w:w="1120" w:type="dxa"/>
            <w:vAlign w:val="bottom"/>
            <w:tcBorders>
              <w:bottom w:val="single" w:sz="8" w:color="auto"/>
            </w:tcBorders>
          </w:tcPr>
          <w:p>
            <w:pPr>
              <w:spacing w:after="0"/>
              <w:rPr>
                <w:sz w:val="13"/>
                <w:szCs w:val="13"/>
                <w:color w:val="auto"/>
              </w:rPr>
            </w:pPr>
          </w:p>
        </w:tc>
      </w:tr>
      <w:tr>
        <w:trPr>
          <w:trHeight w:val="155"/>
        </w:trPr>
        <w:tc>
          <w:tcPr>
            <w:tcW w:w="6760" w:type="dxa"/>
            <w:vAlign w:val="bottom"/>
          </w:tcPr>
          <w:p>
            <w:pPr>
              <w:spacing w:after="0"/>
              <w:rPr>
                <w:sz w:val="13"/>
                <w:szCs w:val="13"/>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2"/>
                <w:szCs w:val="12"/>
                <w:b w:val="1"/>
                <w:bCs w:val="1"/>
                <w:color w:val="auto"/>
              </w:rPr>
              <w:t>2025</w:t>
            </w: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2"/>
                <w:szCs w:val="12"/>
                <w:b w:val="1"/>
                <w:bCs w:val="1"/>
                <w:color w:val="auto"/>
                <w:w w:val="97"/>
              </w:rPr>
              <w:t>2024</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2"/>
                <w:szCs w:val="12"/>
                <w:b w:val="1"/>
                <w:bCs w:val="1"/>
                <w:color w:val="auto"/>
              </w:rPr>
              <w:t>Change</w:t>
            </w:r>
          </w:p>
        </w:tc>
      </w:tr>
      <w:tr>
        <w:trPr>
          <w:trHeight w:val="188"/>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(In millions)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center"/>
              <w:ind w:left="94"/>
              <w:spacing w:after="0"/>
              <w:rPr>
                <w:sz w:val="20"/>
                <w:szCs w:val="20"/>
                <w:color w:val="auto"/>
              </w:rPr>
            </w:pPr>
            <w:r>
              <w:rPr>
                <w:rFonts w:ascii="Arial" w:cs="Arial" w:eastAsia="Arial" w:hAnsi="Arial"/>
                <w:sz w:val="13"/>
                <w:szCs w:val="13"/>
                <w:color w:val="auto"/>
                <w:w w:val="92"/>
              </w:rPr>
              <w:t>190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74"/>
        </w:trPr>
        <w:tc>
          <w:tcPr>
            <w:tcW w:w="67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Pr>
          <w:p>
            <w:pPr>
              <w:spacing w:after="0"/>
              <w:rPr>
                <w:sz w:val="15"/>
                <w:szCs w:val="15"/>
                <w:color w:val="auto"/>
              </w:rPr>
            </w:pPr>
          </w:p>
        </w:tc>
        <w:tc>
          <w:tcPr>
            <w:tcW w:w="440" w:type="dxa"/>
            <w:vAlign w:val="bottom"/>
            <w:gridSpan w:val="2"/>
          </w:tcPr>
          <w:p>
            <w:pPr>
              <w:jc w:val="center"/>
              <w:ind w:left="34"/>
              <w:spacing w:after="0"/>
              <w:rPr>
                <w:sz w:val="20"/>
                <w:szCs w:val="20"/>
                <w:color w:val="auto"/>
              </w:rPr>
            </w:pPr>
            <w:r>
              <w:rPr>
                <w:rFonts w:ascii="Arial" w:cs="Arial" w:eastAsia="Arial" w:hAnsi="Arial"/>
                <w:sz w:val="13"/>
                <w:szCs w:val="13"/>
                <w:color w:val="auto"/>
                <w:w w:val="98"/>
              </w:rPr>
              <w:t>(123)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365</w:t>
            </w:r>
          </w:p>
        </w:tc>
      </w:tr>
      <w:tr>
        <w:trPr>
          <w:trHeight w:val="175"/>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ind w:left="94"/>
              <w:spacing w:after="0"/>
              <w:rPr>
                <w:sz w:val="20"/>
                <w:szCs w:val="20"/>
                <w:color w:val="auto"/>
              </w:rPr>
            </w:pPr>
            <w:r>
              <w:rPr>
                <w:rFonts w:ascii="Arial" w:cs="Arial" w:eastAsia="Arial" w:hAnsi="Arial"/>
                <w:sz w:val="13"/>
                <w:szCs w:val="13"/>
                <w:color w:val="auto"/>
                <w:w w:val="92"/>
              </w:rPr>
              <w:t>147</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r>
      <w:tr>
        <w:trPr>
          <w:trHeight w:val="167"/>
        </w:trPr>
        <w:tc>
          <w:tcPr>
            <w:tcW w:w="6760" w:type="dxa"/>
            <w:vAlign w:val="bottom"/>
          </w:tcPr>
          <w:p>
            <w:pPr>
              <w:ind w:left="120"/>
              <w:spacing w:after="0"/>
              <w:rPr>
                <w:sz w:val="20"/>
                <w:szCs w:val="20"/>
                <w:color w:val="auto"/>
              </w:rPr>
            </w:pPr>
            <w:r>
              <w:rPr>
                <w:rFonts w:ascii="Arial" w:cs="Arial" w:eastAsia="Arial" w:hAnsi="Arial"/>
                <w:sz w:val="13"/>
                <w:szCs w:val="13"/>
                <w:color w:val="auto"/>
              </w:rPr>
              <w:t>Net increase (decrease) in cash, cash equivalents, and restricted cash and cash equivalents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400" w:type="dxa"/>
            <w:vAlign w:val="bottom"/>
          </w:tcPr>
          <w:p>
            <w:pPr>
              <w:jc w:val="center"/>
              <w:ind w:left="94"/>
              <w:spacing w:after="0"/>
              <w:rPr>
                <w:sz w:val="20"/>
                <w:szCs w:val="20"/>
                <w:color w:val="auto"/>
              </w:rPr>
            </w:pPr>
            <w:r>
              <w:rPr>
                <w:rFonts w:ascii="Arial" w:cs="Arial" w:eastAsia="Arial" w:hAnsi="Arial"/>
                <w:sz w:val="13"/>
                <w:szCs w:val="13"/>
                <w:color w:val="auto"/>
                <w:w w:val="92"/>
              </w:rPr>
              <w:t>214</w:t>
            </w:r>
          </w:p>
        </w:tc>
        <w:tc>
          <w:tcPr>
            <w:tcW w:w="3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550</w:t>
            </w:r>
          </w:p>
        </w:tc>
      </w:tr>
      <w:tr>
        <w:trPr>
          <w:trHeight w:val="20"/>
        </w:trPr>
        <w:tc>
          <w:tcPr>
            <w:tcW w:w="6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Operating Activities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0"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Net cash provided by operations for the three months ended March 31, 2025 was $190 million, compared with $214 million in the three months ended March 31, 2024. The change in cash flow mainly results from timing differences in government agency and other payables.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Investing Activities</w:t>
      </w:r>
    </w:p>
    <w:p>
      <w:pPr>
        <w:spacing w:after="0" w:line="90" w:lineRule="exact"/>
        <w:rPr>
          <w:sz w:val="20"/>
          <w:szCs w:val="20"/>
          <w:color w:val="auto"/>
        </w:rPr>
      </w:pPr>
    </w:p>
    <w:p>
      <w:pPr>
        <w:jc w:val="both"/>
        <w:ind w:right="40"/>
        <w:spacing w:after="0" w:line="250" w:lineRule="auto"/>
        <w:rPr>
          <w:sz w:val="20"/>
          <w:szCs w:val="20"/>
          <w:color w:val="auto"/>
        </w:rPr>
      </w:pPr>
      <w:r>
        <w:rPr>
          <w:rFonts w:ascii="Arial" w:cs="Arial" w:eastAsia="Arial" w:hAnsi="Arial"/>
          <w:sz w:val="15"/>
          <w:szCs w:val="15"/>
          <w:color w:val="auto"/>
        </w:rPr>
        <w:t>Net cash used in investing activities was $123 million in the three months ended March 31, 2025, compared with $488 million used in the three months ended March 31, 2024, an increase in cash flow of $365 million. This change in cash flow was primarily due the net activity of proceeds and purchases of investments, which reflected net proceeds of $142 million in the three months ended March 31, 2025 and net purchases of $169 million in the three months ended March 31, 2024. Net cash paid in business combinations amounted to $245 million in the three months ended March 31, 2025, related to the ConnectiCare acquisitions, compared to $295 million in the three months ended March 31, 2024, related to the Bright acquisition.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Financing Activities</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Net cash provided by financing activities was $ 147 million in the three months ended March 31, 2025, compared with $62 million used in the three months ended March 31, 2024, an increase in cash flow of $209 million. In the three months ended March 31, 2025, financing activity included common stock purchases of $ 500 million and $650 million in combined borrowings under the Credit Facility and Term Loan. In addition, in the three months ended March 31, 2025 and 2024, financing cash outflows included $36 million and $56 million, respectively, for common stock withheld to settle employee tax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FINANCIAL CONDITION</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auto"/>
        </w:rPr>
        <w:t>We believe that our cash resources, borrowing capacity available under our Amended Credit Agreement as discussed further below in “Future Sources and Uses of Liquidity— Future Sources,” and internally generated funds will be sufficient to support our operations, regulatory requirements, debt repayment obligations and capital expenditures for at least the next 12 months.</w:t>
      </w:r>
    </w:p>
    <w:p>
      <w:pPr>
        <w:spacing w:after="0" w:line="60"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Our working capital on a consolidated basis was $5.1 billion at March 31, 2025, compared with $4.9 billion at December 31, 2024. At March 31, 2025, our cash and investments amounted to $9.6 billion, compared with $9.3 billion at December 31, 2024.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decreased to $36 million at March 31, 2025 compared to $75 million at December 31, 2024. We have determined that the unrealized losses primarily resulted from fluctuating interest rates, rather than a deterioration of the creditworthiness of the issuers.</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5"/>
          <w:szCs w:val="15"/>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Capital and Dividend Restrictions</w:t>
      </w:r>
    </w:p>
    <w:p>
      <w:pPr>
        <w:spacing w:after="0" w:line="88"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$3.0 billion at March 31, 2025 and $2.6 billion at December 31, 2024. The aggregate capital and surplus of our wholly owned subsidiaries was in excess of these minimum capital requirements as of both dates.</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ind w:right="220"/>
        <w:spacing w:after="0" w:line="256" w:lineRule="auto"/>
        <w:rPr>
          <w:sz w:val="20"/>
          <w:szCs w:val="20"/>
          <w:color w:val="auto"/>
        </w:rPr>
      </w:pPr>
      <w:r>
        <w:rPr>
          <w:rFonts w:ascii="Arial" w:cs="Arial" w:eastAsia="Arial" w:hAnsi="Arial"/>
          <w:sz w:val="15"/>
          <w:szCs w:val="15"/>
          <w:color w:val="auto"/>
        </w:rPr>
        <w:t>Under applicable regulatory requirements, the amount of dividends that may be paid by our wholly owned subsidiaries without prior approval by regulatory authorities as of March 31, 2025, was approximately $460 million in the aggregate. The subsidiaries may pay dividends over this amount, but only after approval is granted by the regulatory authorities.</w:t>
      </w:r>
    </w:p>
    <w:p>
      <w:pPr>
        <w:spacing w:after="0" w:line="60" w:lineRule="exact"/>
        <w:rPr>
          <w:sz w:val="20"/>
          <w:szCs w:val="20"/>
          <w:color w:val="auto"/>
        </w:rPr>
      </w:pPr>
    </w:p>
    <w:p>
      <w:pPr>
        <w:jc w:val="both"/>
        <w:ind w:right="160"/>
        <w:spacing w:after="0" w:line="256" w:lineRule="auto"/>
        <w:rPr>
          <w:sz w:val="20"/>
          <w:szCs w:val="20"/>
          <w:color w:val="auto"/>
        </w:rPr>
      </w:pPr>
      <w:r>
        <w:rPr>
          <w:rFonts w:ascii="Arial" w:cs="Arial" w:eastAsia="Arial" w:hAnsi="Arial"/>
          <w:sz w:val="15"/>
          <w:szCs w:val="15"/>
          <w:color w:val="auto"/>
        </w:rPr>
        <w:t>Based on our cash and investments balances as of March 31, 2025,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 Ratings</w:t>
      </w:r>
    </w:p>
    <w:p>
      <w:pPr>
        <w:spacing w:after="0" w:line="88"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Each of our senior notes is rated “BB” by Standard &amp; Poor’s, and “Ba2” by Moody’s Investor Service, Inc. A downgrade in our ratings could adversely affect our borrowing capacity and increase our borrowing costs.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Covenants</w:t>
      </w:r>
    </w:p>
    <w:p>
      <w:pPr>
        <w:spacing w:after="0" w:line="88" w:lineRule="exact"/>
        <w:rPr>
          <w:sz w:val="20"/>
          <w:szCs w:val="20"/>
          <w:color w:val="auto"/>
        </w:rPr>
      </w:pPr>
    </w:p>
    <w:p>
      <w:pPr>
        <w:ind w:right="480"/>
        <w:spacing w:after="0" w:line="270" w:lineRule="auto"/>
        <w:rPr>
          <w:sz w:val="20"/>
          <w:szCs w:val="20"/>
          <w:color w:val="auto"/>
        </w:rPr>
      </w:pPr>
      <w:r>
        <w:rPr>
          <w:rFonts w:ascii="Arial" w:cs="Arial" w:eastAsia="Arial" w:hAnsi="Arial"/>
          <w:sz w:val="15"/>
          <w:szCs w:val="15"/>
          <w:color w:val="auto"/>
        </w:rPr>
        <w:t>Our Amended Credit Agreement contains customary non-financial and financial covenants, including a net leverage ratio and an interest coverage ratio. Such ratios are computed as defined by the terms of the Amended Credit Agreement.</w:t>
      </w:r>
    </w:p>
    <w:p>
      <w:pPr>
        <w:spacing w:after="0" w:line="49" w:lineRule="exact"/>
        <w:rPr>
          <w:sz w:val="20"/>
          <w:szCs w:val="20"/>
          <w:color w:val="auto"/>
        </w:rPr>
      </w:pPr>
    </w:p>
    <w:p>
      <w:pPr>
        <w:jc w:val="both"/>
        <w:ind w:right="180"/>
        <w:spacing w:after="0" w:line="256" w:lineRule="auto"/>
        <w:rPr>
          <w:sz w:val="20"/>
          <w:szCs w:val="20"/>
          <w:color w:val="auto"/>
        </w:rPr>
      </w:pPr>
      <w:r>
        <w:rPr>
          <w:rFonts w:ascii="Arial" w:cs="Arial" w:eastAsia="Arial" w:hAnsi="Arial"/>
          <w:sz w:val="15"/>
          <w:szCs w:val="15"/>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March 31, 2025, we were in compliance with all financial and non-financial covenants under the Amended Credit Agreement and other long-term debt.</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FUTURE SOURCES AND USES OF LIQUIDITY</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Sources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Our regulated subsidiaries generate significant cash flows from premium revenue, which is generally received a short time before related healthcare services are paid.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Premium revenue is our primary source of liquidity. Thus, any decline in the receipt of premium revenue, and our profitability, could have a negative impact on our liquidity.</w:t>
      </w:r>
    </w:p>
    <w:p>
      <w:pPr>
        <w:spacing w:after="0" w:line="87"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i w:val="1"/>
          <w:iCs w:val="1"/>
          <w:color w:val="auto"/>
        </w:rPr>
        <w:t xml:space="preserve">Dividends from Subsidiaries. </w:t>
      </w:r>
      <w:r>
        <w:rPr>
          <w:rFonts w:ascii="Arial" w:cs="Arial" w:eastAsia="Arial" w:hAnsi="Arial"/>
          <w:sz w:val="15"/>
          <w:szCs w:val="15"/>
          <w:color w:val="auto"/>
        </w:rPr>
        <w:t>When available and as permitted by applicable regulations, cash in excess of the capital needs of our regulated health plans is generally paid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form of dividends to our unregulated parent company to be used for general corporate purposes.</w:t>
      </w:r>
    </w:p>
    <w:p>
      <w:pPr>
        <w:spacing w:after="0" w:line="49"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i w:val="1"/>
          <w:iCs w:val="1"/>
          <w:color w:val="auto"/>
        </w:rPr>
        <w:t xml:space="preserve">Credit Agreement Borrowing Capacity. </w:t>
      </w:r>
      <w:r>
        <w:rPr>
          <w:rFonts w:ascii="Arial" w:cs="Arial" w:eastAsia="Arial" w:hAnsi="Arial"/>
          <w:sz w:val="15"/>
          <w:szCs w:val="15"/>
          <w:color w:val="auto"/>
        </w:rPr>
        <w:t>We are party to a credit agreement (the “Amended Credit Agreement”), which provides for a revolving credit facility (“Credit Facility”) of</w:t>
      </w:r>
      <w:r>
        <w:rPr>
          <w:rFonts w:ascii="Arial" w:cs="Arial" w:eastAsia="Arial" w:hAnsi="Arial"/>
          <w:sz w:val="15"/>
          <w:szCs w:val="15"/>
          <w:i w:val="1"/>
          <w:iCs w:val="1"/>
          <w:color w:val="auto"/>
        </w:rPr>
        <w:t xml:space="preserve"> </w:t>
      </w:r>
      <w:r>
        <w:rPr>
          <w:rFonts w:ascii="Arial" w:cs="Arial" w:eastAsia="Arial" w:hAnsi="Arial"/>
          <w:sz w:val="15"/>
          <w:szCs w:val="15"/>
          <w:color w:val="auto"/>
        </w:rPr>
        <w:t>$1.25 billion, with a lending commitment termination date of September 20, 2029, and a delayed draw commitment in an aggregate principal amount of $500 million, with a maturity date of February 19, 2027 (“Term Loan”). The Amended Credit Agreement also provides for a $15 million swingline sub-facility and a $100 million letter of credit sub-facility, as well as incremental term loans available to finance certain acquisitions up to $800 million, plus an unlimited amount of such term loans as long as we maintain a minimum consolidated net leverage ratio. As of March 31, 2025, we had available borrowing capacity of $1.10 billion under the Credit Facility and no available capacity under the Term Loan. See further discussion in the Notes to Consolidated Financial Statements, Note 8, “Debt.”</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Uses</w:t>
      </w:r>
    </w:p>
    <w:p>
      <w:pPr>
        <w:spacing w:after="0" w:line="88"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i w:val="1"/>
          <w:iCs w:val="1"/>
          <w:color w:val="auto"/>
        </w:rPr>
        <w:t xml:space="preserve">Common Stock Purchases. </w:t>
      </w:r>
      <w:r>
        <w:rPr>
          <w:rFonts w:ascii="Arial" w:cs="Arial" w:eastAsia="Arial" w:hAnsi="Arial"/>
          <w:sz w:val="15"/>
          <w:szCs w:val="15"/>
          <w:color w:val="auto"/>
        </w:rPr>
        <w:t>In April 2025, our board of directors newly authorized the purchase of up to an additional $1 billion of our common stock. This new program</w:t>
      </w:r>
      <w:r>
        <w:rPr>
          <w:rFonts w:ascii="Arial" w:cs="Arial" w:eastAsia="Arial" w:hAnsi="Arial"/>
          <w:sz w:val="15"/>
          <w:szCs w:val="15"/>
          <w:i w:val="1"/>
          <w:iCs w:val="1"/>
          <w:color w:val="auto"/>
        </w:rPr>
        <w:t xml:space="preserve"> </w:t>
      </w:r>
      <w:r>
        <w:rPr>
          <w:rFonts w:ascii="Arial" w:cs="Arial" w:eastAsia="Arial" w:hAnsi="Arial"/>
          <w:sz w:val="15"/>
          <w:szCs w:val="15"/>
          <w:color w:val="auto"/>
        </w:rPr>
        <w:t>extends through December 31, 2026. In consultation with the Finance Committee of the Board, the exact timing and amount of any share repurchases shall be determined by management based on market conditions and share price, in addition to other factors, and repurchases generally will be made in accordance with the volume, price, and timing parameters under Rule 10b-18 of the Securities Exchange Act of 1934, as amended. As of April 23, 2025, $1 billion remained available to purchase our common stock under this program through December 31, 2026.</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i w:val="1"/>
          <w:iCs w:val="1"/>
          <w:color w:val="auto"/>
        </w:rPr>
        <w:t xml:space="preserve">Acquisitions. </w:t>
      </w:r>
      <w:r>
        <w:rPr>
          <w:rFonts w:ascii="Arial" w:cs="Arial" w:eastAsia="Arial" w:hAnsi="Arial"/>
          <w:sz w:val="15"/>
          <w:szCs w:val="15"/>
          <w:color w:val="auto"/>
        </w:rPr>
        <w:t>We have a disciplined and steady approach to growth. Organic growth, which includes leveraging our existing health plan portfolio and winning new territories, is</w:t>
      </w:r>
      <w:r>
        <w:rPr>
          <w:rFonts w:ascii="Arial" w:cs="Arial" w:eastAsia="Arial" w:hAnsi="Arial"/>
          <w:sz w:val="15"/>
          <w:szCs w:val="15"/>
          <w:i w:val="1"/>
          <w:iCs w:val="1"/>
          <w:color w:val="auto"/>
        </w:rPr>
        <w:t xml:space="preserve"> </w:t>
      </w:r>
      <w:r>
        <w:rPr>
          <w:rFonts w:ascii="Arial" w:cs="Arial" w:eastAsia="Arial" w:hAnsi="Arial"/>
          <w:sz w:val="15"/>
          <w:szCs w:val="15"/>
          <w:color w:val="auto"/>
        </w:rPr>
        <w:t>our highest priority. In addition to organic growth, we will consider targeted acquisitions that are a strategic fit that we believe will leverage operational synergies, and lead to incremental earnings accretion.</w:t>
      </w:r>
    </w:p>
    <w:p>
      <w:pPr>
        <w:spacing w:after="0" w:line="60"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Regulatory Capital Requirements and Dividend Restrictions. </w:t>
      </w:r>
      <w:r>
        <w:rPr>
          <w:rFonts w:ascii="Arial" w:cs="Arial" w:eastAsia="Arial" w:hAnsi="Arial"/>
          <w:sz w:val="15"/>
          <w:szCs w:val="15"/>
          <w:color w:val="auto"/>
        </w:rPr>
        <w:t>We have the ability, and have committed to provide, additional capital to each of our health plans as necessary to</w:t>
      </w:r>
      <w:r>
        <w:rPr>
          <w:rFonts w:ascii="Arial" w:cs="Arial" w:eastAsia="Arial" w:hAnsi="Arial"/>
          <w:sz w:val="15"/>
          <w:szCs w:val="15"/>
          <w:i w:val="1"/>
          <w:iCs w:val="1"/>
          <w:color w:val="auto"/>
        </w:rPr>
        <w:t xml:space="preserve"> </w:t>
      </w:r>
      <w:r>
        <w:rPr>
          <w:rFonts w:ascii="Arial" w:cs="Arial" w:eastAsia="Arial" w:hAnsi="Arial"/>
          <w:sz w:val="15"/>
          <w:szCs w:val="15"/>
          <w:color w:val="auto"/>
        </w:rPr>
        <w:t>ensure compliance with minimum statutory capital requirements.</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CONTRACTUAL OBLIGATIONS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 summary of future obligations under our various contractual obligations and commitments as of December 31, 2024 was disclosed in our 2024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There were no significant changes to our contractual obligations and commitments outside the ordinary course of business during the three months ended March 31, 2025.</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CRITICAL ACCOUNTING ESTIMATES</w:t>
      </w:r>
    </w:p>
    <w:p>
      <w:pPr>
        <w:spacing w:after="0" w:line="97"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49" w:lineRule="exact"/>
        <w:rPr>
          <w:sz w:val="20"/>
          <w:szCs w:val="20"/>
          <w:color w:val="auto"/>
        </w:rPr>
      </w:pPr>
    </w:p>
    <w:p>
      <w:pPr>
        <w:ind w:left="540" w:right="120" w:hanging="270"/>
        <w:spacing w:after="0" w:line="276" w:lineRule="auto"/>
        <w:tabs>
          <w:tab w:leader="none" w:pos="53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Medical costs, claims and benefits payable</w:t>
      </w:r>
      <w:r>
        <w:rPr>
          <w:rFonts w:ascii="Arial" w:cs="Arial" w:eastAsia="Arial" w:hAnsi="Arial"/>
          <w:sz w:val="14"/>
          <w:szCs w:val="14"/>
          <w:color w:val="auto"/>
        </w:rPr>
        <w:t>. Refer to Notes to Consolidated Financial Statements, Note 7, “Medical Claims and Benefits Payable,” for a table that</w:t>
      </w:r>
      <w:r>
        <w:rPr>
          <w:rFonts w:ascii="Arial" w:cs="Arial" w:eastAsia="Arial" w:hAnsi="Arial"/>
          <w:sz w:val="14"/>
          <w:szCs w:val="14"/>
          <w:i w:val="1"/>
          <w:iCs w:val="1"/>
          <w:color w:val="auto"/>
        </w:rPr>
        <w:t xml:space="preserve"> </w:t>
      </w:r>
      <w:r>
        <w:rPr>
          <w:rFonts w:ascii="Arial" w:cs="Arial" w:eastAsia="Arial" w:hAnsi="Arial"/>
          <w:sz w:val="14"/>
          <w:szCs w:val="14"/>
          <w:color w:val="auto"/>
        </w:rPr>
        <w:t>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three months ended March 31, 2025 there were no significant changes to our disclosure reported in “Critical Accounting Estimates” in our 2024 Annual Report on Form 10-K.</w:t>
      </w:r>
    </w:p>
    <w:p>
      <w:pPr>
        <w:spacing w:after="0" w:line="46" w:lineRule="exact"/>
        <w:rPr>
          <w:rFonts w:ascii="Arial" w:cs="Arial" w:eastAsia="Arial" w:hAnsi="Arial"/>
          <w:sz w:val="14"/>
          <w:szCs w:val="14"/>
          <w:i w:val="1"/>
          <w:iCs w:val="1"/>
          <w:color w:val="auto"/>
        </w:rPr>
      </w:pPr>
    </w:p>
    <w:p>
      <w:pPr>
        <w:ind w:left="540" w:right="720" w:hanging="270"/>
        <w:spacing w:after="0" w:line="270" w:lineRule="auto"/>
        <w:tabs>
          <w:tab w:leader="none" w:pos="536"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Premium Revenue Recognition and Amounts Due Government Agencies: Risk Adjustment</w:t>
      </w:r>
      <w:r>
        <w:rPr>
          <w:rFonts w:ascii="Arial" w:cs="Arial" w:eastAsia="Arial" w:hAnsi="Arial"/>
          <w:sz w:val="15"/>
          <w:szCs w:val="15"/>
          <w:color w:val="auto"/>
        </w:rPr>
        <w:t>. For a discussion of this topic, including amounts recorded in our</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financial statements, refer to Notes to Consolidated Financial Statements, Note 2, “Significant Accounting Policies.”</w:t>
      </w:r>
    </w:p>
    <w:p>
      <w:pPr>
        <w:spacing w:after="0" w:line="49" w:lineRule="exact"/>
        <w:rPr>
          <w:rFonts w:ascii="Arial" w:cs="Arial" w:eastAsia="Arial" w:hAnsi="Arial"/>
          <w:sz w:val="15"/>
          <w:szCs w:val="15"/>
          <w:color w:val="auto"/>
        </w:rPr>
      </w:pPr>
    </w:p>
    <w:p>
      <w:pPr>
        <w:jc w:val="both"/>
        <w:ind w:left="540" w:right="180" w:hanging="270"/>
        <w:spacing w:after="0" w:line="283" w:lineRule="auto"/>
        <w:tabs>
          <w:tab w:leader="none" w:pos="53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Business Combinations, and Goodwill and intangible assets, net. </w:t>
      </w:r>
      <w:r>
        <w:rPr>
          <w:rFonts w:ascii="Arial" w:cs="Arial" w:eastAsia="Arial" w:hAnsi="Arial"/>
          <w:sz w:val="14"/>
          <w:szCs w:val="14"/>
          <w:color w:val="auto"/>
        </w:rPr>
        <w:t>For a discussion of this topic, including amounts recorded in our consolidated financial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refer to Notes to Consolidated Financial Statements, Note 4, “Business Combinations.” Other than the discussion as noted above, in the three months ended March 31, 2025, there were no significant changes to our disclosure reported in “Critical Accounting Estimates” in our 2024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QUANTITATIVE AND QUALITATIVE DISCLOSURES ABOUT MARKET RISK</w:t>
      </w:r>
    </w:p>
    <w:p>
      <w:pPr>
        <w:spacing w:after="0" w:line="108" w:lineRule="exact"/>
        <w:rPr>
          <w:sz w:val="20"/>
          <w:szCs w:val="20"/>
          <w:color w:val="auto"/>
        </w:rPr>
      </w:pPr>
    </w:p>
    <w:p>
      <w:pPr>
        <w:ind w:right="500"/>
        <w:spacing w:after="0" w:line="270" w:lineRule="auto"/>
        <w:rPr>
          <w:sz w:val="20"/>
          <w:szCs w:val="20"/>
          <w:color w:val="auto"/>
        </w:rPr>
      </w:pPr>
      <w:r>
        <w:rPr>
          <w:rFonts w:ascii="Arial" w:cs="Arial" w:eastAsia="Arial" w:hAnsi="Arial"/>
          <w:sz w:val="15"/>
          <w:szCs w:val="15"/>
          <w:color w:val="auto"/>
        </w:rPr>
        <w:t>Our earnings and financial position are exposed to financial market risk relating to changes in interest rates, and the resulting impact on investment income and interest expense.</w:t>
      </w:r>
    </w:p>
    <w:p>
      <w:pPr>
        <w:spacing w:after="0" w:line="49" w:lineRule="exact"/>
        <w:rPr>
          <w:sz w:val="20"/>
          <w:szCs w:val="20"/>
          <w:color w:val="auto"/>
        </w:rPr>
      </w:pPr>
    </w:p>
    <w:p>
      <w:pPr>
        <w:ind w:right="340"/>
        <w:spacing w:after="0" w:line="256" w:lineRule="auto"/>
        <w:rPr>
          <w:sz w:val="20"/>
          <w:szCs w:val="20"/>
          <w:color w:val="auto"/>
        </w:rPr>
      </w:pPr>
      <w:r>
        <w:rPr>
          <w:rFonts w:ascii="Arial" w:cs="Arial" w:eastAsia="Arial" w:hAnsi="Arial"/>
          <w:sz w:val="15"/>
          <w:szCs w:val="15"/>
          <w:color w:val="auto"/>
        </w:rPr>
        <w:t>Substantially all of our investments and restricted investments are subject to interest rate risk and will decrease in value if market interest rates increase. Assuming a hypothetical and immediate 1% increase in market interest rates at March 31, 2025, the fair value of our fixed income investments would decrease by approximately $120 million. Declines in interest rates over time will reduce our investment income.</w:t>
      </w:r>
    </w:p>
    <w:p>
      <w:pPr>
        <w:spacing w:after="0" w:line="60" w:lineRule="exact"/>
        <w:rPr>
          <w:sz w:val="20"/>
          <w:szCs w:val="20"/>
          <w:color w:val="auto"/>
        </w:rPr>
      </w:pPr>
    </w:p>
    <w:p>
      <w:pPr>
        <w:ind w:right="980"/>
        <w:spacing w:after="0" w:line="270" w:lineRule="auto"/>
        <w:rPr>
          <w:sz w:val="20"/>
          <w:szCs w:val="20"/>
          <w:color w:val="auto"/>
        </w:rPr>
      </w:pPr>
      <w:r>
        <w:rPr>
          <w:rFonts w:ascii="Arial" w:cs="Arial" w:eastAsia="Arial" w:hAnsi="Arial"/>
          <w:sz w:val="15"/>
          <w:szCs w:val="15"/>
          <w:color w:val="auto"/>
        </w:rPr>
        <w:t>For further information on fair value measurements and our investment portfolio, please refer to Notes to Consolidated Financial Statements, Note 5, “Fair Value Measurements,” and Note 6, “Investments.”</w:t>
      </w:r>
    </w:p>
    <w:p>
      <w:pPr>
        <w:spacing w:after="0" w:line="49" w:lineRule="exact"/>
        <w:rPr>
          <w:sz w:val="20"/>
          <w:szCs w:val="20"/>
          <w:color w:val="auto"/>
        </w:rPr>
      </w:pPr>
    </w:p>
    <w:p>
      <w:pPr>
        <w:ind w:right="400"/>
        <w:spacing w:after="0" w:line="306" w:lineRule="auto"/>
        <w:rPr>
          <w:sz w:val="20"/>
          <w:szCs w:val="20"/>
          <w:color w:val="auto"/>
        </w:rPr>
      </w:pPr>
      <w:r>
        <w:rPr>
          <w:rFonts w:ascii="Arial" w:cs="Arial" w:eastAsia="Arial" w:hAnsi="Arial"/>
          <w:sz w:val="14"/>
          <w:szCs w:val="14"/>
          <w:color w:val="auto"/>
        </w:rPr>
        <w:t>Borrowings under the Amended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8, “Debt.”</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CONTROLS AND PROCEDURES</w:t>
      </w:r>
    </w:p>
    <w:p>
      <w:pPr>
        <w:spacing w:after="0" w:line="97" w:lineRule="exact"/>
        <w:rPr>
          <w:sz w:val="20"/>
          <w:szCs w:val="20"/>
          <w:color w:val="auto"/>
        </w:rPr>
      </w:pPr>
    </w:p>
    <w:p>
      <w:pPr>
        <w:jc w:val="both"/>
        <w:ind w:right="60"/>
        <w:spacing w:after="0" w:line="252" w:lineRule="auto"/>
        <w:rPr>
          <w:sz w:val="20"/>
          <w:szCs w:val="20"/>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Our management, with the participation of our chief executive officer and our chief financial officer, evaluated, as of the end</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March 31, 2025, our disclosure controls and procedures were effective at the reasonable assurance level.</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There were no changes in our internal control over financial reporting during the quarter ended March 31, 2025, that</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materially affected, or are reasonably likely to materially affect, our internal controls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For information regarding legal proceedings, see Notes to Consolidated Financial Statements, Note 11, “Commitments and Contingencies.”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RISK FACTORS</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2024 Annual Report on Form 10-K.</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828282"/>
        </w:rPr>
        <w:t>ISSUER PURCHASES OF EQUITY SECURITIES</w:t>
      </w:r>
    </w:p>
    <w:p>
      <w:pPr>
        <w:spacing w:after="0" w:line="90"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Purchases of common stock made by us, or on our behalf, during the first quarter of 2025, including shares withheld by us to satisfy our employees’ income tax obligations, are set forth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Purchased as Part of</w:t>
            </w:r>
          </w:p>
        </w:tc>
        <w:tc>
          <w:tcPr>
            <w:tcW w:w="100" w:type="dxa"/>
            <w:vAlign w:val="bottom"/>
          </w:tcPr>
          <w:p>
            <w:pPr>
              <w:spacing w:after="0"/>
              <w:rPr>
                <w:sz w:val="11"/>
                <w:szCs w:val="11"/>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Approximate Dollar Value</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Total 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Publicly</w:t>
            </w: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Average Price Paid per</w:t>
            </w:r>
          </w:p>
        </w:tc>
        <w:tc>
          <w:tcPr>
            <w:tcW w:w="15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Announced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ind w:right="54"/>
              <w:spacing w:after="0" w:line="131" w:lineRule="exact"/>
              <w:rPr>
                <w:sz w:val="20"/>
                <w:szCs w:val="20"/>
                <w:color w:val="auto"/>
              </w:rPr>
            </w:pPr>
            <w:r>
              <w:rPr>
                <w:rFonts w:ascii="Arial" w:cs="Arial" w:eastAsia="Arial" w:hAnsi="Arial"/>
                <w:sz w:val="13"/>
                <w:szCs w:val="13"/>
                <w:b w:val="1"/>
                <w:bCs w:val="1"/>
                <w:color w:val="auto"/>
              </w:rPr>
              <w:t>of Shares that May Yet</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of Shares</w:t>
            </w:r>
          </w:p>
        </w:tc>
        <w:tc>
          <w:tcPr>
            <w:tcW w:w="1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Plans or</w:t>
            </w:r>
          </w:p>
        </w:tc>
        <w:tc>
          <w:tcPr>
            <w:tcW w:w="100" w:type="dxa"/>
            <w:vAlign w:val="bottom"/>
          </w:tcPr>
          <w:p>
            <w:pPr>
              <w:spacing w:after="0"/>
              <w:rPr>
                <w:sz w:val="11"/>
                <w:szCs w:val="11"/>
                <w:color w:val="auto"/>
              </w:rPr>
            </w:pPr>
          </w:p>
        </w:tc>
        <w:tc>
          <w:tcPr>
            <w:tcW w:w="16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rPr>
              <w:t>Be Purchased Under the</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7"/>
              </w:rPr>
              <w:t xml:space="preserve">Purchased </w:t>
            </w:r>
            <w:r>
              <w:rPr>
                <w:rFonts w:ascii="Arial" w:cs="Arial" w:eastAsia="Arial" w:hAnsi="Arial"/>
                <w:sz w:val="17"/>
                <w:szCs w:val="17"/>
                <w:b w:val="1"/>
                <w:bCs w:val="1"/>
                <w:color w:val="auto"/>
                <w:w w:val="97"/>
                <w:vertAlign w:val="superscript"/>
              </w:rPr>
              <w:t>(1)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Share</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Programs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97"/>
              </w:rPr>
              <w:t xml:space="preserve">Plans or Programs </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66"/>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1 - January 31</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291.05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74"/>
        </w:trPr>
        <w:tc>
          <w:tcPr>
            <w:tcW w:w="4880" w:type="dxa"/>
            <w:vAlign w:val="bottom"/>
          </w:tcPr>
          <w:p>
            <w:pPr>
              <w:ind w:left="20"/>
              <w:spacing w:after="0"/>
              <w:rPr>
                <w:sz w:val="20"/>
                <w:szCs w:val="20"/>
                <w:color w:val="auto"/>
              </w:rPr>
            </w:pPr>
            <w:r>
              <w:rPr>
                <w:rFonts w:ascii="Arial" w:cs="Arial" w:eastAsia="Arial" w:hAnsi="Arial"/>
                <w:sz w:val="13"/>
                <w:szCs w:val="13"/>
                <w:color w:val="auto"/>
              </w:rPr>
              <w:t>February 1 - February 28</w:t>
            </w:r>
          </w:p>
        </w:tc>
        <w:tc>
          <w:tcPr>
            <w:tcW w:w="1440" w:type="dxa"/>
            <w:vAlign w:val="bottom"/>
          </w:tcPr>
          <w:p>
            <w:pPr>
              <w:jc w:val="right"/>
              <w:spacing w:after="0"/>
              <w:rPr>
                <w:sz w:val="20"/>
                <w:szCs w:val="20"/>
                <w:color w:val="auto"/>
              </w:rPr>
            </w:pPr>
            <w:r>
              <w:rPr>
                <w:rFonts w:ascii="Arial" w:cs="Arial" w:eastAsia="Arial" w:hAnsi="Arial"/>
                <w:sz w:val="13"/>
                <w:szCs w:val="13"/>
                <w:color w:val="auto"/>
              </w:rPr>
              <w:t>942,000</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286.30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942,000</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230,000,000</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March 1 - March 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855,000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310.99</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880" w:type="dxa"/>
            <w:vAlign w:val="bottom"/>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1,798,000</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298.04</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1,679,000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w:t>
      </w:r>
    </w:p>
    <w:p>
      <w:pPr>
        <w:spacing w:after="0" w:line="19" w:lineRule="exact"/>
        <w:rPr>
          <w:sz w:val="20"/>
          <w:szCs w:val="20"/>
          <w:color w:val="auto"/>
        </w:rPr>
      </w:pPr>
    </w:p>
    <w:p>
      <w:pPr>
        <w:ind w:left="260" w:right="500" w:hanging="253"/>
        <w:spacing w:after="0" w:line="249" w:lineRule="auto"/>
        <w:tabs>
          <w:tab w:leader="none" w:pos="256" w:val="left"/>
        </w:tabs>
        <w:numPr>
          <w:ilvl w:val="0"/>
          <w:numId w:val="14"/>
        </w:numPr>
        <w:rPr>
          <w:rFonts w:ascii="Arial" w:cs="Arial" w:eastAsia="Arial" w:hAnsi="Arial"/>
          <w:sz w:val="13"/>
          <w:szCs w:val="13"/>
          <w:color w:val="auto"/>
        </w:rPr>
      </w:pPr>
      <w:r>
        <w:rPr>
          <w:rFonts w:ascii="Arial" w:cs="Arial" w:eastAsia="Arial" w:hAnsi="Arial"/>
          <w:sz w:val="13"/>
          <w:szCs w:val="13"/>
          <w:color w:val="auto"/>
        </w:rPr>
        <w:t>During the first quarter of 2025, there were approximately 1,679,000 shares repurchased as part of our publicly announced share repurchase program and we withheld approximately 119,000 shares of common stock to settle employee income tax obligations for releases of awards granted under the Molina Healthcare, Inc. 2019 Equity Incentive Plan. For further information refer to Notes to Consolidated Financial Statements, Note 9, “Stockholders' Equity.”</w:t>
      </w:r>
    </w:p>
    <w:p>
      <w:pPr>
        <w:spacing w:after="0" w:line="1" w:lineRule="exact"/>
        <w:rPr>
          <w:rFonts w:ascii="Arial" w:cs="Arial" w:eastAsia="Arial" w:hAnsi="Arial"/>
          <w:sz w:val="13"/>
          <w:szCs w:val="13"/>
          <w:color w:val="auto"/>
        </w:rPr>
      </w:pPr>
    </w:p>
    <w:p>
      <w:pPr>
        <w:ind w:left="260" w:hanging="253"/>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further information on our stock repurchase programs, refer to Notes to Consolidated Financial Statements, Note 9, “Stockholders' Equity.”</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OTHER INFORMATION</w:t>
      </w:r>
    </w:p>
    <w:p>
      <w:pPr>
        <w:spacing w:after="0" w:line="86"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None.</w:t>
      </w:r>
    </w:p>
    <w:p>
      <w:pPr>
        <w:spacing w:after="0" w:line="89" w:lineRule="exact"/>
        <w:rPr>
          <w:rFonts w:ascii="Arial" w:cs="Arial" w:eastAsia="Arial" w:hAnsi="Arial"/>
          <w:sz w:val="15"/>
          <w:szCs w:val="15"/>
          <w:color w:val="auto"/>
        </w:rPr>
      </w:pPr>
    </w:p>
    <w:p>
      <w:pPr>
        <w:ind w:left="340" w:hanging="333"/>
        <w:spacing w:after="0"/>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None.</w:t>
      </w:r>
    </w:p>
    <w:p>
      <w:pPr>
        <w:spacing w:after="0" w:line="89" w:lineRule="exact"/>
        <w:rPr>
          <w:rFonts w:ascii="Arial" w:cs="Arial" w:eastAsia="Arial" w:hAnsi="Arial"/>
          <w:sz w:val="15"/>
          <w:szCs w:val="15"/>
          <w:color w:val="auto"/>
        </w:rPr>
      </w:pPr>
    </w:p>
    <w:p>
      <w:pPr>
        <w:ind w:left="260" w:right="20" w:hanging="253"/>
        <w:spacing w:after="0" w:line="256" w:lineRule="auto"/>
        <w:tabs>
          <w:tab w:leader="none" w:pos="33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INDEX TO EXHIBITS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Exhibit No.</w:t>
            </w:r>
          </w:p>
        </w:tc>
        <w:tc>
          <w:tcPr>
            <w:tcW w:w="100" w:type="dxa"/>
            <w:vAlign w:val="bottom"/>
          </w:tcPr>
          <w:p>
            <w:pPr>
              <w:spacing w:after="0"/>
              <w:rPr>
                <w:sz w:val="13"/>
                <w:szCs w:val="13"/>
                <w:color w:val="auto"/>
              </w:rPr>
            </w:pPr>
          </w:p>
        </w:tc>
        <w:tc>
          <w:tcPr>
            <w:tcW w:w="5580" w:type="dxa"/>
            <w:vAlign w:val="bottom"/>
            <w:tcBorders>
              <w:bottom w:val="single" w:sz="8" w:color="auto"/>
            </w:tcBorders>
            <w:gridSpan w:val="11"/>
          </w:tcPr>
          <w:p>
            <w:pPr>
              <w:spacing w:after="0"/>
              <w:rPr>
                <w:sz w:val="20"/>
                <w:szCs w:val="20"/>
                <w:color w:val="auto"/>
              </w:rPr>
            </w:pPr>
            <w:r>
              <w:rPr>
                <w:rFonts w:ascii="Arial" w:cs="Arial" w:eastAsia="Arial" w:hAnsi="Arial"/>
                <w:sz w:val="12"/>
                <w:szCs w:val="12"/>
                <w:color w:val="auto"/>
              </w:rPr>
              <w:t>Title</w:t>
            </w:r>
          </w:p>
        </w:tc>
        <w:tc>
          <w:tcPr>
            <w:tcW w:w="100" w:type="dxa"/>
            <w:vAlign w:val="bottom"/>
          </w:tcPr>
          <w:p>
            <w:pPr>
              <w:spacing w:after="0"/>
              <w:rPr>
                <w:sz w:val="13"/>
                <w:szCs w:val="13"/>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Method of Filing</w:t>
            </w:r>
          </w:p>
        </w:tc>
      </w:tr>
      <w:tr>
        <w:trPr>
          <w:trHeight w:val="137"/>
        </w:trPr>
        <w:tc>
          <w:tcPr>
            <w:tcW w:w="1040" w:type="dxa"/>
            <w:vAlign w:val="bottom"/>
          </w:tcPr>
          <w:p>
            <w:pPr>
              <w:ind w:left="20"/>
              <w:spacing w:after="0" w:line="137"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1"/>
                <w:szCs w:val="11"/>
                <w:color w:val="auto"/>
              </w:rPr>
            </w:pPr>
          </w:p>
        </w:tc>
        <w:tc>
          <w:tcPr>
            <w:tcW w:w="5680" w:type="dxa"/>
            <w:vAlign w:val="bottom"/>
            <w:gridSpan w:val="12"/>
          </w:tcPr>
          <w:p>
            <w:pPr>
              <w:spacing w:after="0" w:line="137" w:lineRule="exact"/>
              <w:rPr>
                <w:sz w:val="20"/>
                <w:szCs w:val="20"/>
                <w:color w:val="auto"/>
              </w:rPr>
            </w:pPr>
            <w:r>
              <w:rPr>
                <w:rFonts w:ascii="Arial" w:cs="Arial" w:eastAsia="Arial" w:hAnsi="Arial"/>
                <w:sz w:val="13"/>
                <w:szCs w:val="13"/>
                <w:color w:val="0F7C7F"/>
              </w:rPr>
              <w:t>Molina Healthcare, Inc. 2019 Equity Incentive Plan (As Amended 2025)</w:t>
            </w:r>
          </w:p>
        </w:tc>
        <w:tc>
          <w:tcPr>
            <w:tcW w:w="4460" w:type="dxa"/>
            <w:vAlign w:val="bottom"/>
          </w:tcPr>
          <w:p>
            <w:pPr>
              <w:ind w:left="20"/>
              <w:spacing w:after="0" w:line="137" w:lineRule="exact"/>
              <w:rPr>
                <w:sz w:val="20"/>
                <w:szCs w:val="20"/>
                <w:color w:val="auto"/>
              </w:rPr>
            </w:pPr>
            <w:r>
              <w:rPr>
                <w:rFonts w:ascii="Arial" w:cs="Arial" w:eastAsia="Arial" w:hAnsi="Arial"/>
                <w:sz w:val="13"/>
                <w:szCs w:val="13"/>
                <w:color w:val="auto"/>
              </w:rPr>
              <w:t>Filed herewith.</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F7C7F"/>
          </w:tcPr>
          <w:p>
            <w:pPr>
              <w:spacing w:after="0" w:line="20" w:lineRule="exact"/>
              <w:rPr>
                <w:sz w:val="1"/>
                <w:szCs w:val="1"/>
                <w:color w:val="auto"/>
              </w:rPr>
            </w:pPr>
          </w:p>
        </w:tc>
        <w:tc>
          <w:tcPr>
            <w:tcW w:w="1620" w:type="dxa"/>
            <w:vAlign w:val="bottom"/>
            <w:shd w:val="clear" w:color="auto" w:fill="0F7C7F"/>
          </w:tcPr>
          <w:p>
            <w:pPr>
              <w:spacing w:after="0" w:line="20" w:lineRule="exact"/>
              <w:rPr>
                <w:sz w:val="1"/>
                <w:szCs w:val="1"/>
                <w:color w:val="auto"/>
              </w:rPr>
            </w:pPr>
          </w:p>
        </w:tc>
        <w:tc>
          <w:tcPr>
            <w:tcW w:w="20" w:type="dxa"/>
            <w:vAlign w:val="bottom"/>
            <w:shd w:val="clear" w:color="auto" w:fill="0F7C7F"/>
          </w:tcPr>
          <w:p>
            <w:pPr>
              <w:spacing w:after="0" w:line="20" w:lineRule="exact"/>
              <w:rPr>
                <w:sz w:val="1"/>
                <w:szCs w:val="1"/>
                <w:color w:val="auto"/>
              </w:rPr>
            </w:pPr>
          </w:p>
        </w:tc>
        <w:tc>
          <w:tcPr>
            <w:tcW w:w="20" w:type="dxa"/>
            <w:vAlign w:val="bottom"/>
            <w:shd w:val="clear" w:color="auto" w:fill="0F7C7F"/>
          </w:tcPr>
          <w:p>
            <w:pPr>
              <w:spacing w:after="0" w:line="20" w:lineRule="exact"/>
              <w:rPr>
                <w:sz w:val="1"/>
                <w:szCs w:val="1"/>
                <w:color w:val="auto"/>
              </w:rPr>
            </w:pPr>
          </w:p>
        </w:tc>
        <w:tc>
          <w:tcPr>
            <w:tcW w:w="540" w:type="dxa"/>
            <w:vAlign w:val="bottom"/>
            <w:shd w:val="clear" w:color="auto" w:fill="0F7C7F"/>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55"/>
        </w:trPr>
        <w:tc>
          <w:tcPr>
            <w:tcW w:w="1040" w:type="dxa"/>
            <w:vAlign w:val="bottom"/>
          </w:tcPr>
          <w:p>
            <w:pPr>
              <w:ind w:left="20"/>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5220" w:type="dxa"/>
            <w:vAlign w:val="bottom"/>
            <w:tcBorders>
              <w:bottom w:val="single" w:sz="8" w:color="0F7C7F"/>
            </w:tcBorders>
            <w:gridSpan w:val="8"/>
          </w:tcPr>
          <w:p>
            <w:pPr>
              <w:spacing w:after="0"/>
              <w:rPr>
                <w:rFonts w:ascii="Arial" w:cs="Arial" w:eastAsia="Arial" w:hAnsi="Arial"/>
                <w:sz w:val="13"/>
                <w:szCs w:val="13"/>
                <w:color w:val="0F7C7F"/>
              </w:rPr>
            </w:pPr>
            <w:hyperlink r:id="rId54">
              <w:r>
                <w:rPr>
                  <w:rFonts w:ascii="Arial" w:cs="Arial" w:eastAsia="Arial" w:hAnsi="Arial"/>
                  <w:sz w:val="13"/>
                  <w:szCs w:val="13"/>
                  <w:color w:val="0F7C7F"/>
                </w:rPr>
                <w:t>Third Amendment to Credit Agreement, dated as of February 19, 2025, by and among the</w:t>
              </w:r>
            </w:hyperlink>
          </w:p>
        </w:tc>
        <w:tc>
          <w:tcPr>
            <w:tcW w:w="460" w:type="dxa"/>
            <w:vAlign w:val="bottom"/>
            <w:gridSpan w:val="4"/>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10.1 to registrant’s Form 8-K filed February 21, 2025</w:t>
            </w:r>
          </w:p>
        </w:tc>
      </w:tr>
      <w:tr>
        <w:trPr>
          <w:trHeight w:val="111"/>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80" w:type="dxa"/>
            <w:vAlign w:val="bottom"/>
            <w:gridSpan w:val="12"/>
          </w:tcPr>
          <w:p>
            <w:pPr>
              <w:spacing w:after="0" w:line="111" w:lineRule="exact"/>
              <w:rPr>
                <w:rFonts w:ascii="Arial" w:cs="Arial" w:eastAsia="Arial" w:hAnsi="Arial"/>
                <w:sz w:val="12"/>
                <w:szCs w:val="12"/>
                <w:color w:val="0F7C7F"/>
              </w:rPr>
            </w:pPr>
            <w:hyperlink r:id="rId54">
              <w:r>
                <w:rPr>
                  <w:rFonts w:ascii="Arial" w:cs="Arial" w:eastAsia="Arial" w:hAnsi="Arial"/>
                  <w:sz w:val="12"/>
                  <w:szCs w:val="12"/>
                  <w:color w:val="0F7C7F"/>
                </w:rPr>
                <w:t>Company, the Lenders party thereto and Truist Bank, as Administrative Agent, Issuing Bank</w:t>
              </w:r>
            </w:hyperlink>
          </w:p>
        </w:tc>
        <w:tc>
          <w:tcPr>
            <w:tcW w:w="4460" w:type="dxa"/>
            <w:vAlign w:val="bottom"/>
          </w:tcPr>
          <w:p>
            <w:pPr>
              <w:spacing w:after="0"/>
              <w:rPr>
                <w:sz w:val="9"/>
                <w:szCs w:val="9"/>
                <w:color w:val="auto"/>
              </w:rPr>
            </w:pPr>
          </w:p>
        </w:tc>
      </w:tr>
      <w:tr>
        <w:trPr>
          <w:trHeight w:val="111"/>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top w:val="single" w:sz="8" w:color="0F7C7F"/>
              <w:bottom w:val="single" w:sz="8" w:color="0F7C7F"/>
            </w:tcBorders>
          </w:tcPr>
          <w:p>
            <w:pPr>
              <w:spacing w:after="0" w:line="111" w:lineRule="exact"/>
              <w:rPr>
                <w:rFonts w:ascii="Arial" w:cs="Arial" w:eastAsia="Arial" w:hAnsi="Arial"/>
                <w:sz w:val="12"/>
                <w:szCs w:val="12"/>
                <w:color w:val="0F7C7F"/>
              </w:rPr>
            </w:pPr>
            <w:hyperlink r:id="rId54">
              <w:r>
                <w:rPr>
                  <w:rFonts w:ascii="Arial" w:cs="Arial" w:eastAsia="Arial" w:hAnsi="Arial"/>
                  <w:sz w:val="12"/>
                  <w:szCs w:val="12"/>
                  <w:color w:val="0F7C7F"/>
                </w:rPr>
                <w:t>and Swingline Lender</w:t>
              </w:r>
            </w:hyperlink>
          </w:p>
        </w:tc>
        <w:tc>
          <w:tcPr>
            <w:tcW w:w="4040" w:type="dxa"/>
            <w:vAlign w:val="bottom"/>
            <w:tcBorders>
              <w:top w:val="single" w:sz="8" w:color="0F7C7F"/>
            </w:tcBorders>
            <w:gridSpan w:val="8"/>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155"/>
        </w:trPr>
        <w:tc>
          <w:tcPr>
            <w:tcW w:w="1040" w:type="dxa"/>
            <w:vAlign w:val="bottom"/>
          </w:tcPr>
          <w:p>
            <w:pPr>
              <w:ind w:left="20"/>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3"/>
                <w:szCs w:val="13"/>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0F7C7F"/>
              </w:rPr>
              <w:t>Section 302 Certification of Chief Executive Officer</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5"/>
        </w:trPr>
        <w:tc>
          <w:tcPr>
            <w:tcW w:w="1040" w:type="dxa"/>
            <w:vAlign w:val="bottom"/>
          </w:tcPr>
          <w:p>
            <w:pPr>
              <w:ind w:left="20"/>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3"/>
                <w:szCs w:val="13"/>
                <w:color w:val="auto"/>
              </w:rPr>
            </w:pPr>
          </w:p>
        </w:tc>
        <w:tc>
          <w:tcPr>
            <w:tcW w:w="2940" w:type="dxa"/>
            <w:vAlign w:val="bottom"/>
            <w:tcBorders>
              <w:top w:val="single" w:sz="8" w:color="0F7C7F"/>
            </w:tcBorders>
            <w:gridSpan w:val="4"/>
          </w:tcPr>
          <w:p>
            <w:pPr>
              <w:spacing w:after="0"/>
              <w:rPr>
                <w:sz w:val="20"/>
                <w:szCs w:val="20"/>
                <w:color w:val="auto"/>
              </w:rPr>
            </w:pPr>
            <w:r>
              <w:rPr>
                <w:rFonts w:ascii="Arial" w:cs="Arial" w:eastAsia="Arial" w:hAnsi="Arial"/>
                <w:sz w:val="13"/>
                <w:szCs w:val="13"/>
                <w:color w:val="0F7C7F"/>
              </w:rPr>
              <w:t>Section 302 Certification of Chief Financial Officer</w:t>
            </w:r>
          </w:p>
        </w:tc>
        <w:tc>
          <w:tcPr>
            <w:tcW w:w="2740" w:type="dxa"/>
            <w:vAlign w:val="bottom"/>
            <w:gridSpan w:val="8"/>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55"/>
        </w:trPr>
        <w:tc>
          <w:tcPr>
            <w:tcW w:w="1040" w:type="dxa"/>
            <w:vAlign w:val="bottom"/>
          </w:tcPr>
          <w:p>
            <w:pPr>
              <w:ind w:left="20"/>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3"/>
                <w:szCs w:val="13"/>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0F7C7F"/>
              </w:rPr>
              <w:t>Certification of Chief Executive Officer pursuant to 18 U.S.C. Section 1350, as adopted</w:t>
            </w:r>
          </w:p>
        </w:tc>
        <w:tc>
          <w:tcPr>
            <w:tcW w:w="4460" w:type="dxa"/>
            <w:vAlign w:val="bottom"/>
          </w:tcPr>
          <w:p>
            <w:pPr>
              <w:ind w:left="20"/>
              <w:spacing w:after="0"/>
              <w:rPr>
                <w:sz w:val="20"/>
                <w:szCs w:val="20"/>
                <w:color w:val="auto"/>
              </w:rPr>
            </w:pPr>
            <w:r>
              <w:rPr>
                <w:rFonts w:ascii="Arial" w:cs="Arial" w:eastAsia="Arial" w:hAnsi="Arial"/>
                <w:sz w:val="13"/>
                <w:szCs w:val="13"/>
                <w:color w:val="auto"/>
              </w:rPr>
              <w:t>Furnished herewith.</w:t>
            </w:r>
          </w:p>
        </w:tc>
      </w:tr>
      <w:tr>
        <w:trPr>
          <w:trHeight w:val="111"/>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80" w:type="dxa"/>
            <w:vAlign w:val="bottom"/>
            <w:tcBorders>
              <w:top w:val="single" w:sz="8" w:color="0F7C7F"/>
              <w:bottom w:val="single" w:sz="8" w:color="0F7C7F"/>
            </w:tcBorders>
            <w:gridSpan w:val="5"/>
          </w:tcPr>
          <w:p>
            <w:pPr>
              <w:spacing w:after="0" w:line="111" w:lineRule="exact"/>
              <w:rPr>
                <w:sz w:val="20"/>
                <w:szCs w:val="20"/>
                <w:color w:val="auto"/>
              </w:rPr>
            </w:pPr>
            <w:r>
              <w:rPr>
                <w:rFonts w:ascii="Arial" w:cs="Arial" w:eastAsia="Arial" w:hAnsi="Arial"/>
                <w:sz w:val="12"/>
                <w:szCs w:val="12"/>
                <w:color w:val="0F7C7F"/>
              </w:rPr>
              <w:t>pursuant to Section 906 of the Sarbanes-Oxley Act of 2002.</w:t>
            </w:r>
          </w:p>
        </w:tc>
        <w:tc>
          <w:tcPr>
            <w:tcW w:w="1560" w:type="dxa"/>
            <w:vAlign w:val="bottom"/>
            <w:tcBorders>
              <w:top w:val="single" w:sz="8" w:color="0F7C7F"/>
            </w:tcBorders>
            <w:gridSpan w:val="2"/>
          </w:tcPr>
          <w:p>
            <w:pPr>
              <w:spacing w:after="0"/>
              <w:rPr>
                <w:sz w:val="9"/>
                <w:szCs w:val="9"/>
                <w:color w:val="auto"/>
              </w:rPr>
            </w:pPr>
          </w:p>
        </w:tc>
        <w:tc>
          <w:tcPr>
            <w:tcW w:w="500" w:type="dxa"/>
            <w:vAlign w:val="bottom"/>
            <w:gridSpan w:val="3"/>
          </w:tcPr>
          <w:p>
            <w:pPr>
              <w:spacing w:after="0"/>
              <w:rPr>
                <w:sz w:val="9"/>
                <w:szCs w:val="9"/>
                <w:color w:val="auto"/>
              </w:rPr>
            </w:pPr>
          </w:p>
        </w:tc>
        <w:tc>
          <w:tcPr>
            <w:tcW w:w="14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155"/>
        </w:trPr>
        <w:tc>
          <w:tcPr>
            <w:tcW w:w="1040" w:type="dxa"/>
            <w:vAlign w:val="bottom"/>
          </w:tcPr>
          <w:p>
            <w:pPr>
              <w:ind w:left="20"/>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3"/>
                <w:szCs w:val="13"/>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0F7C7F"/>
              </w:rPr>
              <w:t>Certification of Chief Financial Officer pursuant to 18 U.S.C. Section 1350, as adopted pursuant</w:t>
            </w:r>
          </w:p>
        </w:tc>
        <w:tc>
          <w:tcPr>
            <w:tcW w:w="4460" w:type="dxa"/>
            <w:vAlign w:val="bottom"/>
          </w:tcPr>
          <w:p>
            <w:pPr>
              <w:ind w:left="20"/>
              <w:spacing w:after="0"/>
              <w:rPr>
                <w:sz w:val="20"/>
                <w:szCs w:val="20"/>
                <w:color w:val="auto"/>
              </w:rPr>
            </w:pPr>
            <w:r>
              <w:rPr>
                <w:rFonts w:ascii="Arial" w:cs="Arial" w:eastAsia="Arial" w:hAnsi="Arial"/>
                <w:sz w:val="13"/>
                <w:szCs w:val="13"/>
                <w:color w:val="auto"/>
              </w:rPr>
              <w:t>Furnished herewith.</w:t>
            </w:r>
          </w:p>
        </w:tc>
      </w:tr>
      <w:tr>
        <w:trPr>
          <w:trHeight w:val="111"/>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540" w:type="dxa"/>
            <w:vAlign w:val="bottom"/>
            <w:tcBorders>
              <w:top w:val="single" w:sz="8" w:color="0F7C7F"/>
            </w:tcBorders>
            <w:gridSpan w:val="10"/>
          </w:tcPr>
          <w:p>
            <w:pPr>
              <w:spacing w:after="0" w:line="111" w:lineRule="exact"/>
              <w:rPr>
                <w:sz w:val="20"/>
                <w:szCs w:val="20"/>
                <w:color w:val="auto"/>
              </w:rPr>
            </w:pPr>
            <w:r>
              <w:rPr>
                <w:rFonts w:ascii="Arial" w:cs="Arial" w:eastAsia="Arial" w:hAnsi="Arial"/>
                <w:sz w:val="12"/>
                <w:szCs w:val="12"/>
                <w:color w:val="0F7C7F"/>
              </w:rPr>
              <w:t>to Section 906 of the Sarbanes-Oxley Act of 2002.</w:t>
            </w:r>
          </w:p>
        </w:tc>
        <w:tc>
          <w:tcPr>
            <w:tcW w:w="14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20"/>
        </w:trPr>
        <w:tc>
          <w:tcPr>
            <w:tcW w:w="1140" w:type="dxa"/>
            <w:vAlign w:val="bottom"/>
            <w:gridSpan w:val="2"/>
          </w:tcPr>
          <w:p>
            <w:pPr>
              <w:spacing w:after="0" w:line="20" w:lineRule="exact"/>
              <w:rPr>
                <w:sz w:val="1"/>
                <w:szCs w:val="1"/>
                <w:color w:val="auto"/>
              </w:rPr>
            </w:pPr>
          </w:p>
        </w:tc>
        <w:tc>
          <w:tcPr>
            <w:tcW w:w="2920" w:type="dxa"/>
            <w:vAlign w:val="bottom"/>
            <w:gridSpan w:val="3"/>
            <w:shd w:val="clear" w:color="auto" w:fill="0F7C7F"/>
          </w:tcPr>
          <w:p>
            <w:pPr>
              <w:spacing w:after="0" w:line="20" w:lineRule="exact"/>
              <w:rPr>
                <w:sz w:val="1"/>
                <w:szCs w:val="1"/>
                <w:color w:val="auto"/>
              </w:rPr>
            </w:pPr>
          </w:p>
        </w:tc>
        <w:tc>
          <w:tcPr>
            <w:tcW w:w="2760" w:type="dxa"/>
            <w:vAlign w:val="bottom"/>
            <w:gridSpan w:val="9"/>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44"/>
        </w:trPr>
        <w:tc>
          <w:tcPr>
            <w:tcW w:w="114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101.INS</w:t>
            </w:r>
          </w:p>
        </w:tc>
        <w:tc>
          <w:tcPr>
            <w:tcW w:w="5680" w:type="dxa"/>
            <w:vAlign w:val="bottom"/>
            <w:gridSpan w:val="12"/>
          </w:tcPr>
          <w:p>
            <w:pPr>
              <w:spacing w:after="0" w:line="144" w:lineRule="exact"/>
              <w:rPr>
                <w:sz w:val="20"/>
                <w:szCs w:val="20"/>
                <w:color w:val="auto"/>
              </w:rPr>
            </w:pPr>
            <w:r>
              <w:rPr>
                <w:rFonts w:ascii="Arial" w:cs="Arial" w:eastAsia="Arial" w:hAnsi="Arial"/>
                <w:sz w:val="13"/>
                <w:szCs w:val="13"/>
                <w:color w:val="auto"/>
              </w:rPr>
              <w:t>Inline XBRL Taxonomy Instance Document - the instance document does not appear in the</w:t>
            </w:r>
          </w:p>
        </w:tc>
        <w:tc>
          <w:tcPr>
            <w:tcW w:w="4460" w:type="dxa"/>
            <w:vAlign w:val="bottom"/>
          </w:tcPr>
          <w:p>
            <w:pPr>
              <w:ind w:left="20"/>
              <w:spacing w:after="0" w:line="144" w:lineRule="exact"/>
              <w:rPr>
                <w:sz w:val="20"/>
                <w:szCs w:val="20"/>
                <w:color w:val="auto"/>
              </w:rPr>
            </w:pPr>
            <w:r>
              <w:rPr>
                <w:rFonts w:ascii="Arial" w:cs="Arial" w:eastAsia="Arial" w:hAnsi="Arial"/>
                <w:sz w:val="13"/>
                <w:szCs w:val="13"/>
                <w:color w:val="auto"/>
              </w:rPr>
              <w:t>Filed herewith.</w:t>
            </w:r>
          </w:p>
        </w:tc>
      </w:tr>
      <w:tr>
        <w:trPr>
          <w:trHeight w:val="17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Interactive Data File because its XBRL tags are embedded within the inline XBRL document.</w:t>
            </w:r>
          </w:p>
        </w:tc>
        <w:tc>
          <w:tcPr>
            <w:tcW w:w="4460" w:type="dxa"/>
            <w:vAlign w:val="bottom"/>
          </w:tcPr>
          <w:p>
            <w:pPr>
              <w:spacing w:after="0"/>
              <w:rPr>
                <w:sz w:val="15"/>
                <w:szCs w:val="15"/>
                <w:color w:val="auto"/>
              </w:rPr>
            </w:pPr>
          </w:p>
        </w:tc>
      </w:tr>
      <w:tr>
        <w:trPr>
          <w:trHeight w:val="17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Schema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5"/>
        </w:trPr>
        <w:tc>
          <w:tcPr>
            <w:tcW w:w="1040" w:type="dxa"/>
            <w:vAlign w:val="bottom"/>
          </w:tcPr>
          <w:p>
            <w:pPr>
              <w:ind w:left="2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Cover Page Interactive Data file (formatted as Inline XBRL and embedded within Exhibit 101)</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bl>
    <w:p>
      <w:pPr>
        <w:spacing w:after="0" w:line="155" w:lineRule="exact"/>
        <w:rPr>
          <w:sz w:val="20"/>
          <w:szCs w:val="20"/>
          <w:color w:val="auto"/>
        </w:rPr>
      </w:pPr>
    </w:p>
    <w:p>
      <w:pPr>
        <w:ind w:left="260" w:right="240" w:hanging="253"/>
        <w:spacing w:after="0" w:line="283" w:lineRule="auto"/>
        <w:tabs>
          <w:tab w:leader="none" w:pos="195"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schedules (or similar attachments) to this exhibit have been omitted pursuant to Regulation S-K, Item 601(a)(5). The registrant agrees to furnish a copy of any omitted schedule (or similar attachment) to the Securities and Exchange Commission upon request.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8375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SIGNATURES</w:t>
      </w:r>
    </w:p>
    <w:p>
      <w:pPr>
        <w:spacing w:after="0" w:line="97"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MOLINA HEALTHCARE, INC.</w:t>
      </w:r>
    </w:p>
    <w:p>
      <w:pPr>
        <w:spacing w:after="0" w:line="25"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(Registrant)</w:t>
      </w:r>
    </w:p>
    <w:p>
      <w:pPr>
        <w:spacing w:after="0" w:line="233" w:lineRule="exact"/>
        <w:rPr>
          <w:sz w:val="20"/>
          <w:szCs w:val="20"/>
          <w:color w:val="auto"/>
        </w:rPr>
      </w:pPr>
    </w:p>
    <w:p>
      <w:pPr>
        <w:ind w:left="320"/>
        <w:spacing w:after="0"/>
        <w:tabs>
          <w:tab w:leader="none" w:pos="6500" w:val="left"/>
        </w:tabs>
        <w:rPr>
          <w:sz w:val="20"/>
          <w:szCs w:val="20"/>
          <w:color w:val="auto"/>
        </w:rPr>
      </w:pPr>
      <w:r>
        <w:rPr>
          <w:rFonts w:ascii="Arial" w:cs="Arial" w:eastAsia="Arial" w:hAnsi="Arial"/>
          <w:sz w:val="13"/>
          <w:szCs w:val="13"/>
          <w:color w:val="auto"/>
        </w:rPr>
        <w:t>Dated: April 24, 2025</w:t>
      </w:r>
      <w:r>
        <w:rPr>
          <w:sz w:val="20"/>
          <w:szCs w:val="20"/>
          <w:color w:val="auto"/>
        </w:rPr>
        <w:tab/>
      </w:r>
      <w:r>
        <w:rPr>
          <w:rFonts w:ascii="Arial" w:cs="Arial" w:eastAsia="Arial" w:hAnsi="Arial"/>
          <w:sz w:val="13"/>
          <w:szCs w:val="13"/>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15875</wp:posOffset>
            </wp:positionV>
            <wp:extent cx="30130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013075" cy="6985"/>
                    </a:xfrm>
                    <a:prstGeom prst="rect">
                      <a:avLst/>
                    </a:prstGeom>
                    <a:noFill/>
                  </pic:spPr>
                </pic:pic>
              </a:graphicData>
            </a:graphic>
          </wp:anchor>
        </w:drawing>
      </w:r>
    </w:p>
    <w:p>
      <w:pPr>
        <w:spacing w:after="0" w:line="16"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Joseph M. Zubretsky</w:t>
      </w:r>
    </w:p>
    <w:p>
      <w:pPr>
        <w:spacing w:after="0" w:line="29"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Chief Executive Officer</w:t>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(Principal Executive Officer)</w:t>
      </w:r>
    </w:p>
    <w:p>
      <w:pPr>
        <w:spacing w:after="0" w:line="229" w:lineRule="exact"/>
        <w:rPr>
          <w:sz w:val="20"/>
          <w:szCs w:val="20"/>
          <w:color w:val="auto"/>
        </w:rPr>
      </w:pPr>
    </w:p>
    <w:p>
      <w:pPr>
        <w:ind w:left="320"/>
        <w:spacing w:after="0"/>
        <w:tabs>
          <w:tab w:leader="none" w:pos="6500" w:val="left"/>
        </w:tabs>
        <w:rPr>
          <w:sz w:val="20"/>
          <w:szCs w:val="20"/>
          <w:color w:val="auto"/>
        </w:rPr>
      </w:pPr>
      <w:r>
        <w:rPr>
          <w:rFonts w:ascii="Arial" w:cs="Arial" w:eastAsia="Arial" w:hAnsi="Arial"/>
          <w:sz w:val="13"/>
          <w:szCs w:val="13"/>
          <w:color w:val="auto"/>
        </w:rPr>
        <w:t>Dated: April 24, 2025</w:t>
      </w:r>
      <w:r>
        <w:rPr>
          <w:sz w:val="20"/>
          <w:szCs w:val="20"/>
          <w:color w:val="auto"/>
        </w:rPr>
        <w:tab/>
      </w:r>
      <w:r>
        <w:rPr>
          <w:rFonts w:ascii="Arial" w:cs="Arial" w:eastAsia="Arial" w:hAnsi="Arial"/>
          <w:sz w:val="13"/>
          <w:szCs w:val="13"/>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15875</wp:posOffset>
            </wp:positionV>
            <wp:extent cx="30130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013075" cy="6985"/>
                    </a:xfrm>
                    <a:prstGeom prst="rect">
                      <a:avLst/>
                    </a:prstGeom>
                    <a:noFill/>
                  </pic:spPr>
                </pic:pic>
              </a:graphicData>
            </a:graphic>
          </wp:anchor>
        </w:drawing>
      </w:r>
    </w:p>
    <w:p>
      <w:pPr>
        <w:spacing w:after="0" w:line="16"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Mark L. Keim</w:t>
      </w:r>
    </w:p>
    <w:p>
      <w:pPr>
        <w:spacing w:after="0" w:line="29"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Chief Financial Officer and Treasurer</w:t>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(Principal Financial Officer)</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Molina Healthcare, Inc. March 31, 2025 Form 10-Q | 34</w:t>
      </w:r>
    </w:p>
    <w:p>
      <w:pPr>
        <w:sectPr>
          <w:pgSz w:w="11900" w:h="16838" w:orient="portrait"/>
          <w:cols w:equalWidth="0" w:num="1">
            <w:col w:w="11280"/>
          </w:cols>
          <w:pgMar w:left="300" w:top="125" w:right="319" w:bottom="1440"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311150</wp:posOffset>
            </wp:positionV>
            <wp:extent cx="7100570" cy="9618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1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00570" cy="961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259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00570" cy="962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8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0570" cy="961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436245</wp:posOffset>
            </wp:positionV>
            <wp:extent cx="7100570" cy="96119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0570" cy="961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5"/>
          <w:szCs w:val="15"/>
          <w:b w:val="1"/>
          <w:bCs w:val="1"/>
          <w:color w:val="auto"/>
        </w:rPr>
        <w:t>EXHIBIT 31.1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I, Joseph M. Zubretsky, certify that:</w:t>
      </w:r>
    </w:p>
    <w:p>
      <w:pPr>
        <w:spacing w:after="0" w:line="90" w:lineRule="exact"/>
        <w:rPr>
          <w:sz w:val="20"/>
          <w:szCs w:val="20"/>
          <w:color w:val="auto"/>
        </w:rPr>
      </w:pPr>
    </w:p>
    <w:p>
      <w:pPr>
        <w:ind w:left="540" w:hanging="172"/>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period ended March 31, 2025 of Molina Healthcare, Inc.;</w:t>
      </w:r>
    </w:p>
    <w:p>
      <w:pPr>
        <w:spacing w:after="0" w:line="89" w:lineRule="exact"/>
        <w:rPr>
          <w:rFonts w:ascii="Arial" w:cs="Arial" w:eastAsia="Arial" w:hAnsi="Arial"/>
          <w:sz w:val="15"/>
          <w:szCs w:val="15"/>
          <w:color w:val="auto"/>
        </w:rPr>
      </w:pPr>
    </w:p>
    <w:p>
      <w:pPr>
        <w:ind w:right="140" w:firstLine="368"/>
        <w:spacing w:after="0" w:line="270" w:lineRule="auto"/>
        <w:tabs>
          <w:tab w:leader="none" w:pos="523"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5"/>
          <w:szCs w:val="15"/>
          <w:color w:val="auto"/>
        </w:rPr>
      </w:pPr>
    </w:p>
    <w:p>
      <w:pPr>
        <w:ind w:right="200" w:firstLine="368"/>
        <w:spacing w:after="0" w:line="270" w:lineRule="auto"/>
        <w:tabs>
          <w:tab w:leader="none" w:pos="523"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5"/>
          <w:szCs w:val="15"/>
          <w:color w:val="auto"/>
        </w:rPr>
      </w:pPr>
    </w:p>
    <w:p>
      <w:pPr>
        <w:ind w:left="540" w:hanging="17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75" w:lineRule="exact"/>
        <w:rPr>
          <w:rFonts w:ascii="Arial" w:cs="Arial" w:eastAsia="Arial" w:hAnsi="Arial"/>
          <w:sz w:val="14"/>
          <w:szCs w:val="14"/>
          <w:color w:val="auto"/>
        </w:rPr>
      </w:pPr>
    </w:p>
    <w:p>
      <w:pPr>
        <w:ind w:right="60" w:firstLine="729"/>
        <w:spacing w:after="0" w:line="256" w:lineRule="auto"/>
        <w:tabs>
          <w:tab w:leader="none" w:pos="9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5"/>
          <w:szCs w:val="15"/>
          <w:color w:val="auto"/>
        </w:rPr>
      </w:pPr>
    </w:p>
    <w:p>
      <w:pPr>
        <w:ind w:right="120" w:firstLine="729"/>
        <w:spacing w:after="0" w:line="256" w:lineRule="auto"/>
        <w:tabs>
          <w:tab w:leader="none" w:pos="9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5"/>
          <w:szCs w:val="15"/>
          <w:color w:val="auto"/>
        </w:rPr>
      </w:pPr>
    </w:p>
    <w:p>
      <w:pPr>
        <w:ind w:right="300" w:firstLine="729"/>
        <w:spacing w:after="0" w:line="270" w:lineRule="auto"/>
        <w:tabs>
          <w:tab w:leader="none" w:pos="932"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5"/>
          <w:szCs w:val="15"/>
          <w:color w:val="auto"/>
        </w:rPr>
      </w:pPr>
    </w:p>
    <w:p>
      <w:pPr>
        <w:ind w:right="100" w:firstLine="729"/>
        <w:spacing w:after="0" w:line="256" w:lineRule="auto"/>
        <w:tabs>
          <w:tab w:leader="none" w:pos="9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5"/>
          <w:szCs w:val="15"/>
          <w:color w:val="auto"/>
        </w:rPr>
      </w:pPr>
    </w:p>
    <w:p>
      <w:pPr>
        <w:ind w:right="80" w:firstLine="368"/>
        <w:spacing w:after="0" w:line="270" w:lineRule="auto"/>
        <w:tabs>
          <w:tab w:leader="none" w:pos="523"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5"/>
          <w:szCs w:val="15"/>
          <w:color w:val="auto"/>
        </w:rPr>
      </w:pPr>
    </w:p>
    <w:p>
      <w:pPr>
        <w:ind w:right="20" w:firstLine="729"/>
        <w:spacing w:after="0" w:line="270" w:lineRule="auto"/>
        <w:tabs>
          <w:tab w:leader="none" w:pos="9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5"/>
          <w:szCs w:val="15"/>
          <w:color w:val="auto"/>
        </w:rPr>
      </w:pPr>
    </w:p>
    <w:p>
      <w:pPr>
        <w:ind w:left="940" w:hanging="211"/>
        <w:spacing w:after="0"/>
        <w:tabs>
          <w:tab w:leader="none" w:pos="94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5"/>
          <w:szCs w:val="15"/>
          <w:color w:val="auto"/>
        </w:rPr>
        <w:t>Dated: April 24, 2025</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10795</wp:posOffset>
            </wp:positionV>
            <wp:extent cx="713041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0415" cy="6985"/>
                    </a:xfrm>
                    <a:prstGeom prst="rect">
                      <a:avLst/>
                    </a:prstGeom>
                    <a:noFill/>
                  </pic:spPr>
                </pic:pic>
              </a:graphicData>
            </a:graphic>
          </wp:anchor>
        </w:drawing>
      </w:r>
    </w:p>
    <w:p>
      <w:pPr>
        <w:spacing w:after="0" w:line="4"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Joseph M. Zubretsky</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Chief Executive Officer, President and Director</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80"/>
          </w:cols>
          <w:pgMar w:left="300" w:top="748"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5"/>
          <w:szCs w:val="15"/>
          <w:b w:val="1"/>
          <w:bCs w:val="1"/>
          <w:color w:val="auto"/>
        </w:rPr>
        <w:t>EXHIBIT 31.2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I, Mark L. Keim, certify that:</w:t>
      </w:r>
    </w:p>
    <w:p>
      <w:pPr>
        <w:spacing w:after="0" w:line="90" w:lineRule="exact"/>
        <w:rPr>
          <w:sz w:val="20"/>
          <w:szCs w:val="20"/>
          <w:color w:val="auto"/>
        </w:rPr>
      </w:pPr>
    </w:p>
    <w:p>
      <w:pPr>
        <w:ind w:left="540" w:hanging="172"/>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period ended March 31, 2025 of Molina Healthcare, Inc.;</w:t>
      </w:r>
    </w:p>
    <w:p>
      <w:pPr>
        <w:spacing w:after="0" w:line="89" w:lineRule="exact"/>
        <w:rPr>
          <w:rFonts w:ascii="Arial" w:cs="Arial" w:eastAsia="Arial" w:hAnsi="Arial"/>
          <w:sz w:val="15"/>
          <w:szCs w:val="15"/>
          <w:color w:val="auto"/>
        </w:rPr>
      </w:pPr>
    </w:p>
    <w:p>
      <w:pPr>
        <w:ind w:right="140" w:firstLine="368"/>
        <w:spacing w:after="0" w:line="270" w:lineRule="auto"/>
        <w:tabs>
          <w:tab w:leader="none" w:pos="523"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5"/>
          <w:szCs w:val="15"/>
          <w:color w:val="auto"/>
        </w:rPr>
      </w:pPr>
    </w:p>
    <w:p>
      <w:pPr>
        <w:ind w:right="200" w:firstLine="368"/>
        <w:spacing w:after="0" w:line="270" w:lineRule="auto"/>
        <w:tabs>
          <w:tab w:leader="none" w:pos="523"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5"/>
          <w:szCs w:val="15"/>
          <w:color w:val="auto"/>
        </w:rPr>
      </w:pPr>
    </w:p>
    <w:p>
      <w:pPr>
        <w:ind w:left="540" w:hanging="17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75" w:lineRule="exact"/>
        <w:rPr>
          <w:rFonts w:ascii="Arial" w:cs="Arial" w:eastAsia="Arial" w:hAnsi="Arial"/>
          <w:sz w:val="14"/>
          <w:szCs w:val="14"/>
          <w:color w:val="auto"/>
        </w:rPr>
      </w:pPr>
    </w:p>
    <w:p>
      <w:pPr>
        <w:ind w:right="60" w:firstLine="729"/>
        <w:spacing w:after="0" w:line="256" w:lineRule="auto"/>
        <w:tabs>
          <w:tab w:leader="none" w:pos="9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5"/>
          <w:szCs w:val="15"/>
          <w:color w:val="auto"/>
        </w:rPr>
      </w:pPr>
    </w:p>
    <w:p>
      <w:pPr>
        <w:ind w:right="120" w:firstLine="729"/>
        <w:spacing w:after="0" w:line="256" w:lineRule="auto"/>
        <w:tabs>
          <w:tab w:leader="none" w:pos="9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5"/>
          <w:szCs w:val="15"/>
          <w:color w:val="auto"/>
        </w:rPr>
      </w:pPr>
    </w:p>
    <w:p>
      <w:pPr>
        <w:ind w:right="300" w:firstLine="729"/>
        <w:spacing w:after="0" w:line="270" w:lineRule="auto"/>
        <w:tabs>
          <w:tab w:leader="none" w:pos="932"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5"/>
          <w:szCs w:val="15"/>
          <w:color w:val="auto"/>
        </w:rPr>
      </w:pPr>
    </w:p>
    <w:p>
      <w:pPr>
        <w:ind w:right="100" w:firstLine="729"/>
        <w:spacing w:after="0" w:line="256" w:lineRule="auto"/>
        <w:tabs>
          <w:tab w:leader="none" w:pos="9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5"/>
          <w:szCs w:val="15"/>
          <w:color w:val="auto"/>
        </w:rPr>
      </w:pPr>
    </w:p>
    <w:p>
      <w:pPr>
        <w:ind w:right="80" w:firstLine="368"/>
        <w:spacing w:after="0" w:line="270" w:lineRule="auto"/>
        <w:tabs>
          <w:tab w:leader="none" w:pos="523"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5"/>
          <w:szCs w:val="15"/>
          <w:color w:val="auto"/>
        </w:rPr>
      </w:pPr>
    </w:p>
    <w:p>
      <w:pPr>
        <w:ind w:right="20" w:firstLine="729"/>
        <w:spacing w:after="0" w:line="270" w:lineRule="auto"/>
        <w:tabs>
          <w:tab w:leader="none" w:pos="9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5"/>
          <w:szCs w:val="15"/>
          <w:color w:val="auto"/>
        </w:rPr>
      </w:pPr>
    </w:p>
    <w:p>
      <w:pPr>
        <w:ind w:left="940" w:hanging="211"/>
        <w:spacing w:after="0"/>
        <w:tabs>
          <w:tab w:leader="none" w:pos="9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5"/>
          <w:szCs w:val="15"/>
          <w:color w:val="auto"/>
        </w:rPr>
        <w:t>Dated: April 24, 2025</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10795</wp:posOffset>
            </wp:positionV>
            <wp:extent cx="714438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4385" cy="6985"/>
                    </a:xfrm>
                    <a:prstGeom prst="rect">
                      <a:avLst/>
                    </a:prstGeom>
                    <a:noFill/>
                  </pic:spPr>
                </pic:pic>
              </a:graphicData>
            </a:graphic>
          </wp:anchor>
        </w:drawing>
      </w:r>
    </w:p>
    <w:p>
      <w:pPr>
        <w:spacing w:after="0" w:line="4" w:lineRule="exact"/>
        <w:rPr>
          <w:sz w:val="20"/>
          <w:szCs w:val="20"/>
          <w:color w:val="auto"/>
        </w:rPr>
      </w:pPr>
    </w:p>
    <w:p>
      <w:pPr>
        <w:ind w:left="6220"/>
        <w:spacing w:after="0"/>
        <w:rPr>
          <w:sz w:val="20"/>
          <w:szCs w:val="20"/>
          <w:color w:val="auto"/>
        </w:rPr>
      </w:pPr>
      <w:r>
        <w:rPr>
          <w:rFonts w:ascii="Arial" w:cs="Arial" w:eastAsia="Arial" w:hAnsi="Arial"/>
          <w:sz w:val="15"/>
          <w:szCs w:val="15"/>
          <w:b w:val="1"/>
          <w:bCs w:val="1"/>
          <w:color w:val="auto"/>
        </w:rPr>
        <w:t>Mark L. Keim</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5"/>
          <w:szCs w:val="15"/>
          <w:b w:val="1"/>
          <w:bCs w:val="1"/>
          <w:color w:val="auto"/>
        </w:rPr>
        <w:t>Chief Financial Officer and Treasurer</w:t>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11280"/>
          </w:cols>
          <w:pgMar w:left="300" w:top="748"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5"/>
          <w:szCs w:val="15"/>
          <w:b w:val="1"/>
          <w:bCs w:val="1"/>
          <w:color w:val="auto"/>
        </w:rPr>
        <w:t>EXHIBIT 32.1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the Quarterly Report of Molina Healthcare, Inc. (the “Company”) on Form 10-Q for the period ended March 31, 2025 (the “Report”), I, Joseph M.</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Zubretsky, Chief Executive Officer of the Company, certify, pursuant to 18 U.S.C. Section 1350, as adopted pursuant to Section 906 of the Sarbanes-Oxley Act of 2002, that:</w:t>
      </w:r>
    </w:p>
    <w:p>
      <w:pPr>
        <w:spacing w:after="0" w:line="87" w:lineRule="exact"/>
        <w:rPr>
          <w:sz w:val="20"/>
          <w:szCs w:val="20"/>
          <w:color w:val="auto"/>
        </w:rPr>
      </w:pPr>
    </w:p>
    <w:p>
      <w:pPr>
        <w:ind w:left="940" w:hanging="211"/>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89" w:lineRule="exact"/>
        <w:rPr>
          <w:rFonts w:ascii="Arial" w:cs="Arial" w:eastAsia="Arial" w:hAnsi="Arial"/>
          <w:sz w:val="15"/>
          <w:szCs w:val="15"/>
          <w:color w:val="auto"/>
        </w:rPr>
      </w:pPr>
    </w:p>
    <w:p>
      <w:pPr>
        <w:ind w:left="940" w:hanging="211"/>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tabs>
          <w:tab w:leader="none" w:pos="6260" w:val="left"/>
        </w:tabs>
        <w:rPr>
          <w:sz w:val="20"/>
          <w:szCs w:val="20"/>
          <w:color w:val="auto"/>
        </w:rPr>
      </w:pPr>
      <w:r>
        <w:rPr>
          <w:rFonts w:ascii="Arial" w:cs="Arial" w:eastAsia="Arial" w:hAnsi="Arial"/>
          <w:sz w:val="15"/>
          <w:szCs w:val="15"/>
          <w:color w:val="auto"/>
        </w:rPr>
        <w:t>Dated: April 24, 2025</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041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0415" cy="6985"/>
                    </a:xfrm>
                    <a:prstGeom prst="rect">
                      <a:avLst/>
                    </a:prstGeom>
                    <a:noFill/>
                  </pic:spPr>
                </pic:pic>
              </a:graphicData>
            </a:graphic>
          </wp:anchor>
        </w:drawing>
      </w:r>
    </w:p>
    <w:p>
      <w:pPr>
        <w:spacing w:after="0" w:line="4"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Joseph M. Zubretsky</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Chief Executive Officer, President and Director</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80"/>
          </w:cols>
          <w:pgMar w:left="300" w:top="748"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15"/>
          <w:szCs w:val="15"/>
          <w:b w:val="1"/>
          <w:bCs w:val="1"/>
          <w:color w:val="auto"/>
        </w:rPr>
        <w:t>EXHIBIT 32.2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20" w:lineRule="exact"/>
        <w:rPr>
          <w:sz w:val="20"/>
          <w:szCs w:val="20"/>
          <w:color w:val="auto"/>
        </w:rPr>
      </w:pPr>
    </w:p>
    <w:p>
      <w:pPr>
        <w:ind w:right="220" w:firstLine="361"/>
        <w:spacing w:after="0" w:line="306" w:lineRule="auto"/>
        <w:rPr>
          <w:sz w:val="20"/>
          <w:szCs w:val="20"/>
          <w:color w:val="auto"/>
        </w:rPr>
      </w:pPr>
      <w:r>
        <w:rPr>
          <w:rFonts w:ascii="Arial" w:cs="Arial" w:eastAsia="Arial" w:hAnsi="Arial"/>
          <w:sz w:val="14"/>
          <w:szCs w:val="14"/>
          <w:color w:val="auto"/>
        </w:rPr>
        <w:t>In connection with the Quarterly Report of Molina Healthcare, Inc. (the “Company”) on Form 10-Q for the period ended March 31, 2025 (the “Report”), I, Mark L. Keim, Chief Financial Officer of the Company, certify, pursuant to 18 U.S.C. Section 1350, as adopted pursuant to Section 906 of the Sarbanes-Oxley Act of 2002, that:</w:t>
      </w:r>
    </w:p>
    <w:p>
      <w:pPr>
        <w:spacing w:after="0" w:line="27" w:lineRule="exact"/>
        <w:rPr>
          <w:sz w:val="20"/>
          <w:szCs w:val="20"/>
          <w:color w:val="auto"/>
        </w:rPr>
      </w:pPr>
    </w:p>
    <w:p>
      <w:pPr>
        <w:ind w:left="940" w:hanging="211"/>
        <w:spacing w:after="0"/>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89" w:lineRule="exact"/>
        <w:rPr>
          <w:rFonts w:ascii="Arial" w:cs="Arial" w:eastAsia="Arial" w:hAnsi="Arial"/>
          <w:sz w:val="15"/>
          <w:szCs w:val="15"/>
          <w:color w:val="auto"/>
        </w:rPr>
      </w:pPr>
    </w:p>
    <w:p>
      <w:pPr>
        <w:ind w:left="940" w:hanging="211"/>
        <w:spacing w:after="0"/>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6240" w:val="left"/>
        </w:tabs>
        <w:rPr>
          <w:sz w:val="20"/>
          <w:szCs w:val="20"/>
          <w:color w:val="auto"/>
        </w:rPr>
      </w:pPr>
      <w:r>
        <w:rPr>
          <w:rFonts w:ascii="Arial" w:cs="Arial" w:eastAsia="Arial" w:hAnsi="Arial"/>
          <w:sz w:val="15"/>
          <w:szCs w:val="15"/>
          <w:color w:val="auto"/>
        </w:rPr>
        <w:t>Dated: April 24, 2025</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10795</wp:posOffset>
            </wp:positionV>
            <wp:extent cx="713041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0415" cy="6985"/>
                    </a:xfrm>
                    <a:prstGeom prst="rect">
                      <a:avLst/>
                    </a:prstGeom>
                    <a:noFill/>
                  </pic:spPr>
                </pic:pic>
              </a:graphicData>
            </a:graphic>
          </wp:anchor>
        </w:drawing>
      </w:r>
    </w:p>
    <w:p>
      <w:pPr>
        <w:spacing w:after="0" w:line="4"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Mark L. Keim</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Chief Financial Officer and Treasurer</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(Principal Financial Officer)</w:t>
      </w:r>
    </w:p>
    <w:sectPr>
      <w:pgSz w:w="11900" w:h="16838" w:orient="portrait"/>
      <w:cols w:equalWidth="0" w:num="1">
        <w:col w:w="11280"/>
      </w:cols>
      <w:pgMar w:left="300" w:top="74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54" Type="http://schemas.openxmlformats.org/officeDocument/2006/relationships/hyperlink" Target="https://www.sec.gov/Archives/edgar/data/1179929/000143774925004747/ex_7808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2025-04-24T09:16:24Z</dcterms:created>
  <dcterms:modified xsi:type="dcterms:W3CDTF">2025-04-24T09:16:24Z</dcterms:modified>
</cp:coreProperties>
</file>