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1871980</wp:posOffset>
            </wp:positionH>
            <wp:positionV relativeFrom="paragraph">
              <wp:posOffset>131445</wp:posOffset>
            </wp:positionV>
            <wp:extent cx="35382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38220" cy="6985"/>
                    </a:xfrm>
                    <a:prstGeom prst="rect">
                      <a:avLst/>
                    </a:prstGeom>
                    <a:noFill/>
                  </pic:spPr>
                </pic:pic>
              </a:graphicData>
            </a:graphic>
          </wp:anchor>
        </w:drawing>
      </w:r>
    </w:p>
    <w:p>
      <w:pPr>
        <w:spacing w:after="0" w:line="229"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1878965</wp:posOffset>
            </wp:positionH>
            <wp:positionV relativeFrom="paragraph">
              <wp:posOffset>155575</wp:posOffset>
            </wp:positionV>
            <wp:extent cx="35172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17265" cy="6985"/>
                    </a:xfrm>
                    <a:prstGeom prst="rect">
                      <a:avLst/>
                    </a:prstGeom>
                    <a:noFill/>
                  </pic:spPr>
                </pic:pic>
              </a:graphicData>
            </a:graphic>
          </wp:anchor>
        </w:drawing>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6" w:lineRule="exact"/>
        <w:rPr>
          <w:sz w:val="24"/>
          <w:szCs w:val="24"/>
          <w:color w:val="auto"/>
        </w:rPr>
      </w:pPr>
    </w:p>
    <w:p>
      <w:pPr>
        <w:ind w:left="700" w:hanging="672"/>
        <w:spacing w:after="0"/>
        <w:tabs>
          <w:tab w:leader="none" w:pos="700" w:val="left"/>
        </w:tabs>
        <w:numPr>
          <w:ilvl w:val="0"/>
          <w:numId w:val="1"/>
        </w:numPr>
        <w:rPr>
          <w:rFonts w:ascii="MS PGothic" w:cs="MS PGothic" w:eastAsia="MS PGothic" w:hAnsi="MS PGothic"/>
          <w:sz w:val="34"/>
          <w:szCs w:val="34"/>
          <w:color w:val="auto"/>
          <w:vertAlign w:val="subscript"/>
        </w:rPr>
      </w:pPr>
      <w:r>
        <w:rPr>
          <w:rFonts w:ascii="Arial" w:cs="Arial" w:eastAsia="Arial" w:hAnsi="Arial"/>
          <w:sz w:val="16"/>
          <w:szCs w:val="16"/>
          <w:b w:val="1"/>
          <w:bCs w:val="1"/>
          <w:color w:val="auto"/>
        </w:rPr>
        <w:t>QUARTERLY REPORT PURSUANT TO SECTION 13 OR 15(d) OF THE SECURITIES EXCHANGE ACT OF 1934</w:t>
      </w:r>
    </w:p>
    <w:p>
      <w:pPr>
        <w:spacing w:after="0" w:line="8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June 30, 2019</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119" w:lineRule="exact"/>
        <w:rPr>
          <w:sz w:val="24"/>
          <w:szCs w:val="24"/>
          <w:color w:val="auto"/>
        </w:rPr>
      </w:pPr>
    </w:p>
    <w:p>
      <w:pPr>
        <w:ind w:left="700" w:hanging="672"/>
        <w:spacing w:after="0"/>
        <w:tabs>
          <w:tab w:leader="none" w:pos="70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65" w:lineRule="exact"/>
        <w:rPr>
          <w:sz w:val="24"/>
          <w:szCs w:val="24"/>
          <w:color w:val="auto"/>
        </w:rPr>
      </w:pPr>
    </w:p>
    <w:p>
      <w:pPr>
        <w:ind w:left="4140"/>
        <w:spacing w:after="0"/>
        <w:tabs>
          <w:tab w:leader="none" w:pos="66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1851660</wp:posOffset>
            </wp:positionH>
            <wp:positionV relativeFrom="paragraph">
              <wp:posOffset>137795</wp:posOffset>
            </wp:positionV>
            <wp:extent cx="357187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71875" cy="698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254000</wp:posOffset>
            </wp:positionV>
            <wp:extent cx="1505585" cy="520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5585" cy="5200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MOLINA HEALTHCARE, INC.</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1851660</wp:posOffset>
            </wp:positionH>
            <wp:positionV relativeFrom="paragraph">
              <wp:posOffset>130175</wp:posOffset>
            </wp:positionV>
            <wp:extent cx="357187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71875" cy="6985"/>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tbl>
      <w:tblPr>
        <w:tblLayout w:type="fixed"/>
        <w:tblInd w:w="10" w:type="dxa"/>
        <w:tblCellMar>
          <w:top w:w="0" w:type="dxa"/>
          <w:left w:w="0" w:type="dxa"/>
          <w:bottom w:w="0" w:type="dxa"/>
          <w:right w:w="0" w:type="dxa"/>
        </w:tblCellMar>
      </w:tblPr>
      <w:tr>
        <w:trPr>
          <w:trHeight w:val="171"/>
        </w:trPr>
        <w:tc>
          <w:tcPr>
            <w:tcW w:w="4320" w:type="dxa"/>
            <w:vAlign w:val="bottom"/>
            <w:gridSpan w:val="3"/>
          </w:tcPr>
          <w:p>
            <w:pPr>
              <w:jc w:val="center"/>
              <w:ind w:left="1819"/>
              <w:spacing w:after="0"/>
              <w:rPr>
                <w:sz w:val="20"/>
                <w:szCs w:val="20"/>
                <w:color w:val="auto"/>
              </w:rPr>
            </w:pPr>
            <w:r>
              <w:rPr>
                <w:rFonts w:ascii="Arial" w:cs="Arial" w:eastAsia="Arial" w:hAnsi="Arial"/>
                <w:sz w:val="13"/>
                <w:szCs w:val="13"/>
                <w:b w:val="1"/>
                <w:bCs w:val="1"/>
                <w:color w:val="auto"/>
                <w:w w:val="98"/>
              </w:rPr>
              <w:t>Delaware</w:t>
            </w:r>
          </w:p>
        </w:tc>
        <w:tc>
          <w:tcPr>
            <w:tcW w:w="2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80" w:type="dxa"/>
            <w:vAlign w:val="bottom"/>
            <w:gridSpan w:val="2"/>
          </w:tcPr>
          <w:p>
            <w:pPr>
              <w:jc w:val="right"/>
              <w:ind w:right="2183"/>
              <w:spacing w:after="0"/>
              <w:rPr>
                <w:sz w:val="20"/>
                <w:szCs w:val="20"/>
                <w:color w:val="auto"/>
              </w:rPr>
            </w:pPr>
            <w:r>
              <w:rPr>
                <w:rFonts w:ascii="Arial" w:cs="Arial" w:eastAsia="Arial" w:hAnsi="Arial"/>
                <w:sz w:val="13"/>
                <w:szCs w:val="13"/>
                <w:b w:val="1"/>
                <w:bCs w:val="1"/>
                <w:color w:val="auto"/>
              </w:rPr>
              <w:t>13-4204626</w:t>
            </w:r>
          </w:p>
        </w:tc>
        <w:tc>
          <w:tcPr>
            <w:tcW w:w="0" w:type="dxa"/>
            <w:vAlign w:val="bottom"/>
          </w:tcPr>
          <w:p>
            <w:pPr>
              <w:spacing w:after="0"/>
              <w:rPr>
                <w:sz w:val="1"/>
                <w:szCs w:val="1"/>
                <w:color w:val="auto"/>
              </w:rPr>
            </w:pPr>
          </w:p>
        </w:tc>
      </w:tr>
      <w:tr>
        <w:trPr>
          <w:trHeight w:val="179"/>
        </w:trPr>
        <w:tc>
          <w:tcPr>
            <w:tcW w:w="7400" w:type="dxa"/>
            <w:vAlign w:val="bottom"/>
            <w:gridSpan w:val="5"/>
          </w:tcPr>
          <w:p>
            <w:pPr>
              <w:jc w:val="center"/>
              <w:ind w:right="1200"/>
              <w:spacing w:after="0"/>
              <w:rPr>
                <w:sz w:val="20"/>
                <w:szCs w:val="20"/>
                <w:color w:val="auto"/>
              </w:rPr>
            </w:pPr>
            <w:r>
              <w:rPr>
                <w:rFonts w:ascii="Arial" w:cs="Arial" w:eastAsia="Arial" w:hAnsi="Arial"/>
                <w:sz w:val="11"/>
                <w:szCs w:val="11"/>
                <w:b w:val="1"/>
                <w:bCs w:val="1"/>
                <w:color w:val="auto"/>
              </w:rPr>
              <w:t>(State or other jurisdiction of incorporation or organization)</w:t>
            </w:r>
          </w:p>
        </w:tc>
        <w:tc>
          <w:tcPr>
            <w:tcW w:w="4080" w:type="dxa"/>
            <w:vAlign w:val="bottom"/>
            <w:gridSpan w:val="2"/>
          </w:tcPr>
          <w:p>
            <w:pPr>
              <w:jc w:val="center"/>
              <w:ind w:right="1063"/>
              <w:spacing w:after="0"/>
              <w:rPr>
                <w:sz w:val="20"/>
                <w:szCs w:val="20"/>
                <w:color w:val="auto"/>
              </w:rPr>
            </w:pPr>
            <w:r>
              <w:rPr>
                <w:rFonts w:ascii="Arial" w:cs="Arial" w:eastAsia="Arial" w:hAnsi="Arial"/>
                <w:sz w:val="11"/>
                <w:szCs w:val="11"/>
                <w:b w:val="1"/>
                <w:bCs w:val="1"/>
                <w:color w:val="auto"/>
              </w:rPr>
              <w:t>(I.R.S. Employer Identification No.)</w:t>
            </w:r>
          </w:p>
        </w:tc>
        <w:tc>
          <w:tcPr>
            <w:tcW w:w="0" w:type="dxa"/>
            <w:vAlign w:val="bottom"/>
          </w:tcPr>
          <w:p>
            <w:pPr>
              <w:spacing w:after="0"/>
              <w:rPr>
                <w:sz w:val="1"/>
                <w:szCs w:val="1"/>
                <w:color w:val="auto"/>
              </w:rPr>
            </w:pPr>
          </w:p>
        </w:tc>
      </w:tr>
      <w:tr>
        <w:trPr>
          <w:trHeight w:val="306"/>
        </w:trPr>
        <w:tc>
          <w:tcPr>
            <w:tcW w:w="4320" w:type="dxa"/>
            <w:vAlign w:val="bottom"/>
            <w:gridSpan w:val="3"/>
          </w:tcPr>
          <w:p>
            <w:pPr>
              <w:jc w:val="center"/>
              <w:ind w:left="1819"/>
              <w:spacing w:after="0"/>
              <w:rPr>
                <w:sz w:val="20"/>
                <w:szCs w:val="20"/>
                <w:color w:val="auto"/>
              </w:rPr>
            </w:pPr>
            <w:r>
              <w:rPr>
                <w:rFonts w:ascii="Arial" w:cs="Arial" w:eastAsia="Arial" w:hAnsi="Arial"/>
                <w:sz w:val="13"/>
                <w:szCs w:val="13"/>
                <w:b w:val="1"/>
                <w:bCs w:val="1"/>
                <w:color w:val="auto"/>
                <w:w w:val="99"/>
              </w:rPr>
              <w:t>200 Oceangate, Suite 100</w:t>
            </w:r>
          </w:p>
        </w:tc>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20" w:type="dxa"/>
            <w:vAlign w:val="bottom"/>
            <w:gridSpan w:val="3"/>
          </w:tcPr>
          <w:p>
            <w:pPr>
              <w:ind w:left="2320"/>
              <w:spacing w:after="0"/>
              <w:rPr>
                <w:sz w:val="20"/>
                <w:szCs w:val="20"/>
                <w:color w:val="auto"/>
              </w:rPr>
            </w:pPr>
            <w:r>
              <w:rPr>
                <w:rFonts w:ascii="Arial" w:cs="Arial" w:eastAsia="Arial" w:hAnsi="Arial"/>
                <w:sz w:val="13"/>
                <w:szCs w:val="13"/>
                <w:b w:val="1"/>
                <w:bCs w:val="1"/>
                <w:color w:val="auto"/>
              </w:rPr>
              <w:t>Long Beach, California</w:t>
            </w: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80" w:type="dxa"/>
            <w:vAlign w:val="bottom"/>
            <w:gridSpan w:val="2"/>
          </w:tcPr>
          <w:p>
            <w:pPr>
              <w:jc w:val="right"/>
              <w:ind w:right="2363"/>
              <w:spacing w:after="0"/>
              <w:rPr>
                <w:sz w:val="20"/>
                <w:szCs w:val="20"/>
                <w:color w:val="auto"/>
              </w:rPr>
            </w:pPr>
            <w:r>
              <w:rPr>
                <w:rFonts w:ascii="Arial" w:cs="Arial" w:eastAsia="Arial" w:hAnsi="Arial"/>
                <w:sz w:val="13"/>
                <w:szCs w:val="13"/>
                <w:b w:val="1"/>
                <w:bCs w:val="1"/>
                <w:color w:val="auto"/>
              </w:rPr>
              <w:t>90802</w:t>
            </w:r>
          </w:p>
        </w:tc>
        <w:tc>
          <w:tcPr>
            <w:tcW w:w="0" w:type="dxa"/>
            <w:vAlign w:val="bottom"/>
          </w:tcPr>
          <w:p>
            <w:pPr>
              <w:spacing w:after="0"/>
              <w:rPr>
                <w:sz w:val="1"/>
                <w:szCs w:val="1"/>
                <w:color w:val="auto"/>
              </w:rPr>
            </w:pPr>
          </w:p>
        </w:tc>
      </w:tr>
      <w:tr>
        <w:trPr>
          <w:trHeight w:val="179"/>
        </w:trPr>
        <w:tc>
          <w:tcPr>
            <w:tcW w:w="4320" w:type="dxa"/>
            <w:vAlign w:val="bottom"/>
            <w:gridSpan w:val="3"/>
          </w:tcPr>
          <w:p>
            <w:pPr>
              <w:jc w:val="center"/>
              <w:ind w:left="1839"/>
              <w:spacing w:after="0"/>
              <w:rPr>
                <w:sz w:val="20"/>
                <w:szCs w:val="20"/>
                <w:color w:val="auto"/>
              </w:rPr>
            </w:pPr>
            <w:r>
              <w:rPr>
                <w:rFonts w:ascii="Arial" w:cs="Arial" w:eastAsia="Arial" w:hAnsi="Arial"/>
                <w:sz w:val="11"/>
                <w:szCs w:val="11"/>
                <w:b w:val="1"/>
                <w:bCs w:val="1"/>
                <w:color w:val="auto"/>
              </w:rPr>
              <w:t>(Address of principal executive offices)</w:t>
            </w:r>
          </w:p>
        </w:tc>
        <w:tc>
          <w:tcPr>
            <w:tcW w:w="2240" w:type="dxa"/>
            <w:vAlign w:val="bottom"/>
            <w:vMerge w:val="restart"/>
          </w:tcPr>
          <w:p>
            <w:pPr>
              <w:jc w:val="right"/>
              <w:ind w:right="323"/>
              <w:spacing w:after="0"/>
              <w:rPr>
                <w:sz w:val="20"/>
                <w:szCs w:val="20"/>
                <w:color w:val="auto"/>
              </w:rPr>
            </w:pPr>
            <w:r>
              <w:rPr>
                <w:rFonts w:ascii="Arial" w:cs="Arial" w:eastAsia="Arial" w:hAnsi="Arial"/>
                <w:sz w:val="13"/>
                <w:szCs w:val="13"/>
                <w:b w:val="1"/>
                <w:bCs w:val="1"/>
                <w:color w:val="auto"/>
              </w:rPr>
              <w:t>(562) 435-3666</w:t>
            </w: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940" w:type="dxa"/>
            <w:vAlign w:val="bottom"/>
          </w:tcPr>
          <w:p>
            <w:pPr>
              <w:jc w:val="center"/>
              <w:ind w:right="2183"/>
              <w:spacing w:after="0"/>
              <w:rPr>
                <w:sz w:val="20"/>
                <w:szCs w:val="20"/>
                <w:color w:val="auto"/>
              </w:rPr>
            </w:pPr>
            <w:r>
              <w:rPr>
                <w:rFonts w:ascii="Arial" w:cs="Arial" w:eastAsia="Arial" w:hAnsi="Arial"/>
                <w:sz w:val="11"/>
                <w:szCs w:val="11"/>
                <w:b w:val="1"/>
                <w:bCs w:val="1"/>
                <w:color w:val="auto"/>
              </w:rPr>
              <w:t>(Zip Code)</w:t>
            </w:r>
          </w:p>
        </w:tc>
        <w:tc>
          <w:tcPr>
            <w:tcW w:w="0" w:type="dxa"/>
            <w:vAlign w:val="bottom"/>
          </w:tcPr>
          <w:p>
            <w:pPr>
              <w:spacing w:after="0"/>
              <w:rPr>
                <w:sz w:val="1"/>
                <w:szCs w:val="1"/>
                <w:color w:val="auto"/>
              </w:rPr>
            </w:pPr>
          </w:p>
        </w:tc>
      </w:tr>
      <w:tr>
        <w:trPr>
          <w:trHeight w:val="143"/>
        </w:trPr>
        <w:tc>
          <w:tcPr>
            <w:tcW w:w="2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(Registrant’s telephone number, including area code)</w:t>
            </w:r>
          </w:p>
        </w:tc>
        <w:tc>
          <w:tcPr>
            <w:tcW w:w="11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9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320" w:type="dxa"/>
            <w:vAlign w:val="bottom"/>
            <w:gridSpan w:val="3"/>
          </w:tcPr>
          <w:p>
            <w:pPr>
              <w:spacing w:after="0" w:line="148" w:lineRule="exact"/>
              <w:rPr>
                <w:sz w:val="20"/>
                <w:szCs w:val="20"/>
                <w:color w:val="auto"/>
              </w:rPr>
            </w:pPr>
            <w:r>
              <w:rPr>
                <w:rFonts w:ascii="Arial" w:cs="Arial" w:eastAsia="Arial" w:hAnsi="Arial"/>
                <w:sz w:val="13"/>
                <w:szCs w:val="13"/>
                <w:color w:val="auto"/>
              </w:rPr>
              <w:t>Securities registered pursuant to Section 12(b) of the Act:</w:t>
            </w:r>
          </w:p>
        </w:tc>
        <w:tc>
          <w:tcPr>
            <w:tcW w:w="2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92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39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Title of each class</w:t>
            </w:r>
          </w:p>
        </w:tc>
        <w:tc>
          <w:tcPr>
            <w:tcW w:w="400" w:type="dxa"/>
            <w:vAlign w:val="bottom"/>
            <w:tcBorders>
              <w:bottom w:val="single" w:sz="8" w:color="auto"/>
            </w:tcBorders>
          </w:tcPr>
          <w:p>
            <w:pPr>
              <w:spacing w:after="0"/>
              <w:rPr>
                <w:sz w:val="13"/>
                <w:szCs w:val="13"/>
                <w:color w:val="auto"/>
              </w:rPr>
            </w:pPr>
          </w:p>
        </w:tc>
        <w:tc>
          <w:tcPr>
            <w:tcW w:w="2240" w:type="dxa"/>
            <w:vAlign w:val="bottom"/>
            <w:tcBorders>
              <w:bottom w:val="single" w:sz="8" w:color="auto"/>
              <w:right w:val="single" w:sz="8" w:color="auto"/>
            </w:tcBorders>
          </w:tcPr>
          <w:p>
            <w:pPr>
              <w:jc w:val="center"/>
              <w:ind w:right="383"/>
              <w:spacing w:after="0"/>
              <w:rPr>
                <w:sz w:val="20"/>
                <w:szCs w:val="20"/>
                <w:color w:val="auto"/>
              </w:rPr>
            </w:pPr>
            <w:r>
              <w:rPr>
                <w:rFonts w:ascii="Arial" w:cs="Arial" w:eastAsia="Arial" w:hAnsi="Arial"/>
                <w:sz w:val="11"/>
                <w:szCs w:val="11"/>
                <w:b w:val="1"/>
                <w:bCs w:val="1"/>
                <w:color w:val="auto"/>
              </w:rPr>
              <w:t>Trading Symbol(s)</w:t>
            </w:r>
          </w:p>
        </w:tc>
        <w:tc>
          <w:tcPr>
            <w:tcW w:w="840" w:type="dxa"/>
            <w:vAlign w:val="bottom"/>
            <w:tcBorders>
              <w:bottom w:val="single" w:sz="8" w:color="auto"/>
            </w:tcBorders>
          </w:tcPr>
          <w:p>
            <w:pPr>
              <w:spacing w:after="0"/>
              <w:rPr>
                <w:sz w:val="13"/>
                <w:szCs w:val="13"/>
                <w:color w:val="auto"/>
              </w:rPr>
            </w:pPr>
          </w:p>
        </w:tc>
        <w:tc>
          <w:tcPr>
            <w:tcW w:w="4080" w:type="dxa"/>
            <w:vAlign w:val="bottom"/>
            <w:tcBorders>
              <w:bottom w:val="single" w:sz="8" w:color="auto"/>
              <w:right w:val="single" w:sz="8" w:color="auto"/>
            </w:tcBorders>
            <w:gridSpan w:val="2"/>
          </w:tcPr>
          <w:p>
            <w:pPr>
              <w:jc w:val="center"/>
              <w:ind w:right="803"/>
              <w:spacing w:after="0"/>
              <w:rPr>
                <w:sz w:val="20"/>
                <w:szCs w:val="20"/>
                <w:color w:val="auto"/>
              </w:rPr>
            </w:pPr>
            <w:r>
              <w:rPr>
                <w:rFonts w:ascii="Arial" w:cs="Arial" w:eastAsia="Arial" w:hAnsi="Arial"/>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63"/>
        </w:trPr>
        <w:tc>
          <w:tcPr>
            <w:tcW w:w="39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1"/>
                <w:szCs w:val="11"/>
                <w:color w:val="auto"/>
              </w:rPr>
              <w:t>Common Stock, $0.001 Par Value</w:t>
            </w:r>
          </w:p>
        </w:tc>
        <w:tc>
          <w:tcPr>
            <w:tcW w:w="400" w:type="dxa"/>
            <w:vAlign w:val="bottom"/>
            <w:tcBorders>
              <w:bottom w:val="single" w:sz="8" w:color="auto"/>
            </w:tcBorders>
          </w:tcPr>
          <w:p>
            <w:pPr>
              <w:spacing w:after="0"/>
              <w:rPr>
                <w:sz w:val="14"/>
                <w:szCs w:val="14"/>
                <w:color w:val="auto"/>
              </w:rPr>
            </w:pPr>
          </w:p>
        </w:tc>
        <w:tc>
          <w:tcPr>
            <w:tcW w:w="2240" w:type="dxa"/>
            <w:vAlign w:val="bottom"/>
            <w:tcBorders>
              <w:bottom w:val="single" w:sz="8" w:color="auto"/>
              <w:right w:val="single" w:sz="8" w:color="auto"/>
            </w:tcBorders>
          </w:tcPr>
          <w:p>
            <w:pPr>
              <w:jc w:val="center"/>
              <w:ind w:right="363"/>
              <w:spacing w:after="0"/>
              <w:rPr>
                <w:sz w:val="20"/>
                <w:szCs w:val="20"/>
                <w:color w:val="auto"/>
              </w:rPr>
            </w:pPr>
            <w:r>
              <w:rPr>
                <w:rFonts w:ascii="Arial" w:cs="Arial" w:eastAsia="Arial" w:hAnsi="Arial"/>
                <w:sz w:val="11"/>
                <w:szCs w:val="11"/>
                <w:color w:val="auto"/>
              </w:rPr>
              <w:t>MOH</w:t>
            </w:r>
          </w:p>
        </w:tc>
        <w:tc>
          <w:tcPr>
            <w:tcW w:w="840" w:type="dxa"/>
            <w:vAlign w:val="bottom"/>
            <w:tcBorders>
              <w:bottom w:val="single" w:sz="8" w:color="auto"/>
            </w:tcBorders>
          </w:tcPr>
          <w:p>
            <w:pPr>
              <w:spacing w:after="0"/>
              <w:rPr>
                <w:sz w:val="14"/>
                <w:szCs w:val="14"/>
                <w:color w:val="auto"/>
              </w:rPr>
            </w:pPr>
          </w:p>
        </w:tc>
        <w:tc>
          <w:tcPr>
            <w:tcW w:w="4080" w:type="dxa"/>
            <w:vAlign w:val="bottom"/>
            <w:tcBorders>
              <w:bottom w:val="single" w:sz="8" w:color="auto"/>
              <w:right w:val="single" w:sz="8" w:color="auto"/>
            </w:tcBorders>
            <w:gridSpan w:val="2"/>
          </w:tcPr>
          <w:p>
            <w:pPr>
              <w:jc w:val="center"/>
              <w:ind w:right="803"/>
              <w:spacing w:after="0"/>
              <w:rPr>
                <w:sz w:val="20"/>
                <w:szCs w:val="20"/>
                <w:color w:val="auto"/>
              </w:rPr>
            </w:pPr>
            <w:r>
              <w:rPr>
                <w:rFonts w:ascii="Arial" w:cs="Arial" w:eastAsia="Arial" w:hAnsi="Arial"/>
                <w:sz w:val="11"/>
                <w:szCs w:val="11"/>
                <w:color w:val="auto"/>
              </w:rPr>
              <w:t>New York Stock Exchange</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right="320"/>
        <w:spacing w:after="0" w:line="160"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9" w:lineRule="exact"/>
        <w:rPr>
          <w:sz w:val="24"/>
          <w:szCs w:val="24"/>
          <w:color w:val="auto"/>
        </w:rPr>
      </w:pPr>
    </w:p>
    <w:p>
      <w:pPr>
        <w:ind w:right="60"/>
        <w:spacing w:after="0" w:line="160"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9" w:lineRule="exact"/>
        <w:rPr>
          <w:sz w:val="24"/>
          <w:szCs w:val="24"/>
          <w:color w:val="auto"/>
        </w:rPr>
      </w:pPr>
    </w:p>
    <w:p>
      <w:pPr>
        <w:ind w:right="160"/>
        <w:spacing w:after="0" w:line="25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42" w:lineRule="exact"/>
        <w:rPr>
          <w:sz w:val="24"/>
          <w:szCs w:val="24"/>
          <w:color w:val="auto"/>
        </w:rPr>
      </w:pPr>
    </w:p>
    <w:p>
      <w:pPr>
        <w:ind w:left="26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Non-Accelerated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(do not check if a smaller reporting company)</w:t>
      </w:r>
    </w:p>
    <w:p>
      <w:pPr>
        <w:spacing w:after="0" w:line="88" w:lineRule="exact"/>
        <w:rPr>
          <w:sz w:val="24"/>
          <w:szCs w:val="24"/>
          <w:color w:val="auto"/>
        </w:rPr>
      </w:pPr>
    </w:p>
    <w:p>
      <w:pPr>
        <w:ind w:left="260"/>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r>
        <w:rPr>
          <w:rFonts w:ascii="Arial" w:cs="Arial" w:eastAsia="Arial" w:hAnsi="Arial"/>
          <w:sz w:val="13"/>
          <w:szCs w:val="13"/>
          <w:color w:val="auto"/>
        </w:rPr>
        <w:t xml:space="preserve"> Emerging growth company </w:t>
      </w:r>
      <w:r>
        <w:rPr>
          <w:rFonts w:ascii="MS PGothic" w:cs="MS PGothic" w:eastAsia="MS PGothic" w:hAnsi="MS PGothic"/>
          <w:sz w:val="13"/>
          <w:szCs w:val="13"/>
          <w:color w:val="auto"/>
        </w:rPr>
        <w:t>☐</w:t>
      </w:r>
    </w:p>
    <w:p>
      <w:pPr>
        <w:spacing w:after="0" w:line="88" w:lineRule="exact"/>
        <w:rPr>
          <w:sz w:val="24"/>
          <w:szCs w:val="24"/>
          <w:color w:val="auto"/>
        </w:rPr>
      </w:pPr>
    </w:p>
    <w:p>
      <w:pPr>
        <w:ind w:right="380"/>
        <w:spacing w:after="0" w:line="17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3"/>
          <w:szCs w:val="13"/>
          <w:color w:val="auto"/>
        </w:rPr>
        <w:t>☐</w:t>
      </w:r>
    </w:p>
    <w:p>
      <w:pPr>
        <w:spacing w:after="0" w:line="3"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1"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the issuer’s Common Stock, $0.001 par value, outstanding as of July 26, 2019, was approximately 62,711,000.</w:t>
      </w:r>
    </w:p>
    <w:p>
      <w:pPr>
        <w:sectPr>
          <w:pgSz w:w="11900" w:h="16838" w:orient="portrait"/>
          <w:cols w:equalWidth="0" w:num="1">
            <w:col w:w="11480"/>
          </w:cols>
          <w:pgMar w:left="220" w:top="225" w:right="19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MOLINA HEALTHCARE, INC. FORM 10-Q</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828282"/>
        </w:rPr>
        <w:t>FOR THE QUARTERLY PERIOD ENDED June 30, 2019</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828282"/>
        </w:rPr>
        <w:t>TABLE OF CONTENTS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680" w:type="dxa"/>
            <w:vAlign w:val="bottom"/>
            <w:gridSpan w:val="10"/>
          </w:tcPr>
          <w:p>
            <w:pPr>
              <w:spacing w:after="0"/>
              <w:rPr>
                <w:sz w:val="20"/>
                <w:szCs w:val="20"/>
                <w:color w:val="auto"/>
              </w:rPr>
            </w:pPr>
            <w:r>
              <w:rPr>
                <w:rFonts w:ascii="Arial" w:cs="Arial" w:eastAsia="Arial" w:hAnsi="Arial"/>
                <w:sz w:val="13"/>
                <w:szCs w:val="13"/>
                <w:b w:val="1"/>
                <w:bCs w:val="1"/>
                <w:color w:val="0F7C7F"/>
              </w:rPr>
              <w:t>ITEM NUMBER</w:t>
            </w:r>
          </w:p>
        </w:tc>
        <w:tc>
          <w:tcPr>
            <w:tcW w:w="5740" w:type="dxa"/>
            <w:vAlign w:val="bottom"/>
            <w:gridSpan w:val="3"/>
          </w:tcPr>
          <w:p>
            <w:pPr>
              <w:jc w:val="right"/>
              <w:spacing w:after="0"/>
              <w:rPr>
                <w:sz w:val="20"/>
                <w:szCs w:val="20"/>
                <w:color w:val="auto"/>
              </w:rPr>
            </w:pPr>
            <w:r>
              <w:rPr>
                <w:rFonts w:ascii="Arial" w:cs="Arial" w:eastAsia="Arial" w:hAnsi="Arial"/>
                <w:sz w:val="13"/>
                <w:szCs w:val="13"/>
                <w:b w:val="1"/>
                <w:bCs w:val="1"/>
                <w:color w:val="0F7C7F"/>
              </w:rPr>
              <w:t>Page</w:t>
            </w:r>
          </w:p>
        </w:tc>
      </w:tr>
      <w:tr>
        <w:trPr>
          <w:trHeight w:val="298"/>
        </w:trPr>
        <w:tc>
          <w:tcPr>
            <w:tcW w:w="5680" w:type="dxa"/>
            <w:vAlign w:val="bottom"/>
            <w:gridSpan w:val="10"/>
          </w:tcPr>
          <w:p>
            <w:pPr>
              <w:spacing w:after="0"/>
              <w:rPr>
                <w:sz w:val="20"/>
                <w:szCs w:val="20"/>
                <w:color w:val="auto"/>
              </w:rPr>
            </w:pPr>
            <w:r>
              <w:rPr>
                <w:rFonts w:ascii="Arial" w:cs="Arial" w:eastAsia="Arial" w:hAnsi="Arial"/>
                <w:sz w:val="13"/>
                <w:szCs w:val="13"/>
                <w:b w:val="1"/>
                <w:bCs w:val="1"/>
                <w:color w:val="0F7C7F"/>
              </w:rPr>
              <w:t>PART I - Financial Information</w:t>
            </w:r>
          </w:p>
        </w:tc>
        <w:tc>
          <w:tcPr>
            <w:tcW w:w="5440" w:type="dxa"/>
            <w:vAlign w:val="bottom"/>
          </w:tcPr>
          <w:p>
            <w:pPr>
              <w:spacing w:after="0"/>
              <w:rPr>
                <w:sz w:val="24"/>
                <w:szCs w:val="24"/>
                <w:color w:val="auto"/>
              </w:rPr>
            </w:pPr>
          </w:p>
        </w:tc>
        <w:tc>
          <w:tcPr>
            <w:tcW w:w="22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r>
      <w:tr>
        <w:trPr>
          <w:trHeight w:val="285"/>
        </w:trPr>
        <w:tc>
          <w:tcPr>
            <w:tcW w:w="580" w:type="dxa"/>
            <w:vAlign w:val="bottom"/>
          </w:tcPr>
          <w:p>
            <w:pPr>
              <w:spacing w:after="0"/>
              <w:rPr>
                <w:sz w:val="20"/>
                <w:szCs w:val="20"/>
                <w:color w:val="auto"/>
              </w:rPr>
            </w:pPr>
            <w:r>
              <w:rPr>
                <w:rFonts w:ascii="Arial" w:cs="Arial" w:eastAsia="Arial" w:hAnsi="Arial"/>
                <w:sz w:val="13"/>
                <w:szCs w:val="13"/>
                <w:color w:val="0F7C7F"/>
              </w:rPr>
              <w:t>1.</w:t>
            </w:r>
          </w:p>
        </w:tc>
        <w:tc>
          <w:tcPr>
            <w:tcW w:w="1220" w:type="dxa"/>
            <w:vAlign w:val="bottom"/>
            <w:tcBorders>
              <w:bottom w:val="single" w:sz="8" w:color="0F7C7F"/>
            </w:tcBorders>
            <w:gridSpan w:val="5"/>
          </w:tcPr>
          <w:p>
            <w:pPr>
              <w:spacing w:after="0"/>
              <w:rPr>
                <w:rFonts w:ascii="Arial" w:cs="Arial" w:eastAsia="Arial" w:hAnsi="Arial"/>
                <w:sz w:val="13"/>
                <w:szCs w:val="13"/>
                <w:color w:val="0F7C7F"/>
                <w:w w:val="98"/>
              </w:rPr>
            </w:pPr>
            <w:hyperlink w:anchor="page3">
              <w:r>
                <w:rPr>
                  <w:rFonts w:ascii="Arial" w:cs="Arial" w:eastAsia="Arial" w:hAnsi="Arial"/>
                  <w:sz w:val="13"/>
                  <w:szCs w:val="13"/>
                  <w:color w:val="0F7C7F"/>
                  <w:w w:val="98"/>
                </w:rPr>
                <w:t>Financial Statements</w:t>
              </w:r>
            </w:hyperlink>
          </w:p>
        </w:tc>
        <w:tc>
          <w:tcPr>
            <w:tcW w:w="3880" w:type="dxa"/>
            <w:vAlign w:val="bottom"/>
            <w:gridSpan w:val="4"/>
          </w:tcPr>
          <w:p>
            <w:pPr>
              <w:spacing w:after="0"/>
              <w:rPr>
                <w:sz w:val="24"/>
                <w:szCs w:val="24"/>
                <w:color w:val="auto"/>
              </w:rPr>
            </w:pPr>
          </w:p>
        </w:tc>
        <w:tc>
          <w:tcPr>
            <w:tcW w:w="5660" w:type="dxa"/>
            <w:vAlign w:val="bottom"/>
            <w:gridSpan w:val="2"/>
          </w:tcPr>
          <w:p>
            <w:pPr>
              <w:spacing w:after="0"/>
              <w:rPr>
                <w:sz w:val="24"/>
                <w:szCs w:val="24"/>
                <w:color w:val="auto"/>
              </w:rPr>
            </w:pPr>
          </w:p>
        </w:tc>
        <w:tc>
          <w:tcPr>
            <w:tcW w:w="80" w:type="dxa"/>
            <w:vAlign w:val="bottom"/>
            <w:tcBorders>
              <w:bottom w:val="single" w:sz="8" w:color="0F7C7F"/>
            </w:tcBorders>
          </w:tcPr>
          <w:p>
            <w:pPr>
              <w:jc w:val="right"/>
              <w:spacing w:after="0"/>
              <w:rPr>
                <w:rFonts w:ascii="Arial" w:cs="Arial" w:eastAsia="Arial" w:hAnsi="Arial"/>
                <w:sz w:val="13"/>
                <w:szCs w:val="13"/>
                <w:color w:val="0F7C7F"/>
                <w:w w:val="82"/>
              </w:rPr>
            </w:pPr>
            <w:hyperlink w:anchor="page3">
              <w:r>
                <w:rPr>
                  <w:rFonts w:ascii="Arial" w:cs="Arial" w:eastAsia="Arial" w:hAnsi="Arial"/>
                  <w:sz w:val="13"/>
                  <w:szCs w:val="13"/>
                  <w:color w:val="0F7C7F"/>
                  <w:w w:val="82"/>
                </w:rPr>
                <w:t>3</w:t>
              </w:r>
            </w:hyperlink>
          </w:p>
        </w:tc>
      </w:tr>
      <w:tr>
        <w:trPr>
          <w:trHeight w:val="271"/>
        </w:trPr>
        <w:tc>
          <w:tcPr>
            <w:tcW w:w="580" w:type="dxa"/>
            <w:vAlign w:val="bottom"/>
          </w:tcPr>
          <w:p>
            <w:pPr>
              <w:spacing w:after="0"/>
              <w:rPr>
                <w:sz w:val="20"/>
                <w:szCs w:val="20"/>
                <w:color w:val="auto"/>
              </w:rPr>
            </w:pPr>
            <w:r>
              <w:rPr>
                <w:rFonts w:ascii="Arial" w:cs="Arial" w:eastAsia="Arial" w:hAnsi="Arial"/>
                <w:sz w:val="13"/>
                <w:szCs w:val="13"/>
                <w:color w:val="0F7C7F"/>
              </w:rPr>
              <w:t>2.</w:t>
            </w:r>
          </w:p>
        </w:tc>
        <w:tc>
          <w:tcPr>
            <w:tcW w:w="5100" w:type="dxa"/>
            <w:vAlign w:val="bottom"/>
            <w:gridSpan w:val="9"/>
          </w:tcPr>
          <w:p>
            <w:pPr>
              <w:spacing w:after="0"/>
              <w:rPr>
                <w:rFonts w:ascii="Arial" w:cs="Arial" w:eastAsia="Arial" w:hAnsi="Arial"/>
                <w:sz w:val="13"/>
                <w:szCs w:val="13"/>
                <w:color w:val="0F7C7F"/>
                <w:w w:val="99"/>
              </w:rPr>
            </w:pPr>
            <w:hyperlink w:anchor="page28">
              <w:r>
                <w:rPr>
                  <w:rFonts w:ascii="Arial" w:cs="Arial" w:eastAsia="Arial" w:hAnsi="Arial"/>
                  <w:sz w:val="13"/>
                  <w:szCs w:val="13"/>
                  <w:color w:val="0F7C7F"/>
                  <w:w w:val="99"/>
                </w:rPr>
                <w:t>Management’s Discussion and Analysis of Financial Condition and Results of Operations</w:t>
              </w:r>
            </w:hyperlink>
          </w:p>
        </w:tc>
        <w:tc>
          <w:tcPr>
            <w:tcW w:w="5740" w:type="dxa"/>
            <w:vAlign w:val="bottom"/>
            <w:gridSpan w:val="3"/>
          </w:tcPr>
          <w:p>
            <w:pPr>
              <w:jc w:val="right"/>
              <w:spacing w:after="0"/>
              <w:rPr>
                <w:rFonts w:ascii="Arial" w:cs="Arial" w:eastAsia="Arial" w:hAnsi="Arial"/>
                <w:sz w:val="13"/>
                <w:szCs w:val="13"/>
                <w:color w:val="0F7C7F"/>
              </w:rPr>
            </w:pPr>
            <w:hyperlink w:anchor="page28">
              <w:r>
                <w:rPr>
                  <w:rFonts w:ascii="Arial" w:cs="Arial" w:eastAsia="Arial" w:hAnsi="Arial"/>
                  <w:sz w:val="13"/>
                  <w:szCs w:val="13"/>
                  <w:color w:val="0F7C7F"/>
                </w:rPr>
                <w:t>28</w:t>
              </w:r>
            </w:hyperlink>
          </w:p>
        </w:tc>
      </w:tr>
      <w:tr>
        <w:trPr>
          <w:trHeight w:val="20"/>
        </w:trPr>
        <w:tc>
          <w:tcPr>
            <w:tcW w:w="580" w:type="dxa"/>
            <w:vAlign w:val="bottom"/>
          </w:tcPr>
          <w:p>
            <w:pPr>
              <w:spacing w:after="0" w:line="20" w:lineRule="exact"/>
              <w:rPr>
                <w:sz w:val="1"/>
                <w:szCs w:val="1"/>
                <w:color w:val="auto"/>
              </w:rPr>
            </w:pPr>
          </w:p>
        </w:tc>
        <w:tc>
          <w:tcPr>
            <w:tcW w:w="46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360" w:type="dxa"/>
            <w:vAlign w:val="bottom"/>
            <w:gridSpan w:val="2"/>
            <w:shd w:val="clear" w:color="auto" w:fill="0F7C7F"/>
          </w:tcPr>
          <w:p>
            <w:pPr>
              <w:spacing w:after="0" w:line="20" w:lineRule="exact"/>
              <w:rPr>
                <w:sz w:val="1"/>
                <w:szCs w:val="1"/>
                <w:color w:val="auto"/>
              </w:rPr>
            </w:pPr>
          </w:p>
        </w:tc>
        <w:tc>
          <w:tcPr>
            <w:tcW w:w="196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1600" w:type="dxa"/>
            <w:vAlign w:val="bottom"/>
            <w:shd w:val="clear" w:color="auto" w:fill="0F7C7F"/>
          </w:tcPr>
          <w:p>
            <w:pPr>
              <w:spacing w:after="0" w:line="20" w:lineRule="exact"/>
              <w:rPr>
                <w:sz w:val="1"/>
                <w:szCs w:val="1"/>
                <w:color w:val="auto"/>
              </w:rPr>
            </w:pPr>
          </w:p>
        </w:tc>
        <w:tc>
          <w:tcPr>
            <w:tcW w:w="5660" w:type="dxa"/>
            <w:vAlign w:val="bottom"/>
            <w:tcBorders>
              <w:right w:val="single" w:sz="8" w:color="0F7C7F"/>
            </w:tcBorders>
            <w:gridSpan w:val="2"/>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r>
      <w:tr>
        <w:trPr>
          <w:trHeight w:val="271"/>
        </w:trPr>
        <w:tc>
          <w:tcPr>
            <w:tcW w:w="580" w:type="dxa"/>
            <w:vAlign w:val="bottom"/>
          </w:tcPr>
          <w:p>
            <w:pPr>
              <w:spacing w:after="0"/>
              <w:rPr>
                <w:sz w:val="20"/>
                <w:szCs w:val="20"/>
                <w:color w:val="auto"/>
              </w:rPr>
            </w:pPr>
            <w:r>
              <w:rPr>
                <w:rFonts w:ascii="Arial" w:cs="Arial" w:eastAsia="Arial" w:hAnsi="Arial"/>
                <w:sz w:val="13"/>
                <w:szCs w:val="13"/>
                <w:color w:val="0F7C7F"/>
              </w:rPr>
              <w:t>3.</w:t>
            </w:r>
          </w:p>
        </w:tc>
        <w:tc>
          <w:tcPr>
            <w:tcW w:w="3400" w:type="dxa"/>
            <w:vAlign w:val="bottom"/>
            <w:gridSpan w:val="7"/>
          </w:tcPr>
          <w:p>
            <w:pPr>
              <w:spacing w:after="0"/>
              <w:rPr>
                <w:rFonts w:ascii="Arial" w:cs="Arial" w:eastAsia="Arial" w:hAnsi="Arial"/>
                <w:sz w:val="13"/>
                <w:szCs w:val="13"/>
                <w:color w:val="0F7C7F"/>
                <w:w w:val="99"/>
              </w:rPr>
            </w:pPr>
            <w:hyperlink w:anchor="page48">
              <w:r>
                <w:rPr>
                  <w:rFonts w:ascii="Arial" w:cs="Arial" w:eastAsia="Arial" w:hAnsi="Arial"/>
                  <w:sz w:val="13"/>
                  <w:szCs w:val="13"/>
                  <w:color w:val="0F7C7F"/>
                  <w:w w:val="99"/>
                </w:rPr>
                <w:t>Quantitative and Qualitative Disclosures About Market Risk</w:t>
              </w:r>
            </w:hyperlink>
          </w:p>
        </w:tc>
        <w:tc>
          <w:tcPr>
            <w:tcW w:w="1700" w:type="dxa"/>
            <w:vAlign w:val="bottom"/>
            <w:gridSpan w:val="2"/>
          </w:tcPr>
          <w:p>
            <w:pPr>
              <w:spacing w:after="0"/>
              <w:rPr>
                <w:sz w:val="23"/>
                <w:szCs w:val="23"/>
                <w:color w:val="auto"/>
              </w:rPr>
            </w:pPr>
          </w:p>
        </w:tc>
        <w:tc>
          <w:tcPr>
            <w:tcW w:w="5740" w:type="dxa"/>
            <w:vAlign w:val="bottom"/>
            <w:gridSpan w:val="3"/>
          </w:tcPr>
          <w:p>
            <w:pPr>
              <w:jc w:val="right"/>
              <w:spacing w:after="0"/>
              <w:rPr>
                <w:rFonts w:ascii="Arial" w:cs="Arial" w:eastAsia="Arial" w:hAnsi="Arial"/>
                <w:sz w:val="13"/>
                <w:szCs w:val="13"/>
                <w:color w:val="0F7C7F"/>
              </w:rPr>
            </w:pPr>
            <w:hyperlink w:anchor="page48">
              <w:r>
                <w:rPr>
                  <w:rFonts w:ascii="Arial" w:cs="Arial" w:eastAsia="Arial" w:hAnsi="Arial"/>
                  <w:sz w:val="13"/>
                  <w:szCs w:val="13"/>
                  <w:color w:val="0F7C7F"/>
                </w:rPr>
                <w:t>48</w:t>
              </w:r>
            </w:hyperlink>
          </w:p>
        </w:tc>
      </w:tr>
      <w:tr>
        <w:trPr>
          <w:trHeight w:val="20"/>
        </w:trPr>
        <w:tc>
          <w:tcPr>
            <w:tcW w:w="580" w:type="dxa"/>
            <w:vAlign w:val="bottom"/>
          </w:tcPr>
          <w:p>
            <w:pPr>
              <w:spacing w:after="0" w:line="20" w:lineRule="exact"/>
              <w:rPr>
                <w:sz w:val="1"/>
                <w:szCs w:val="1"/>
                <w:color w:val="auto"/>
              </w:rPr>
            </w:pPr>
          </w:p>
        </w:tc>
        <w:tc>
          <w:tcPr>
            <w:tcW w:w="46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360" w:type="dxa"/>
            <w:vAlign w:val="bottom"/>
            <w:gridSpan w:val="2"/>
            <w:shd w:val="clear" w:color="auto" w:fill="0F7C7F"/>
          </w:tcPr>
          <w:p>
            <w:pPr>
              <w:spacing w:after="0" w:line="20" w:lineRule="exact"/>
              <w:rPr>
                <w:sz w:val="1"/>
                <w:szCs w:val="1"/>
                <w:color w:val="auto"/>
              </w:rPr>
            </w:pPr>
          </w:p>
        </w:tc>
        <w:tc>
          <w:tcPr>
            <w:tcW w:w="1960" w:type="dxa"/>
            <w:vAlign w:val="bottom"/>
            <w:shd w:val="clear" w:color="auto" w:fill="0F7C7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60" w:type="dxa"/>
            <w:vAlign w:val="bottom"/>
            <w:tcBorders>
              <w:right w:val="single" w:sz="8" w:color="0F7C7F"/>
            </w:tcBorders>
            <w:gridSpan w:val="2"/>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r>
      <w:tr>
        <w:trPr>
          <w:trHeight w:val="271"/>
        </w:trPr>
        <w:tc>
          <w:tcPr>
            <w:tcW w:w="580" w:type="dxa"/>
            <w:vAlign w:val="bottom"/>
          </w:tcPr>
          <w:p>
            <w:pPr>
              <w:spacing w:after="0"/>
              <w:rPr>
                <w:sz w:val="20"/>
                <w:szCs w:val="20"/>
                <w:color w:val="auto"/>
              </w:rPr>
            </w:pPr>
            <w:r>
              <w:rPr>
                <w:rFonts w:ascii="Arial" w:cs="Arial" w:eastAsia="Arial" w:hAnsi="Arial"/>
                <w:sz w:val="13"/>
                <w:szCs w:val="13"/>
                <w:color w:val="0F7C7F"/>
              </w:rPr>
              <w:t>4.</w:t>
            </w:r>
          </w:p>
        </w:tc>
        <w:tc>
          <w:tcPr>
            <w:tcW w:w="1440" w:type="dxa"/>
            <w:vAlign w:val="bottom"/>
            <w:gridSpan w:val="6"/>
          </w:tcPr>
          <w:p>
            <w:pPr>
              <w:spacing w:after="0"/>
              <w:rPr>
                <w:rFonts w:ascii="Arial" w:cs="Arial" w:eastAsia="Arial" w:hAnsi="Arial"/>
                <w:sz w:val="13"/>
                <w:szCs w:val="13"/>
                <w:color w:val="0F7C7F"/>
                <w:w w:val="98"/>
              </w:rPr>
            </w:pPr>
            <w:hyperlink w:anchor="page49">
              <w:r>
                <w:rPr>
                  <w:rFonts w:ascii="Arial" w:cs="Arial" w:eastAsia="Arial" w:hAnsi="Arial"/>
                  <w:sz w:val="13"/>
                  <w:szCs w:val="13"/>
                  <w:color w:val="0F7C7F"/>
                  <w:w w:val="98"/>
                </w:rPr>
                <w:t>Controls and Procedures</w:t>
              </w:r>
            </w:hyperlink>
          </w:p>
        </w:tc>
        <w:tc>
          <w:tcPr>
            <w:tcW w:w="1960" w:type="dxa"/>
            <w:vAlign w:val="bottom"/>
          </w:tcPr>
          <w:p>
            <w:pPr>
              <w:spacing w:after="0"/>
              <w:rPr>
                <w:sz w:val="23"/>
                <w:szCs w:val="23"/>
                <w:color w:val="auto"/>
              </w:rPr>
            </w:pPr>
          </w:p>
        </w:tc>
        <w:tc>
          <w:tcPr>
            <w:tcW w:w="1700" w:type="dxa"/>
            <w:vAlign w:val="bottom"/>
            <w:gridSpan w:val="2"/>
          </w:tcPr>
          <w:p>
            <w:pPr>
              <w:spacing w:after="0"/>
              <w:rPr>
                <w:sz w:val="23"/>
                <w:szCs w:val="23"/>
                <w:color w:val="auto"/>
              </w:rPr>
            </w:pPr>
          </w:p>
        </w:tc>
        <w:tc>
          <w:tcPr>
            <w:tcW w:w="5740" w:type="dxa"/>
            <w:vAlign w:val="bottom"/>
            <w:gridSpan w:val="3"/>
          </w:tcPr>
          <w:p>
            <w:pPr>
              <w:jc w:val="right"/>
              <w:spacing w:after="0"/>
              <w:rPr>
                <w:rFonts w:ascii="Arial" w:cs="Arial" w:eastAsia="Arial" w:hAnsi="Arial"/>
                <w:sz w:val="13"/>
                <w:szCs w:val="13"/>
                <w:color w:val="0F7C7F"/>
              </w:rPr>
            </w:pPr>
            <w:hyperlink w:anchor="page49">
              <w:r>
                <w:rPr>
                  <w:rFonts w:ascii="Arial" w:cs="Arial" w:eastAsia="Arial" w:hAnsi="Arial"/>
                  <w:sz w:val="13"/>
                  <w:szCs w:val="13"/>
                  <w:color w:val="0F7C7F"/>
                </w:rPr>
                <w:t>49</w:t>
              </w:r>
            </w:hyperlink>
          </w:p>
        </w:tc>
      </w:tr>
      <w:tr>
        <w:trPr>
          <w:trHeight w:val="20"/>
        </w:trPr>
        <w:tc>
          <w:tcPr>
            <w:tcW w:w="580" w:type="dxa"/>
            <w:vAlign w:val="bottom"/>
          </w:tcPr>
          <w:p>
            <w:pPr>
              <w:spacing w:after="0" w:line="20" w:lineRule="exact"/>
              <w:rPr>
                <w:sz w:val="1"/>
                <w:szCs w:val="1"/>
                <w:color w:val="auto"/>
              </w:rPr>
            </w:pPr>
          </w:p>
        </w:tc>
        <w:tc>
          <w:tcPr>
            <w:tcW w:w="46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360" w:type="dxa"/>
            <w:vAlign w:val="bottom"/>
            <w:gridSpan w:val="2"/>
            <w:shd w:val="clear" w:color="auto" w:fill="0F7C7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0" w:type="dxa"/>
            <w:vAlign w:val="bottom"/>
            <w:tcBorders>
              <w:right w:val="single" w:sz="8" w:color="0F7C7F"/>
            </w:tcBorders>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r>
      <w:tr>
        <w:trPr>
          <w:trHeight w:val="298"/>
        </w:trPr>
        <w:tc>
          <w:tcPr>
            <w:tcW w:w="5680" w:type="dxa"/>
            <w:vAlign w:val="bottom"/>
            <w:gridSpan w:val="10"/>
          </w:tcPr>
          <w:p>
            <w:pPr>
              <w:spacing w:after="0"/>
              <w:rPr>
                <w:sz w:val="20"/>
                <w:szCs w:val="20"/>
                <w:color w:val="auto"/>
              </w:rPr>
            </w:pPr>
            <w:r>
              <w:rPr>
                <w:rFonts w:ascii="Arial" w:cs="Arial" w:eastAsia="Arial" w:hAnsi="Arial"/>
                <w:sz w:val="13"/>
                <w:szCs w:val="13"/>
                <w:b w:val="1"/>
                <w:bCs w:val="1"/>
                <w:color w:val="0F7C7F"/>
              </w:rPr>
              <w:t>Part II - Other Information</w:t>
            </w:r>
          </w:p>
        </w:tc>
        <w:tc>
          <w:tcPr>
            <w:tcW w:w="5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5"/>
        </w:trPr>
        <w:tc>
          <w:tcPr>
            <w:tcW w:w="580" w:type="dxa"/>
            <w:vAlign w:val="bottom"/>
          </w:tcPr>
          <w:p>
            <w:pPr>
              <w:spacing w:after="0"/>
              <w:rPr>
                <w:sz w:val="20"/>
                <w:szCs w:val="20"/>
                <w:color w:val="auto"/>
              </w:rPr>
            </w:pPr>
            <w:r>
              <w:rPr>
                <w:rFonts w:ascii="Arial" w:cs="Arial" w:eastAsia="Arial" w:hAnsi="Arial"/>
                <w:sz w:val="13"/>
                <w:szCs w:val="13"/>
                <w:color w:val="0F7C7F"/>
              </w:rPr>
              <w:t>1.</w:t>
            </w:r>
          </w:p>
        </w:tc>
        <w:tc>
          <w:tcPr>
            <w:tcW w:w="5100" w:type="dxa"/>
            <w:vAlign w:val="bottom"/>
            <w:gridSpan w:val="9"/>
          </w:tcPr>
          <w:p>
            <w:pPr>
              <w:spacing w:after="0"/>
              <w:rPr>
                <w:rFonts w:ascii="Arial" w:cs="Arial" w:eastAsia="Arial" w:hAnsi="Arial"/>
                <w:sz w:val="13"/>
                <w:szCs w:val="13"/>
                <w:color w:val="0F7C7F"/>
              </w:rPr>
            </w:pPr>
            <w:hyperlink w:anchor="page49">
              <w:r>
                <w:rPr>
                  <w:rFonts w:ascii="Arial" w:cs="Arial" w:eastAsia="Arial" w:hAnsi="Arial"/>
                  <w:sz w:val="13"/>
                  <w:szCs w:val="13"/>
                  <w:color w:val="0F7C7F"/>
                </w:rPr>
                <w:t>Legal Proceedings</w:t>
              </w:r>
            </w:hyperlink>
          </w:p>
        </w:tc>
        <w:tc>
          <w:tcPr>
            <w:tcW w:w="5740" w:type="dxa"/>
            <w:vAlign w:val="bottom"/>
            <w:gridSpan w:val="3"/>
          </w:tcPr>
          <w:p>
            <w:pPr>
              <w:jc w:val="right"/>
              <w:spacing w:after="0"/>
              <w:rPr>
                <w:rFonts w:ascii="Arial" w:cs="Arial" w:eastAsia="Arial" w:hAnsi="Arial"/>
                <w:sz w:val="13"/>
                <w:szCs w:val="13"/>
                <w:color w:val="0F7C7F"/>
              </w:rPr>
            </w:pPr>
            <w:hyperlink w:anchor="page49">
              <w:r>
                <w:rPr>
                  <w:rFonts w:ascii="Arial" w:cs="Arial" w:eastAsia="Arial" w:hAnsi="Arial"/>
                  <w:sz w:val="13"/>
                  <w:szCs w:val="13"/>
                  <w:color w:val="0F7C7F"/>
                </w:rPr>
                <w:t>49</w:t>
              </w:r>
            </w:hyperlink>
          </w:p>
        </w:tc>
      </w:tr>
      <w:tr>
        <w:trPr>
          <w:trHeight w:val="20"/>
        </w:trPr>
        <w:tc>
          <w:tcPr>
            <w:tcW w:w="580" w:type="dxa"/>
            <w:vAlign w:val="bottom"/>
          </w:tcPr>
          <w:p>
            <w:pPr>
              <w:spacing w:after="0" w:line="20" w:lineRule="exact"/>
              <w:rPr>
                <w:sz w:val="1"/>
                <w:szCs w:val="1"/>
                <w:color w:val="auto"/>
              </w:rPr>
            </w:pPr>
          </w:p>
        </w:tc>
        <w:tc>
          <w:tcPr>
            <w:tcW w:w="46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60" w:type="dxa"/>
            <w:vAlign w:val="bottom"/>
            <w:tcBorders>
              <w:right w:val="single" w:sz="8" w:color="0F7C7F"/>
            </w:tcBorders>
            <w:gridSpan w:val="2"/>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r>
      <w:tr>
        <w:trPr>
          <w:trHeight w:val="271"/>
        </w:trPr>
        <w:tc>
          <w:tcPr>
            <w:tcW w:w="580" w:type="dxa"/>
            <w:vAlign w:val="bottom"/>
          </w:tcPr>
          <w:p>
            <w:pPr>
              <w:spacing w:after="0"/>
              <w:rPr>
                <w:sz w:val="20"/>
                <w:szCs w:val="20"/>
                <w:color w:val="auto"/>
              </w:rPr>
            </w:pPr>
            <w:r>
              <w:rPr>
                <w:rFonts w:ascii="Arial" w:cs="Arial" w:eastAsia="Arial" w:hAnsi="Arial"/>
                <w:sz w:val="13"/>
                <w:szCs w:val="13"/>
                <w:color w:val="0F7C7F"/>
              </w:rPr>
              <w:t>1A.</w:t>
            </w:r>
          </w:p>
        </w:tc>
        <w:tc>
          <w:tcPr>
            <w:tcW w:w="1080" w:type="dxa"/>
            <w:vAlign w:val="bottom"/>
            <w:gridSpan w:val="4"/>
          </w:tcPr>
          <w:p>
            <w:pPr>
              <w:spacing w:after="0"/>
              <w:rPr>
                <w:rFonts w:ascii="Arial" w:cs="Arial" w:eastAsia="Arial" w:hAnsi="Arial"/>
                <w:sz w:val="13"/>
                <w:szCs w:val="13"/>
                <w:color w:val="0F7C7F"/>
              </w:rPr>
            </w:pPr>
            <w:hyperlink w:anchor="page49">
              <w:r>
                <w:rPr>
                  <w:rFonts w:ascii="Arial" w:cs="Arial" w:eastAsia="Arial" w:hAnsi="Arial"/>
                  <w:sz w:val="13"/>
                  <w:szCs w:val="13"/>
                  <w:color w:val="0F7C7F"/>
                </w:rPr>
                <w:t>Risk Factors</w:t>
              </w:r>
            </w:hyperlink>
          </w:p>
        </w:tc>
        <w:tc>
          <w:tcPr>
            <w:tcW w:w="4020" w:type="dxa"/>
            <w:vAlign w:val="bottom"/>
            <w:gridSpan w:val="5"/>
          </w:tcPr>
          <w:p>
            <w:pPr>
              <w:spacing w:after="0"/>
              <w:rPr>
                <w:sz w:val="23"/>
                <w:szCs w:val="23"/>
                <w:color w:val="auto"/>
              </w:rPr>
            </w:pPr>
          </w:p>
        </w:tc>
        <w:tc>
          <w:tcPr>
            <w:tcW w:w="5740" w:type="dxa"/>
            <w:vAlign w:val="bottom"/>
            <w:gridSpan w:val="3"/>
          </w:tcPr>
          <w:p>
            <w:pPr>
              <w:jc w:val="right"/>
              <w:spacing w:after="0"/>
              <w:rPr>
                <w:rFonts w:ascii="Arial" w:cs="Arial" w:eastAsia="Arial" w:hAnsi="Arial"/>
                <w:sz w:val="13"/>
                <w:szCs w:val="13"/>
                <w:color w:val="0F7C7F"/>
              </w:rPr>
            </w:pPr>
            <w:hyperlink w:anchor="page49">
              <w:r>
                <w:rPr>
                  <w:rFonts w:ascii="Arial" w:cs="Arial" w:eastAsia="Arial" w:hAnsi="Arial"/>
                  <w:sz w:val="13"/>
                  <w:szCs w:val="13"/>
                  <w:color w:val="0F7C7F"/>
                </w:rPr>
                <w:t>49</w:t>
              </w:r>
            </w:hyperlink>
          </w:p>
        </w:tc>
      </w:tr>
      <w:tr>
        <w:trPr>
          <w:trHeight w:val="20"/>
        </w:trPr>
        <w:tc>
          <w:tcPr>
            <w:tcW w:w="580" w:type="dxa"/>
            <w:vAlign w:val="bottom"/>
          </w:tcPr>
          <w:p>
            <w:pPr>
              <w:spacing w:after="0" w:line="20" w:lineRule="exact"/>
              <w:rPr>
                <w:sz w:val="1"/>
                <w:szCs w:val="1"/>
                <w:color w:val="auto"/>
              </w:rPr>
            </w:pPr>
          </w:p>
        </w:tc>
        <w:tc>
          <w:tcPr>
            <w:tcW w:w="46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60" w:type="dxa"/>
            <w:vAlign w:val="bottom"/>
            <w:tcBorders>
              <w:right w:val="single" w:sz="8" w:color="0F7C7F"/>
            </w:tcBorders>
            <w:gridSpan w:val="2"/>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r>
      <w:tr>
        <w:trPr>
          <w:trHeight w:val="271"/>
        </w:trPr>
        <w:tc>
          <w:tcPr>
            <w:tcW w:w="580" w:type="dxa"/>
            <w:vAlign w:val="bottom"/>
          </w:tcPr>
          <w:p>
            <w:pPr>
              <w:spacing w:after="0"/>
              <w:rPr>
                <w:sz w:val="20"/>
                <w:szCs w:val="20"/>
                <w:color w:val="auto"/>
              </w:rPr>
            </w:pPr>
            <w:r>
              <w:rPr>
                <w:rFonts w:ascii="Arial" w:cs="Arial" w:eastAsia="Arial" w:hAnsi="Arial"/>
                <w:sz w:val="13"/>
                <w:szCs w:val="13"/>
                <w:color w:val="0F7C7F"/>
              </w:rPr>
              <w:t>2.</w:t>
            </w:r>
          </w:p>
        </w:tc>
        <w:tc>
          <w:tcPr>
            <w:tcW w:w="3500" w:type="dxa"/>
            <w:vAlign w:val="bottom"/>
            <w:gridSpan w:val="8"/>
          </w:tcPr>
          <w:p>
            <w:pPr>
              <w:spacing w:after="0"/>
              <w:rPr>
                <w:rFonts w:ascii="Arial" w:cs="Arial" w:eastAsia="Arial" w:hAnsi="Arial"/>
                <w:sz w:val="13"/>
                <w:szCs w:val="13"/>
                <w:color w:val="0F7C7F"/>
                <w:w w:val="99"/>
              </w:rPr>
            </w:pPr>
            <w:hyperlink w:anchor="page49">
              <w:r>
                <w:rPr>
                  <w:rFonts w:ascii="Arial" w:cs="Arial" w:eastAsia="Arial" w:hAnsi="Arial"/>
                  <w:sz w:val="13"/>
                  <w:szCs w:val="13"/>
                  <w:color w:val="0F7C7F"/>
                  <w:w w:val="99"/>
                </w:rPr>
                <w:t>Unregistered Sales of Equity Securities and Use of Proceeds</w:t>
              </w:r>
            </w:hyperlink>
          </w:p>
        </w:tc>
        <w:tc>
          <w:tcPr>
            <w:tcW w:w="1600" w:type="dxa"/>
            <w:vAlign w:val="bottom"/>
          </w:tcPr>
          <w:p>
            <w:pPr>
              <w:spacing w:after="0"/>
              <w:rPr>
                <w:sz w:val="23"/>
                <w:szCs w:val="23"/>
                <w:color w:val="auto"/>
              </w:rPr>
            </w:pPr>
          </w:p>
        </w:tc>
        <w:tc>
          <w:tcPr>
            <w:tcW w:w="5740" w:type="dxa"/>
            <w:vAlign w:val="bottom"/>
            <w:gridSpan w:val="3"/>
          </w:tcPr>
          <w:p>
            <w:pPr>
              <w:jc w:val="right"/>
              <w:spacing w:after="0"/>
              <w:rPr>
                <w:rFonts w:ascii="Arial" w:cs="Arial" w:eastAsia="Arial" w:hAnsi="Arial"/>
                <w:sz w:val="13"/>
                <w:szCs w:val="13"/>
                <w:color w:val="0F7C7F"/>
              </w:rPr>
            </w:pPr>
            <w:hyperlink w:anchor="page49">
              <w:r>
                <w:rPr>
                  <w:rFonts w:ascii="Arial" w:cs="Arial" w:eastAsia="Arial" w:hAnsi="Arial"/>
                  <w:sz w:val="13"/>
                  <w:szCs w:val="13"/>
                  <w:color w:val="0F7C7F"/>
                </w:rPr>
                <w:t>49</w:t>
              </w:r>
            </w:hyperlink>
          </w:p>
        </w:tc>
      </w:tr>
      <w:tr>
        <w:trPr>
          <w:trHeight w:val="20"/>
        </w:trPr>
        <w:tc>
          <w:tcPr>
            <w:tcW w:w="580" w:type="dxa"/>
            <w:vAlign w:val="bottom"/>
          </w:tcPr>
          <w:p>
            <w:pPr>
              <w:spacing w:after="0" w:line="20" w:lineRule="exact"/>
              <w:rPr>
                <w:sz w:val="1"/>
                <w:szCs w:val="1"/>
                <w:color w:val="auto"/>
              </w:rPr>
            </w:pPr>
          </w:p>
        </w:tc>
        <w:tc>
          <w:tcPr>
            <w:tcW w:w="46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80" w:type="dxa"/>
            <w:vAlign w:val="bottom"/>
            <w:gridSpan w:val="6"/>
            <w:shd w:val="clear" w:color="auto" w:fill="0F7C7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60" w:type="dxa"/>
            <w:vAlign w:val="bottom"/>
            <w:tcBorders>
              <w:right w:val="single" w:sz="8" w:color="0F7C7F"/>
            </w:tcBorders>
            <w:gridSpan w:val="2"/>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r>
      <w:tr>
        <w:trPr>
          <w:trHeight w:val="298"/>
        </w:trPr>
        <w:tc>
          <w:tcPr>
            <w:tcW w:w="580" w:type="dxa"/>
            <w:vAlign w:val="bottom"/>
          </w:tcPr>
          <w:p>
            <w:pPr>
              <w:spacing w:after="0"/>
              <w:rPr>
                <w:sz w:val="20"/>
                <w:szCs w:val="20"/>
                <w:color w:val="auto"/>
              </w:rPr>
            </w:pPr>
            <w:r>
              <w:rPr>
                <w:rFonts w:ascii="Arial" w:cs="Arial" w:eastAsia="Arial" w:hAnsi="Arial"/>
                <w:sz w:val="13"/>
                <w:szCs w:val="13"/>
                <w:color w:val="0F7C7F"/>
              </w:rPr>
              <w:t>3.</w:t>
            </w:r>
          </w:p>
        </w:tc>
        <w:tc>
          <w:tcPr>
            <w:tcW w:w="3500" w:type="dxa"/>
            <w:vAlign w:val="bottom"/>
            <w:gridSpan w:val="8"/>
          </w:tcPr>
          <w:p>
            <w:pPr>
              <w:spacing w:after="0"/>
              <w:rPr>
                <w:sz w:val="20"/>
                <w:szCs w:val="20"/>
                <w:color w:val="auto"/>
              </w:rPr>
            </w:pPr>
            <w:r>
              <w:rPr>
                <w:rFonts w:ascii="Arial" w:cs="Arial" w:eastAsia="Arial" w:hAnsi="Arial"/>
                <w:sz w:val="13"/>
                <w:szCs w:val="13"/>
                <w:color w:val="0F7C7F"/>
              </w:rPr>
              <w:t>Defaults Upon Senior Securities</w:t>
            </w:r>
          </w:p>
        </w:tc>
        <w:tc>
          <w:tcPr>
            <w:tcW w:w="1600" w:type="dxa"/>
            <w:vAlign w:val="bottom"/>
          </w:tcPr>
          <w:p>
            <w:pPr>
              <w:spacing w:after="0"/>
              <w:rPr>
                <w:sz w:val="24"/>
                <w:szCs w:val="24"/>
                <w:color w:val="auto"/>
              </w:rPr>
            </w:pPr>
          </w:p>
        </w:tc>
        <w:tc>
          <w:tcPr>
            <w:tcW w:w="5740" w:type="dxa"/>
            <w:vAlign w:val="bottom"/>
            <w:gridSpan w:val="3"/>
          </w:tcPr>
          <w:p>
            <w:pPr>
              <w:jc w:val="right"/>
              <w:spacing w:after="0"/>
              <w:rPr>
                <w:sz w:val="20"/>
                <w:szCs w:val="20"/>
                <w:color w:val="auto"/>
              </w:rPr>
            </w:pPr>
            <w:r>
              <w:rPr>
                <w:rFonts w:ascii="Arial" w:cs="Arial" w:eastAsia="Arial" w:hAnsi="Arial"/>
                <w:sz w:val="13"/>
                <w:szCs w:val="13"/>
                <w:color w:val="0F7C7F"/>
              </w:rPr>
              <w:t>Not Applicable.</w:t>
            </w:r>
          </w:p>
        </w:tc>
      </w:tr>
      <w:tr>
        <w:trPr>
          <w:trHeight w:val="291"/>
        </w:trPr>
        <w:tc>
          <w:tcPr>
            <w:tcW w:w="580" w:type="dxa"/>
            <w:vAlign w:val="bottom"/>
          </w:tcPr>
          <w:p>
            <w:pPr>
              <w:spacing w:after="0"/>
              <w:rPr>
                <w:sz w:val="20"/>
                <w:szCs w:val="20"/>
                <w:color w:val="auto"/>
              </w:rPr>
            </w:pPr>
            <w:r>
              <w:rPr>
                <w:rFonts w:ascii="Arial" w:cs="Arial" w:eastAsia="Arial" w:hAnsi="Arial"/>
                <w:sz w:val="13"/>
                <w:szCs w:val="13"/>
                <w:color w:val="0F7C7F"/>
              </w:rPr>
              <w:t>4.</w:t>
            </w:r>
          </w:p>
        </w:tc>
        <w:tc>
          <w:tcPr>
            <w:tcW w:w="5100" w:type="dxa"/>
            <w:vAlign w:val="bottom"/>
            <w:gridSpan w:val="9"/>
          </w:tcPr>
          <w:p>
            <w:pPr>
              <w:spacing w:after="0"/>
              <w:rPr>
                <w:sz w:val="20"/>
                <w:szCs w:val="20"/>
                <w:color w:val="auto"/>
              </w:rPr>
            </w:pPr>
            <w:r>
              <w:rPr>
                <w:rFonts w:ascii="Arial" w:cs="Arial" w:eastAsia="Arial" w:hAnsi="Arial"/>
                <w:sz w:val="13"/>
                <w:szCs w:val="13"/>
                <w:color w:val="0F7C7F"/>
              </w:rPr>
              <w:t>Mine Safety Disclosures</w:t>
            </w:r>
          </w:p>
        </w:tc>
        <w:tc>
          <w:tcPr>
            <w:tcW w:w="5740" w:type="dxa"/>
            <w:vAlign w:val="bottom"/>
            <w:gridSpan w:val="3"/>
          </w:tcPr>
          <w:p>
            <w:pPr>
              <w:jc w:val="right"/>
              <w:spacing w:after="0"/>
              <w:rPr>
                <w:sz w:val="20"/>
                <w:szCs w:val="20"/>
                <w:color w:val="auto"/>
              </w:rPr>
            </w:pPr>
            <w:r>
              <w:rPr>
                <w:rFonts w:ascii="Arial" w:cs="Arial" w:eastAsia="Arial" w:hAnsi="Arial"/>
                <w:sz w:val="13"/>
                <w:szCs w:val="13"/>
                <w:color w:val="0F7C7F"/>
              </w:rPr>
              <w:t>Not Applicable.</w:t>
            </w:r>
          </w:p>
        </w:tc>
      </w:tr>
      <w:tr>
        <w:trPr>
          <w:trHeight w:val="291"/>
        </w:trPr>
        <w:tc>
          <w:tcPr>
            <w:tcW w:w="580" w:type="dxa"/>
            <w:vAlign w:val="bottom"/>
          </w:tcPr>
          <w:p>
            <w:pPr>
              <w:spacing w:after="0"/>
              <w:rPr>
                <w:sz w:val="20"/>
                <w:szCs w:val="20"/>
                <w:color w:val="auto"/>
              </w:rPr>
            </w:pPr>
            <w:r>
              <w:rPr>
                <w:rFonts w:ascii="Arial" w:cs="Arial" w:eastAsia="Arial" w:hAnsi="Arial"/>
                <w:sz w:val="13"/>
                <w:szCs w:val="13"/>
                <w:color w:val="0F7C7F"/>
              </w:rPr>
              <w:t>5.</w:t>
            </w:r>
          </w:p>
        </w:tc>
        <w:tc>
          <w:tcPr>
            <w:tcW w:w="5100" w:type="dxa"/>
            <w:vAlign w:val="bottom"/>
            <w:gridSpan w:val="9"/>
          </w:tcPr>
          <w:p>
            <w:pPr>
              <w:spacing w:after="0"/>
              <w:rPr>
                <w:sz w:val="20"/>
                <w:szCs w:val="20"/>
                <w:color w:val="auto"/>
              </w:rPr>
            </w:pPr>
            <w:r>
              <w:rPr>
                <w:rFonts w:ascii="Arial" w:cs="Arial" w:eastAsia="Arial" w:hAnsi="Arial"/>
                <w:sz w:val="13"/>
                <w:szCs w:val="13"/>
                <w:color w:val="0F7C7F"/>
              </w:rPr>
              <w:t>Other Information</w:t>
            </w:r>
          </w:p>
        </w:tc>
        <w:tc>
          <w:tcPr>
            <w:tcW w:w="5740" w:type="dxa"/>
            <w:vAlign w:val="bottom"/>
            <w:gridSpan w:val="3"/>
          </w:tcPr>
          <w:p>
            <w:pPr>
              <w:jc w:val="right"/>
              <w:spacing w:after="0"/>
              <w:rPr>
                <w:sz w:val="20"/>
                <w:szCs w:val="20"/>
                <w:color w:val="auto"/>
              </w:rPr>
            </w:pPr>
            <w:r>
              <w:rPr>
                <w:rFonts w:ascii="Arial" w:cs="Arial" w:eastAsia="Arial" w:hAnsi="Arial"/>
                <w:sz w:val="13"/>
                <w:szCs w:val="13"/>
                <w:color w:val="0F7C7F"/>
              </w:rPr>
              <w:t>Not Applicable.</w:t>
            </w:r>
          </w:p>
        </w:tc>
      </w:tr>
      <w:tr>
        <w:trPr>
          <w:trHeight w:val="264"/>
        </w:trPr>
        <w:tc>
          <w:tcPr>
            <w:tcW w:w="580" w:type="dxa"/>
            <w:vAlign w:val="bottom"/>
          </w:tcPr>
          <w:p>
            <w:pPr>
              <w:spacing w:after="0"/>
              <w:rPr>
                <w:sz w:val="20"/>
                <w:szCs w:val="20"/>
                <w:color w:val="auto"/>
              </w:rPr>
            </w:pPr>
            <w:r>
              <w:rPr>
                <w:rFonts w:ascii="Arial" w:cs="Arial" w:eastAsia="Arial" w:hAnsi="Arial"/>
                <w:sz w:val="13"/>
                <w:szCs w:val="13"/>
                <w:color w:val="0F7C7F"/>
              </w:rPr>
              <w:t>6.</w:t>
            </w:r>
          </w:p>
        </w:tc>
        <w:tc>
          <w:tcPr>
            <w:tcW w:w="5100" w:type="dxa"/>
            <w:vAlign w:val="bottom"/>
            <w:gridSpan w:val="9"/>
          </w:tcPr>
          <w:p>
            <w:pPr>
              <w:spacing w:after="0"/>
              <w:rPr>
                <w:rFonts w:ascii="Arial" w:cs="Arial" w:eastAsia="Arial" w:hAnsi="Arial"/>
                <w:sz w:val="13"/>
                <w:szCs w:val="13"/>
                <w:color w:val="0F7C7F"/>
              </w:rPr>
            </w:pPr>
            <w:hyperlink w:anchor="page50">
              <w:r>
                <w:rPr>
                  <w:rFonts w:ascii="Arial" w:cs="Arial" w:eastAsia="Arial" w:hAnsi="Arial"/>
                  <w:sz w:val="13"/>
                  <w:szCs w:val="13"/>
                  <w:color w:val="0F7C7F"/>
                </w:rPr>
                <w:t>Exhibits</w:t>
              </w:r>
            </w:hyperlink>
          </w:p>
        </w:tc>
        <w:tc>
          <w:tcPr>
            <w:tcW w:w="5740" w:type="dxa"/>
            <w:vAlign w:val="bottom"/>
            <w:gridSpan w:val="3"/>
          </w:tcPr>
          <w:p>
            <w:pPr>
              <w:jc w:val="right"/>
              <w:spacing w:after="0"/>
              <w:rPr>
                <w:rFonts w:ascii="Arial" w:cs="Arial" w:eastAsia="Arial" w:hAnsi="Arial"/>
                <w:sz w:val="13"/>
                <w:szCs w:val="13"/>
                <w:color w:val="0F7C7F"/>
              </w:rPr>
            </w:pPr>
            <w:hyperlink w:anchor="page50">
              <w:r>
                <w:rPr>
                  <w:rFonts w:ascii="Arial" w:cs="Arial" w:eastAsia="Arial" w:hAnsi="Arial"/>
                  <w:sz w:val="13"/>
                  <w:szCs w:val="13"/>
                  <w:color w:val="0F7C7F"/>
                </w:rPr>
                <w:t>50</w:t>
              </w:r>
            </w:hyperlink>
          </w:p>
        </w:tc>
      </w:tr>
      <w:tr>
        <w:trPr>
          <w:trHeight w:val="20"/>
        </w:trPr>
        <w:tc>
          <w:tcPr>
            <w:tcW w:w="580" w:type="dxa"/>
            <w:vAlign w:val="bottom"/>
          </w:tcPr>
          <w:p>
            <w:pPr>
              <w:spacing w:after="0" w:line="20" w:lineRule="exact"/>
              <w:rPr>
                <w:sz w:val="1"/>
                <w:szCs w:val="1"/>
                <w:color w:val="auto"/>
              </w:rPr>
            </w:pPr>
          </w:p>
        </w:tc>
        <w:tc>
          <w:tcPr>
            <w:tcW w:w="460" w:type="dxa"/>
            <w:vAlign w:val="bottom"/>
            <w:shd w:val="clear" w:color="auto" w:fill="0F7C7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80" w:type="dxa"/>
            <w:vAlign w:val="bottom"/>
            <w:gridSpan w:val="7"/>
          </w:tcPr>
          <w:p>
            <w:pPr>
              <w:spacing w:after="0" w:line="20" w:lineRule="exact"/>
              <w:rPr>
                <w:sz w:val="1"/>
                <w:szCs w:val="1"/>
                <w:color w:val="auto"/>
              </w:rPr>
            </w:pPr>
          </w:p>
        </w:tc>
        <w:tc>
          <w:tcPr>
            <w:tcW w:w="5660" w:type="dxa"/>
            <w:vAlign w:val="bottom"/>
            <w:tcBorders>
              <w:right w:val="single" w:sz="8" w:color="0F7C7F"/>
            </w:tcBorders>
            <w:gridSpan w:val="2"/>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r>
      <w:tr>
        <w:trPr>
          <w:trHeight w:val="271"/>
        </w:trPr>
        <w:tc>
          <w:tcPr>
            <w:tcW w:w="580" w:type="dxa"/>
            <w:vAlign w:val="bottom"/>
          </w:tcPr>
          <w:p>
            <w:pPr>
              <w:spacing w:after="0"/>
              <w:rPr>
                <w:sz w:val="23"/>
                <w:szCs w:val="23"/>
                <w:color w:val="auto"/>
              </w:rPr>
            </w:pPr>
          </w:p>
        </w:tc>
        <w:tc>
          <w:tcPr>
            <w:tcW w:w="620" w:type="dxa"/>
            <w:vAlign w:val="bottom"/>
            <w:tcBorders>
              <w:bottom w:val="single" w:sz="8" w:color="0F7C7F"/>
            </w:tcBorders>
            <w:gridSpan w:val="2"/>
          </w:tcPr>
          <w:p>
            <w:pPr>
              <w:spacing w:after="0"/>
              <w:rPr>
                <w:rFonts w:ascii="Arial" w:cs="Arial" w:eastAsia="Arial" w:hAnsi="Arial"/>
                <w:sz w:val="13"/>
                <w:szCs w:val="13"/>
                <w:color w:val="0F7C7F"/>
                <w:w w:val="96"/>
              </w:rPr>
            </w:pPr>
            <w:hyperlink w:anchor="page51">
              <w:r>
                <w:rPr>
                  <w:rFonts w:ascii="Arial" w:cs="Arial" w:eastAsia="Arial" w:hAnsi="Arial"/>
                  <w:sz w:val="13"/>
                  <w:szCs w:val="13"/>
                  <w:color w:val="0F7C7F"/>
                  <w:w w:val="96"/>
                </w:rPr>
                <w:t>Signatures</w:t>
              </w:r>
            </w:hyperlink>
          </w:p>
        </w:tc>
        <w:tc>
          <w:tcPr>
            <w:tcW w:w="4480" w:type="dxa"/>
            <w:vAlign w:val="bottom"/>
            <w:gridSpan w:val="7"/>
          </w:tcPr>
          <w:p>
            <w:pPr>
              <w:spacing w:after="0"/>
              <w:rPr>
                <w:sz w:val="23"/>
                <w:szCs w:val="23"/>
                <w:color w:val="auto"/>
              </w:rPr>
            </w:pPr>
          </w:p>
        </w:tc>
        <w:tc>
          <w:tcPr>
            <w:tcW w:w="5740" w:type="dxa"/>
            <w:vAlign w:val="bottom"/>
            <w:gridSpan w:val="3"/>
          </w:tcPr>
          <w:p>
            <w:pPr>
              <w:jc w:val="right"/>
              <w:spacing w:after="0"/>
              <w:rPr>
                <w:rFonts w:ascii="Arial" w:cs="Arial" w:eastAsia="Arial" w:hAnsi="Arial"/>
                <w:sz w:val="13"/>
                <w:szCs w:val="13"/>
                <w:color w:val="0F7C7F"/>
              </w:rPr>
            </w:pPr>
            <w:hyperlink w:anchor="page51">
              <w:r>
                <w:rPr>
                  <w:rFonts w:ascii="Arial" w:cs="Arial" w:eastAsia="Arial" w:hAnsi="Arial"/>
                  <w:sz w:val="13"/>
                  <w:szCs w:val="13"/>
                  <w:color w:val="0F7C7F"/>
                </w:rPr>
                <w:t>51</w:t>
              </w:r>
            </w:hyperlink>
          </w:p>
        </w:tc>
      </w:tr>
      <w:tr>
        <w:trPr>
          <w:trHeight w:val="20"/>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0F7C7F"/>
            </w:tcBorders>
          </w:tcPr>
          <w:p>
            <w:pPr>
              <w:spacing w:after="0" w:line="20" w:lineRule="exact"/>
              <w:rPr>
                <w:sz w:val="1"/>
                <w:szCs w:val="1"/>
                <w:color w:val="auto"/>
              </w:rPr>
            </w:pPr>
          </w:p>
        </w:tc>
      </w:tr>
    </w:tbl>
    <w:p>
      <w:pPr>
        <w:sectPr>
          <w:pgSz w:w="11900" w:h="16838" w:orient="portrait"/>
          <w:cols w:equalWidth="0" w:num="1">
            <w:col w:w="11440"/>
          </w:cols>
          <w:pgMar w:left="220" w:top="140"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CONSOLIDATED STATEMENTS OF INCOME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160" w:type="dxa"/>
            <w:vAlign w:val="bottom"/>
          </w:tcPr>
          <w:p>
            <w:pPr>
              <w:spacing w:after="0"/>
              <w:rPr>
                <w:sz w:val="13"/>
                <w:szCs w:val="13"/>
                <w:color w:val="auto"/>
              </w:rPr>
            </w:pPr>
          </w:p>
        </w:tc>
        <w:tc>
          <w:tcPr>
            <w:tcW w:w="2600" w:type="dxa"/>
            <w:vAlign w:val="bottom"/>
            <w:tcBorders>
              <w:bottom w:val="single" w:sz="8" w:color="auto"/>
            </w:tcBorders>
            <w:gridSpan w:val="4"/>
          </w:tcPr>
          <w:p>
            <w:pPr>
              <w:jc w:val="right"/>
              <w:ind w:right="158"/>
              <w:spacing w:after="0"/>
              <w:rPr>
                <w:sz w:val="20"/>
                <w:szCs w:val="20"/>
                <w:color w:val="auto"/>
              </w:rPr>
            </w:pPr>
            <w:r>
              <w:rPr>
                <w:rFonts w:ascii="Arial" w:cs="Arial" w:eastAsia="Arial" w:hAnsi="Arial"/>
                <w:sz w:val="11"/>
                <w:szCs w:val="11"/>
                <w:b w:val="1"/>
                <w:bCs w:val="1"/>
                <w:color w:val="auto"/>
              </w:rPr>
              <w:t>Three Months Ended June 30,</w:t>
            </w: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1"/>
                <w:szCs w:val="11"/>
                <w:b w:val="1"/>
                <w:bCs w:val="1"/>
                <w:color w:val="auto"/>
              </w:rPr>
              <w:t>Six Months Ended June 30,</w:t>
            </w:r>
          </w:p>
        </w:tc>
      </w:tr>
      <w:tr>
        <w:trPr>
          <w:trHeight w:val="206"/>
        </w:trPr>
        <w:tc>
          <w:tcPr>
            <w:tcW w:w="5160" w:type="dxa"/>
            <w:vAlign w:val="bottom"/>
          </w:tcPr>
          <w:p>
            <w:pPr>
              <w:spacing w:after="0"/>
              <w:rPr>
                <w:sz w:val="17"/>
                <w:szCs w:val="17"/>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2018</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2018</w:t>
            </w:r>
          </w:p>
        </w:tc>
      </w:tr>
      <w:tr>
        <w:trPr>
          <w:trHeight w:val="136"/>
        </w:trPr>
        <w:tc>
          <w:tcPr>
            <w:tcW w:w="5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20" w:type="dxa"/>
            <w:vAlign w:val="bottom"/>
            <w:gridSpan w:val="6"/>
          </w:tcPr>
          <w:p>
            <w:pPr>
              <w:ind w:left="480"/>
              <w:spacing w:after="0"/>
              <w:rPr>
                <w:sz w:val="20"/>
                <w:szCs w:val="20"/>
                <w:color w:val="auto"/>
              </w:rPr>
            </w:pPr>
            <w:r>
              <w:rPr>
                <w:rFonts w:ascii="Arial" w:cs="Arial" w:eastAsia="Arial" w:hAnsi="Arial"/>
                <w:sz w:val="11"/>
                <w:szCs w:val="11"/>
                <w:b w:val="1"/>
                <w:bCs w:val="1"/>
                <w:color w:val="auto"/>
              </w:rPr>
              <w:t>(In millions, except per-share amounts)</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57"/>
        </w:trPr>
        <w:tc>
          <w:tcPr>
            <w:tcW w:w="5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gridSpan w:val="3"/>
          </w:tcPr>
          <w:p>
            <w:pPr>
              <w:jc w:val="right"/>
              <w:ind w:right="135"/>
              <w:spacing w:after="0"/>
              <w:rPr>
                <w:sz w:val="20"/>
                <w:szCs w:val="20"/>
                <w:color w:val="auto"/>
              </w:rPr>
            </w:pPr>
            <w:r>
              <w:rPr>
                <w:rFonts w:ascii="Arial" w:cs="Arial" w:eastAsia="Arial" w:hAnsi="Arial"/>
                <w:sz w:val="11"/>
                <w:szCs w:val="11"/>
                <w:b w:val="1"/>
                <w:bCs w:val="1"/>
                <w:color w:val="auto"/>
              </w:rPr>
              <w:t>(Unaudited)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8"/>
        </w:trPr>
        <w:tc>
          <w:tcPr>
            <w:tcW w:w="5160" w:type="dxa"/>
            <w:vAlign w:val="bottom"/>
          </w:tcPr>
          <w:p>
            <w:pPr>
              <w:ind w:left="220"/>
              <w:spacing w:after="0"/>
              <w:rPr>
                <w:sz w:val="20"/>
                <w:szCs w:val="20"/>
                <w:color w:val="auto"/>
              </w:rPr>
            </w:pPr>
            <w:r>
              <w:rPr>
                <w:rFonts w:ascii="Arial" w:cs="Arial" w:eastAsia="Arial" w:hAnsi="Arial"/>
                <w:sz w:val="13"/>
                <w:szCs w:val="13"/>
                <w:color w:val="auto"/>
              </w:rPr>
              <w:t>Premium revenue</w:t>
            </w:r>
          </w:p>
        </w:tc>
        <w:tc>
          <w:tcPr>
            <w:tcW w:w="980" w:type="dxa"/>
            <w:vAlign w:val="bottom"/>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4,049</w:t>
            </w:r>
          </w:p>
        </w:tc>
        <w:tc>
          <w:tcPr>
            <w:tcW w:w="120" w:type="dxa"/>
            <w:vAlign w:val="bottom"/>
          </w:tcPr>
          <w:p>
            <w:pPr>
              <w:spacing w:after="0"/>
              <w:rPr>
                <w:sz w:val="18"/>
                <w:szCs w:val="18"/>
                <w:color w:val="auto"/>
              </w:rPr>
            </w:pPr>
          </w:p>
        </w:tc>
        <w:tc>
          <w:tcPr>
            <w:tcW w:w="980" w:type="dxa"/>
            <w:vAlign w:val="bottom"/>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4,514</w:t>
            </w:r>
          </w:p>
        </w:tc>
        <w:tc>
          <w:tcPr>
            <w:tcW w:w="120" w:type="dxa"/>
            <w:vAlign w:val="bottom"/>
          </w:tcPr>
          <w:p>
            <w:pPr>
              <w:spacing w:after="0"/>
              <w:rPr>
                <w:sz w:val="18"/>
                <w:szCs w:val="18"/>
                <w:color w:val="auto"/>
              </w:rPr>
            </w:pPr>
          </w:p>
        </w:tc>
        <w:tc>
          <w:tcPr>
            <w:tcW w:w="4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8,001</w:t>
            </w:r>
          </w:p>
        </w:tc>
        <w:tc>
          <w:tcPr>
            <w:tcW w:w="120" w:type="dxa"/>
            <w:vAlign w:val="bottom"/>
          </w:tcPr>
          <w:p>
            <w:pPr>
              <w:spacing w:after="0"/>
              <w:rPr>
                <w:sz w:val="18"/>
                <w:szCs w:val="18"/>
                <w:color w:val="auto"/>
              </w:rPr>
            </w:pPr>
          </w:p>
        </w:tc>
        <w:tc>
          <w:tcPr>
            <w:tcW w:w="340" w:type="dxa"/>
            <w:vAlign w:val="bottom"/>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8,837</w:t>
            </w: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Premium tax revenue</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210</w:t>
            </w:r>
          </w:p>
        </w:tc>
      </w:tr>
      <w:tr>
        <w:trPr>
          <w:trHeight w:val="208"/>
        </w:trPr>
        <w:tc>
          <w:tcPr>
            <w:tcW w:w="5160" w:type="dxa"/>
            <w:vAlign w:val="bottom"/>
          </w:tcPr>
          <w:p>
            <w:pPr>
              <w:ind w:left="220"/>
              <w:spacing w:after="0"/>
              <w:rPr>
                <w:sz w:val="20"/>
                <w:szCs w:val="20"/>
                <w:color w:val="auto"/>
              </w:rPr>
            </w:pPr>
            <w:r>
              <w:rPr>
                <w:rFonts w:ascii="Arial" w:cs="Arial" w:eastAsia="Arial" w:hAnsi="Arial"/>
                <w:sz w:val="13"/>
                <w:szCs w:val="13"/>
                <w:color w:val="auto"/>
              </w:rPr>
              <w:t>Health insurer fees reimbursed</w:t>
            </w:r>
          </w:p>
        </w:tc>
        <w:tc>
          <w:tcPr>
            <w:tcW w:w="9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8"/>
                <w:szCs w:val="18"/>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104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165</w:t>
            </w: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Service revenue</w:t>
            </w:r>
          </w:p>
        </w:tc>
        <w:tc>
          <w:tcPr>
            <w:tcW w:w="9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261</w:t>
            </w:r>
          </w:p>
        </w:tc>
      </w:tr>
      <w:tr>
        <w:trPr>
          <w:trHeight w:val="208"/>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Investment income and other revenue</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34</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56</w:t>
            </w:r>
          </w:p>
        </w:tc>
      </w:tr>
      <w:tr>
        <w:trPr>
          <w:trHeight w:val="203"/>
        </w:trPr>
        <w:tc>
          <w:tcPr>
            <w:tcW w:w="51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revenue</w:t>
            </w:r>
          </w:p>
        </w:tc>
        <w:tc>
          <w:tcPr>
            <w:tcW w:w="9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4,193</w:t>
            </w:r>
          </w:p>
        </w:tc>
        <w:tc>
          <w:tcPr>
            <w:tcW w:w="1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4,883</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8,312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9,529</w:t>
            </w:r>
          </w:p>
        </w:tc>
      </w:tr>
      <w:tr>
        <w:trPr>
          <w:trHeight w:val="198"/>
        </w:trPr>
        <w:tc>
          <w:tcPr>
            <w:tcW w:w="516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Medical care costs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3,466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3,850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6,837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7,572</w:t>
            </w:r>
          </w:p>
        </w:tc>
      </w:tr>
      <w:tr>
        <w:trPr>
          <w:trHeight w:val="208"/>
        </w:trPr>
        <w:tc>
          <w:tcPr>
            <w:tcW w:w="5160" w:type="dxa"/>
            <w:vAlign w:val="bottom"/>
          </w:tcPr>
          <w:p>
            <w:pPr>
              <w:ind w:left="220"/>
              <w:spacing w:after="0"/>
              <w:rPr>
                <w:sz w:val="20"/>
                <w:szCs w:val="20"/>
                <w:color w:val="auto"/>
              </w:rPr>
            </w:pPr>
            <w:r>
              <w:rPr>
                <w:rFonts w:ascii="Arial" w:cs="Arial" w:eastAsia="Arial" w:hAnsi="Arial"/>
                <w:sz w:val="13"/>
                <w:szCs w:val="13"/>
                <w:color w:val="auto"/>
              </w:rPr>
              <w:t>General and administrative expenses</w:t>
            </w:r>
          </w:p>
        </w:tc>
        <w:tc>
          <w:tcPr>
            <w:tcW w:w="980" w:type="dxa"/>
            <w:vAlign w:val="bottom"/>
          </w:tcPr>
          <w:p>
            <w:pPr>
              <w:spacing w:after="0"/>
              <w:rPr>
                <w:sz w:val="18"/>
                <w:szCs w:val="18"/>
                <w:color w:val="auto"/>
              </w:rPr>
            </w:pP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328</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335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630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687</w:t>
            </w: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Premium tax expenses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210</w:t>
            </w:r>
          </w:p>
        </w:tc>
      </w:tr>
      <w:tr>
        <w:trPr>
          <w:trHeight w:val="208"/>
        </w:trPr>
        <w:tc>
          <w:tcPr>
            <w:tcW w:w="5160" w:type="dxa"/>
            <w:vAlign w:val="bottom"/>
          </w:tcPr>
          <w:p>
            <w:pPr>
              <w:ind w:left="220"/>
              <w:spacing w:after="0"/>
              <w:rPr>
                <w:sz w:val="20"/>
                <w:szCs w:val="20"/>
                <w:color w:val="auto"/>
              </w:rPr>
            </w:pPr>
            <w:r>
              <w:rPr>
                <w:rFonts w:ascii="Arial" w:cs="Arial" w:eastAsia="Arial" w:hAnsi="Arial"/>
                <w:sz w:val="13"/>
                <w:szCs w:val="13"/>
                <w:color w:val="auto"/>
              </w:rPr>
              <w:t>Health insurer fees</w:t>
            </w:r>
          </w:p>
        </w:tc>
        <w:tc>
          <w:tcPr>
            <w:tcW w:w="9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8"/>
                <w:szCs w:val="18"/>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99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174</w:t>
            </w: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Depreciation and amortization</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51</w:t>
            </w:r>
          </w:p>
        </w:tc>
      </w:tr>
      <w:tr>
        <w:trPr>
          <w:trHeight w:val="208"/>
        </w:trPr>
        <w:tc>
          <w:tcPr>
            <w:tcW w:w="5160" w:type="dxa"/>
            <w:vAlign w:val="bottom"/>
          </w:tcPr>
          <w:p>
            <w:pPr>
              <w:ind w:left="220"/>
              <w:spacing w:after="0"/>
              <w:rPr>
                <w:sz w:val="20"/>
                <w:szCs w:val="20"/>
                <w:color w:val="auto"/>
              </w:rPr>
            </w:pPr>
            <w:r>
              <w:rPr>
                <w:rFonts w:ascii="Arial" w:cs="Arial" w:eastAsia="Arial" w:hAnsi="Arial"/>
                <w:sz w:val="13"/>
                <w:szCs w:val="13"/>
                <w:color w:val="auto"/>
              </w:rPr>
              <w:t>Restructuring costs</w:t>
            </w:r>
          </w:p>
        </w:tc>
        <w:tc>
          <w:tcPr>
            <w:tcW w:w="980" w:type="dxa"/>
            <w:vAlign w:val="bottom"/>
          </w:tcPr>
          <w:p>
            <w:pPr>
              <w:spacing w:after="0"/>
              <w:rPr>
                <w:sz w:val="18"/>
                <w:szCs w:val="18"/>
                <w:color w:val="auto"/>
              </w:rPr>
            </w:pP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33</w:t>
            </w: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Cost of service revenue</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238</w:t>
            </w:r>
          </w:p>
        </w:tc>
      </w:tr>
      <w:tr>
        <w:trPr>
          <w:trHeight w:val="196"/>
        </w:trPr>
        <w:tc>
          <w:tcPr>
            <w:tcW w:w="516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Total operating expenses</w:t>
            </w:r>
          </w:p>
        </w:tc>
        <w:tc>
          <w:tcPr>
            <w:tcW w:w="9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3,928</w:t>
            </w:r>
          </w:p>
        </w:tc>
        <w:tc>
          <w:tcPr>
            <w:tcW w:w="12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4,541</w:t>
            </w:r>
          </w:p>
        </w:tc>
        <w:tc>
          <w:tcPr>
            <w:tcW w:w="12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7,767</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8,965</w:t>
            </w:r>
          </w:p>
        </w:tc>
      </w:tr>
      <w:tr>
        <w:trPr>
          <w:trHeight w:val="20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9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265</w:t>
            </w:r>
          </w:p>
        </w:tc>
        <w:tc>
          <w:tcPr>
            <w:tcW w:w="1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342</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545</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564</w:t>
            </w:r>
          </w:p>
        </w:tc>
      </w:tr>
      <w:tr>
        <w:trPr>
          <w:trHeight w:val="198"/>
        </w:trPr>
        <w:tc>
          <w:tcPr>
            <w:tcW w:w="5160" w:type="dxa"/>
            <w:vAlign w:val="bottom"/>
          </w:tcPr>
          <w:p>
            <w:pPr>
              <w:ind w:left="20"/>
              <w:spacing w:after="0"/>
              <w:rPr>
                <w:sz w:val="20"/>
                <w:szCs w:val="20"/>
                <w:color w:val="auto"/>
              </w:rPr>
            </w:pPr>
            <w:r>
              <w:rPr>
                <w:rFonts w:ascii="Arial" w:cs="Arial" w:eastAsia="Arial" w:hAnsi="Arial"/>
                <w:sz w:val="13"/>
                <w:szCs w:val="13"/>
                <w:color w:val="auto"/>
              </w:rPr>
              <w:t>Other expenses, net:</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3"/>
        </w:trPr>
        <w:tc>
          <w:tcPr>
            <w:tcW w:w="5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65</w:t>
            </w:r>
          </w:p>
        </w:tc>
      </w:tr>
      <w:tr>
        <w:trPr>
          <w:trHeight w:val="208"/>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(income) expenses, net</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15</w:t>
            </w:r>
          </w:p>
        </w:tc>
      </w:tr>
      <w:tr>
        <w:trPr>
          <w:trHeight w:val="196"/>
        </w:trPr>
        <w:tc>
          <w:tcPr>
            <w:tcW w:w="51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other expenses, net</w:t>
            </w:r>
          </w:p>
        </w:tc>
        <w:tc>
          <w:tcPr>
            <w:tcW w:w="9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80</w:t>
            </w:r>
          </w:p>
        </w:tc>
      </w:tr>
      <w:tr>
        <w:trPr>
          <w:trHeight w:val="196"/>
        </w:trPr>
        <w:tc>
          <w:tcPr>
            <w:tcW w:w="5160" w:type="dxa"/>
            <w:vAlign w:val="bottom"/>
          </w:tcPr>
          <w:p>
            <w:pPr>
              <w:ind w:left="20"/>
              <w:spacing w:after="0"/>
              <w:rPr>
                <w:sz w:val="20"/>
                <w:szCs w:val="20"/>
                <w:color w:val="auto"/>
              </w:rPr>
            </w:pPr>
            <w:r>
              <w:rPr>
                <w:rFonts w:ascii="Arial" w:cs="Arial" w:eastAsia="Arial" w:hAnsi="Arial"/>
                <w:sz w:val="13"/>
                <w:szCs w:val="13"/>
                <w:color w:val="auto"/>
              </w:rPr>
              <w:t>Income before income tax expense</w:t>
            </w:r>
          </w:p>
        </w:tc>
        <w:tc>
          <w:tcPr>
            <w:tcW w:w="980" w:type="dxa"/>
            <w:vAlign w:val="bottom"/>
          </w:tcPr>
          <w:p>
            <w:pPr>
              <w:spacing w:after="0"/>
              <w:rPr>
                <w:sz w:val="17"/>
                <w:szCs w:val="17"/>
                <w:color w:val="auto"/>
              </w:rPr>
            </w:pP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257</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305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517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484</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61</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123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175</w:t>
            </w: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w:t>
            </w:r>
          </w:p>
        </w:tc>
        <w:tc>
          <w:tcPr>
            <w:tcW w:w="980" w:type="dxa"/>
            <w:vAlign w:val="bottom"/>
            <w:tcBorders>
              <w:bottom w:val="single" w:sz="8" w:color="auto"/>
            </w:tcBorders>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196</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202</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394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309</w:t>
            </w:r>
          </w:p>
        </w:tc>
      </w:tr>
      <w:tr>
        <w:trPr>
          <w:trHeight w:val="212"/>
        </w:trPr>
        <w:tc>
          <w:tcPr>
            <w:tcW w:w="5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Net income per share: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98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3.15</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3.29</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6.34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5.10</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6"/>
        </w:trPr>
        <w:tc>
          <w:tcPr>
            <w:tcW w:w="5160" w:type="dxa"/>
            <w:vAlign w:val="bottom"/>
          </w:tcPr>
          <w:p>
            <w:pPr>
              <w:ind w:left="140"/>
              <w:spacing w:after="0"/>
              <w:rPr>
                <w:sz w:val="20"/>
                <w:szCs w:val="20"/>
                <w:color w:val="auto"/>
              </w:rPr>
            </w:pPr>
            <w:r>
              <w:rPr>
                <w:rFonts w:ascii="Arial" w:cs="Arial" w:eastAsia="Arial" w:hAnsi="Arial"/>
                <w:sz w:val="13"/>
                <w:szCs w:val="13"/>
                <w:color w:val="auto"/>
              </w:rPr>
              <w:t>Diluted</w:t>
            </w:r>
          </w:p>
        </w:tc>
        <w:tc>
          <w:tcPr>
            <w:tcW w:w="980" w:type="dxa"/>
            <w:vAlign w:val="bottom"/>
            <w:tcBorders>
              <w:bottom w:val="single" w:sz="8" w:color="auto"/>
            </w:tcBorders>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3.06</w:t>
            </w:r>
          </w:p>
        </w:tc>
        <w:tc>
          <w:tcPr>
            <w:tcW w:w="120" w:type="dxa"/>
            <w:vAlign w:val="bottom"/>
          </w:tcPr>
          <w:p>
            <w:pPr>
              <w:spacing w:after="0"/>
              <w:rPr>
                <w:sz w:val="14"/>
                <w:szCs w:val="14"/>
                <w:color w:val="auto"/>
              </w:rPr>
            </w:pPr>
          </w:p>
        </w:tc>
        <w:tc>
          <w:tcPr>
            <w:tcW w:w="980" w:type="dxa"/>
            <w:vAlign w:val="bottom"/>
            <w:tcBorders>
              <w:bottom w:val="single" w:sz="8" w:color="auto"/>
            </w:tcBorders>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3.02</w:t>
            </w: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6.04</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4.68</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47"/>
        </w:trPr>
        <w:tc>
          <w:tcPr>
            <w:tcW w:w="6140" w:type="dxa"/>
            <w:vAlign w:val="bottom"/>
            <w:gridSpan w:val="2"/>
          </w:tcPr>
          <w:p>
            <w:pPr>
              <w:spacing w:after="0"/>
              <w:rPr>
                <w:sz w:val="20"/>
                <w:szCs w:val="20"/>
                <w:color w:val="auto"/>
              </w:rPr>
            </w:pPr>
            <w:r>
              <w:rPr>
                <w:rFonts w:ascii="Arial" w:cs="Arial" w:eastAsia="Arial" w:hAnsi="Arial"/>
                <w:sz w:val="20"/>
                <w:szCs w:val="20"/>
                <w:b w:val="1"/>
                <w:bCs w:val="1"/>
                <w:color w:val="0F7C7F"/>
              </w:rPr>
              <w:t>CONSOLIDATED STATEMENTS OF COMPREHENSIVE INCOME</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3"/>
        </w:trPr>
        <w:tc>
          <w:tcPr>
            <w:tcW w:w="5160" w:type="dxa"/>
            <w:vAlign w:val="bottom"/>
          </w:tcPr>
          <w:p>
            <w:pPr>
              <w:spacing w:after="0"/>
              <w:rPr>
                <w:sz w:val="24"/>
                <w:szCs w:val="24"/>
                <w:color w:val="auto"/>
              </w:rPr>
            </w:pPr>
          </w:p>
        </w:tc>
        <w:tc>
          <w:tcPr>
            <w:tcW w:w="2600" w:type="dxa"/>
            <w:vAlign w:val="bottom"/>
            <w:tcBorders>
              <w:bottom w:val="single" w:sz="8" w:color="auto"/>
            </w:tcBorders>
            <w:gridSpan w:val="4"/>
          </w:tcPr>
          <w:p>
            <w:pPr>
              <w:jc w:val="right"/>
              <w:ind w:right="158"/>
              <w:spacing w:after="0"/>
              <w:rPr>
                <w:sz w:val="20"/>
                <w:szCs w:val="20"/>
                <w:color w:val="auto"/>
              </w:rPr>
            </w:pPr>
            <w:r>
              <w:rPr>
                <w:rFonts w:ascii="Arial" w:cs="Arial" w:eastAsia="Arial" w:hAnsi="Arial"/>
                <w:sz w:val="11"/>
                <w:szCs w:val="11"/>
                <w:b w:val="1"/>
                <w:bCs w:val="1"/>
                <w:color w:val="auto"/>
              </w:rPr>
              <w:t>Three Months Ended June 30,</w:t>
            </w: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1"/>
                <w:szCs w:val="11"/>
                <w:b w:val="1"/>
                <w:bCs w:val="1"/>
                <w:color w:val="auto"/>
              </w:rPr>
              <w:t>Six Months Ended June 30,</w:t>
            </w:r>
          </w:p>
        </w:tc>
      </w:tr>
      <w:tr>
        <w:trPr>
          <w:trHeight w:val="206"/>
        </w:trPr>
        <w:tc>
          <w:tcPr>
            <w:tcW w:w="5160" w:type="dxa"/>
            <w:vAlign w:val="bottom"/>
          </w:tcPr>
          <w:p>
            <w:pPr>
              <w:spacing w:after="0"/>
              <w:rPr>
                <w:sz w:val="17"/>
                <w:szCs w:val="17"/>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2018</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2018</w:t>
            </w:r>
          </w:p>
        </w:tc>
      </w:tr>
      <w:tr>
        <w:trPr>
          <w:trHeight w:val="136"/>
        </w:trPr>
        <w:tc>
          <w:tcPr>
            <w:tcW w:w="5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3"/>
          </w:tcPr>
          <w:p>
            <w:pPr>
              <w:jc w:val="right"/>
              <w:ind w:right="135"/>
              <w:spacing w:after="0"/>
              <w:rPr>
                <w:sz w:val="20"/>
                <w:szCs w:val="20"/>
                <w:color w:val="auto"/>
              </w:rPr>
            </w:pPr>
            <w:r>
              <w:rPr>
                <w:rFonts w:ascii="Arial" w:cs="Arial" w:eastAsia="Arial" w:hAnsi="Arial"/>
                <w:sz w:val="11"/>
                <w:szCs w:val="11"/>
                <w:b w:val="1"/>
                <w:bCs w:val="1"/>
                <w:color w:val="auto"/>
              </w:rPr>
              <w:t>(In millions)</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57"/>
        </w:trPr>
        <w:tc>
          <w:tcPr>
            <w:tcW w:w="5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gridSpan w:val="3"/>
          </w:tcPr>
          <w:p>
            <w:pPr>
              <w:jc w:val="right"/>
              <w:ind w:right="135"/>
              <w:spacing w:after="0"/>
              <w:rPr>
                <w:sz w:val="20"/>
                <w:szCs w:val="20"/>
                <w:color w:val="auto"/>
              </w:rPr>
            </w:pPr>
            <w:r>
              <w:rPr>
                <w:rFonts w:ascii="Arial" w:cs="Arial" w:eastAsia="Arial" w:hAnsi="Arial"/>
                <w:sz w:val="11"/>
                <w:szCs w:val="11"/>
                <w:b w:val="1"/>
                <w:bCs w:val="1"/>
                <w:color w:val="auto"/>
              </w:rPr>
              <w:t>(Unaudited)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80" w:type="dxa"/>
            <w:vAlign w:val="bottom"/>
            <w:shd w:val="clear" w:color="auto" w:fill="CCEEFF"/>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196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309</w:t>
            </w: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Other comprehensive income (loss):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5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Unrealized investment income (loss)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208"/>
        </w:trPr>
        <w:tc>
          <w:tcPr>
            <w:tcW w:w="5160" w:type="dxa"/>
            <w:vAlign w:val="bottom"/>
          </w:tcPr>
          <w:p>
            <w:pPr>
              <w:ind w:left="140"/>
              <w:spacing w:after="0"/>
              <w:rPr>
                <w:sz w:val="20"/>
                <w:szCs w:val="20"/>
                <w:color w:val="auto"/>
              </w:rPr>
            </w:pPr>
            <w:r>
              <w:rPr>
                <w:rFonts w:ascii="Arial" w:cs="Arial" w:eastAsia="Arial" w:hAnsi="Arial"/>
                <w:sz w:val="13"/>
                <w:szCs w:val="13"/>
                <w:color w:val="auto"/>
              </w:rPr>
              <w:t>Less: effect of income taxes</w:t>
            </w:r>
          </w:p>
        </w:tc>
        <w:tc>
          <w:tcPr>
            <w:tcW w:w="980" w:type="dxa"/>
            <w:vAlign w:val="bottom"/>
          </w:tcPr>
          <w:p>
            <w:pPr>
              <w:spacing w:after="0"/>
              <w:rPr>
                <w:sz w:val="18"/>
                <w:szCs w:val="18"/>
                <w:color w:val="auto"/>
              </w:rPr>
            </w:pP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96"/>
        </w:trPr>
        <w:tc>
          <w:tcPr>
            <w:tcW w:w="51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Other comprehensive income (loss), net of tax</w:t>
            </w: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8</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13</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90"/>
        </w:trPr>
        <w:tc>
          <w:tcPr>
            <w:tcW w:w="5160" w:type="dxa"/>
            <w:vAlign w:val="bottom"/>
          </w:tcPr>
          <w:p>
            <w:pPr>
              <w:ind w:left="20"/>
              <w:spacing w:after="0"/>
              <w:rPr>
                <w:sz w:val="20"/>
                <w:szCs w:val="20"/>
                <w:color w:val="auto"/>
              </w:rPr>
            </w:pPr>
            <w:r>
              <w:rPr>
                <w:rFonts w:ascii="Arial" w:cs="Arial" w:eastAsia="Arial" w:hAnsi="Arial"/>
                <w:sz w:val="13"/>
                <w:szCs w:val="13"/>
                <w:color w:val="auto"/>
              </w:rPr>
              <w:t>Comprehensive income</w:t>
            </w:r>
          </w:p>
        </w:tc>
        <w:tc>
          <w:tcPr>
            <w:tcW w:w="980" w:type="dxa"/>
            <w:vAlign w:val="bottom"/>
            <w:tcBorders>
              <w:bottom w:val="single" w:sz="8" w:color="auto"/>
            </w:tcBorders>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204</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203</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407</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304</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3</w:t>
      </w:r>
    </w:p>
    <w:p>
      <w:pPr>
        <w:sectPr>
          <w:pgSz w:w="11900" w:h="16838" w:orient="portrait"/>
          <w:cols w:equalWidth="0" w:num="1">
            <w:col w:w="11460"/>
          </w:cols>
          <w:pgMar w:left="220" w:top="140" w:right="21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CONSOLIDATED BALANCE SHEETS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360" w:type="dxa"/>
            <w:vAlign w:val="bottom"/>
          </w:tcPr>
          <w:p>
            <w:pPr>
              <w:spacing w:after="0"/>
              <w:rPr>
                <w:sz w:val="11"/>
                <w:szCs w:val="11"/>
                <w:color w:val="auto"/>
              </w:rPr>
            </w:pPr>
          </w:p>
        </w:tc>
        <w:tc>
          <w:tcPr>
            <w:tcW w:w="1000" w:type="dxa"/>
            <w:vAlign w:val="bottom"/>
          </w:tcPr>
          <w:p>
            <w:pPr>
              <w:jc w:val="center"/>
              <w:ind w:left="439"/>
              <w:spacing w:after="0"/>
              <w:rPr>
                <w:sz w:val="20"/>
                <w:szCs w:val="20"/>
                <w:color w:val="auto"/>
              </w:rPr>
            </w:pPr>
            <w:r>
              <w:rPr>
                <w:rFonts w:ascii="Arial" w:cs="Arial" w:eastAsia="Arial" w:hAnsi="Arial"/>
                <w:sz w:val="11"/>
                <w:szCs w:val="11"/>
                <w:b w:val="1"/>
                <w:bCs w:val="1"/>
                <w:color w:val="auto"/>
              </w:rPr>
              <w:t>June 30,</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right"/>
              <w:ind w:right="295"/>
              <w:spacing w:after="0"/>
              <w:rPr>
                <w:sz w:val="20"/>
                <w:szCs w:val="20"/>
                <w:color w:val="auto"/>
              </w:rPr>
            </w:pPr>
            <w:r>
              <w:rPr>
                <w:rFonts w:ascii="Arial" w:cs="Arial" w:eastAsia="Arial" w:hAnsi="Arial"/>
                <w:sz w:val="11"/>
                <w:szCs w:val="11"/>
                <w:b w:val="1"/>
                <w:bCs w:val="1"/>
                <w:color w:val="auto"/>
              </w:rPr>
              <w:t>December 31,</w:t>
            </w:r>
          </w:p>
        </w:tc>
      </w:tr>
      <w:tr>
        <w:trPr>
          <w:trHeight w:val="157"/>
        </w:trPr>
        <w:tc>
          <w:tcPr>
            <w:tcW w:w="8360" w:type="dxa"/>
            <w:vAlign w:val="bottom"/>
          </w:tcPr>
          <w:p>
            <w:pPr>
              <w:spacing w:after="0"/>
              <w:rPr>
                <w:sz w:val="13"/>
                <w:szCs w:val="13"/>
                <w:color w:val="auto"/>
              </w:rPr>
            </w:pPr>
          </w:p>
        </w:tc>
        <w:tc>
          <w:tcPr>
            <w:tcW w:w="1000" w:type="dxa"/>
            <w:vAlign w:val="bottom"/>
            <w:tcBorders>
              <w:bottom w:val="single" w:sz="8" w:color="auto"/>
            </w:tcBorders>
          </w:tcPr>
          <w:p>
            <w:pPr>
              <w:jc w:val="center"/>
              <w:ind w:left="459"/>
              <w:spacing w:after="0"/>
              <w:rPr>
                <w:sz w:val="20"/>
                <w:szCs w:val="20"/>
                <w:color w:val="auto"/>
              </w:rPr>
            </w:pPr>
            <w:r>
              <w:rPr>
                <w:rFonts w:ascii="Arial" w:cs="Arial" w:eastAsia="Arial" w:hAnsi="Arial"/>
                <w:sz w:val="11"/>
                <w:szCs w:val="11"/>
                <w:b w:val="1"/>
                <w:bCs w:val="1"/>
                <w:color w:val="auto"/>
                <w:w w:val="97"/>
              </w:rPr>
              <w:t>2019</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1"/>
                <w:szCs w:val="11"/>
                <w:b w:val="1"/>
                <w:bCs w:val="1"/>
                <w:color w:val="auto"/>
              </w:rPr>
              <w:t>2018</w:t>
            </w:r>
          </w:p>
        </w:tc>
        <w:tc>
          <w:tcPr>
            <w:tcW w:w="520" w:type="dxa"/>
            <w:vAlign w:val="bottom"/>
            <w:tcBorders>
              <w:bottom w:val="single" w:sz="8" w:color="auto"/>
            </w:tcBorders>
          </w:tcPr>
          <w:p>
            <w:pPr>
              <w:spacing w:after="0"/>
              <w:rPr>
                <w:sz w:val="13"/>
                <w:szCs w:val="13"/>
                <w:color w:val="auto"/>
              </w:rPr>
            </w:pPr>
          </w:p>
        </w:tc>
      </w:tr>
      <w:tr>
        <w:trPr>
          <w:trHeight w:val="136"/>
        </w:trPr>
        <w:tc>
          <w:tcPr>
            <w:tcW w:w="8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80" w:type="dxa"/>
            <w:vAlign w:val="bottom"/>
            <w:gridSpan w:val="3"/>
          </w:tcPr>
          <w:p>
            <w:pPr>
              <w:jc w:val="right"/>
              <w:ind w:right="418"/>
              <w:spacing w:after="0"/>
              <w:rPr>
                <w:sz w:val="20"/>
                <w:szCs w:val="20"/>
                <w:color w:val="auto"/>
              </w:rPr>
            </w:pPr>
            <w:r>
              <w:rPr>
                <w:rFonts w:ascii="Arial" w:cs="Arial" w:eastAsia="Arial" w:hAnsi="Arial"/>
                <w:sz w:val="11"/>
                <w:szCs w:val="11"/>
                <w:b w:val="1"/>
                <w:bCs w:val="1"/>
                <w:color w:val="auto"/>
              </w:rPr>
              <w:t>(Dollars in millions,</w:t>
            </w:r>
          </w:p>
        </w:tc>
        <w:tc>
          <w:tcPr>
            <w:tcW w:w="520" w:type="dxa"/>
            <w:vAlign w:val="bottom"/>
          </w:tcPr>
          <w:p>
            <w:pPr>
              <w:spacing w:after="0"/>
              <w:rPr>
                <w:sz w:val="11"/>
                <w:szCs w:val="11"/>
                <w:color w:val="auto"/>
              </w:rPr>
            </w:pPr>
          </w:p>
        </w:tc>
      </w:tr>
      <w:tr>
        <w:trPr>
          <w:trHeight w:val="152"/>
        </w:trPr>
        <w:tc>
          <w:tcPr>
            <w:tcW w:w="8360" w:type="dxa"/>
            <w:vAlign w:val="bottom"/>
          </w:tcPr>
          <w:p>
            <w:pPr>
              <w:spacing w:after="0"/>
              <w:rPr>
                <w:sz w:val="13"/>
                <w:szCs w:val="13"/>
                <w:color w:val="auto"/>
              </w:rPr>
            </w:pPr>
          </w:p>
        </w:tc>
        <w:tc>
          <w:tcPr>
            <w:tcW w:w="2580" w:type="dxa"/>
            <w:vAlign w:val="bottom"/>
            <w:gridSpan w:val="4"/>
          </w:tcPr>
          <w:p>
            <w:pPr>
              <w:jc w:val="right"/>
              <w:ind w:right="218"/>
              <w:spacing w:after="0"/>
              <w:rPr>
                <w:sz w:val="20"/>
                <w:szCs w:val="20"/>
                <w:color w:val="auto"/>
              </w:rPr>
            </w:pPr>
            <w:r>
              <w:rPr>
                <w:rFonts w:ascii="Arial" w:cs="Arial" w:eastAsia="Arial" w:hAnsi="Arial"/>
                <w:sz w:val="11"/>
                <w:szCs w:val="11"/>
                <w:b w:val="1"/>
                <w:bCs w:val="1"/>
                <w:color w:val="auto"/>
              </w:rPr>
              <w:t>except per-share amounts)</w:t>
            </w:r>
          </w:p>
        </w:tc>
        <w:tc>
          <w:tcPr>
            <w:tcW w:w="520" w:type="dxa"/>
            <w:vAlign w:val="bottom"/>
          </w:tcPr>
          <w:p>
            <w:pPr>
              <w:spacing w:after="0"/>
              <w:rPr>
                <w:sz w:val="13"/>
                <w:szCs w:val="13"/>
                <w:color w:val="auto"/>
              </w:rPr>
            </w:pPr>
          </w:p>
        </w:tc>
      </w:tr>
      <w:tr>
        <w:trPr>
          <w:trHeight w:val="220"/>
        </w:trPr>
        <w:tc>
          <w:tcPr>
            <w:tcW w:w="8360" w:type="dxa"/>
            <w:vAlign w:val="bottom"/>
          </w:tcPr>
          <w:p>
            <w:pPr>
              <w:spacing w:after="0"/>
              <w:rPr>
                <w:sz w:val="19"/>
                <w:szCs w:val="19"/>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(Unaudited)</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99"/>
        </w:trPr>
        <w:tc>
          <w:tcPr>
            <w:tcW w:w="8360" w:type="dxa"/>
            <w:vAlign w:val="bottom"/>
            <w:shd w:val="clear" w:color="auto" w:fill="CCEEFF"/>
          </w:tcPr>
          <w:p>
            <w:pPr>
              <w:ind w:left="5480"/>
              <w:spacing w:after="0"/>
              <w:rPr>
                <w:sz w:val="20"/>
                <w:szCs w:val="20"/>
                <w:color w:val="auto"/>
              </w:rPr>
            </w:pPr>
            <w:r>
              <w:rPr>
                <w:rFonts w:ascii="Arial" w:cs="Arial" w:eastAsia="Arial" w:hAnsi="Arial"/>
                <w:sz w:val="13"/>
                <w:szCs w:val="13"/>
                <w:b w:val="1"/>
                <w:bCs w:val="1"/>
                <w:color w:val="auto"/>
              </w:rPr>
              <w:t>ASSETS</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8"/>
        </w:trPr>
        <w:tc>
          <w:tcPr>
            <w:tcW w:w="836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000" w:type="dxa"/>
            <w:vAlign w:val="bottom"/>
            <w:shd w:val="clear" w:color="auto" w:fill="CCEEFF"/>
          </w:tcPr>
          <w:p>
            <w:pPr>
              <w:jc w:val="right"/>
              <w:ind w:right="839"/>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2,253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98"/>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2,826</w:t>
            </w:r>
          </w:p>
        </w:tc>
      </w:tr>
      <w:tr>
        <w:trPr>
          <w:trHeight w:val="208"/>
        </w:trPr>
        <w:tc>
          <w:tcPr>
            <w:tcW w:w="8360" w:type="dxa"/>
            <w:vAlign w:val="bottom"/>
          </w:tcPr>
          <w:p>
            <w:pPr>
              <w:ind w:left="140"/>
              <w:spacing w:after="0"/>
              <w:rPr>
                <w:sz w:val="20"/>
                <w:szCs w:val="20"/>
                <w:color w:val="auto"/>
              </w:rPr>
            </w:pPr>
            <w:r>
              <w:rPr>
                <w:rFonts w:ascii="Arial" w:cs="Arial" w:eastAsia="Arial" w:hAnsi="Arial"/>
                <w:sz w:val="13"/>
                <w:szCs w:val="13"/>
                <w:color w:val="auto"/>
              </w:rPr>
              <w:t>Investments</w:t>
            </w:r>
          </w:p>
        </w:tc>
        <w:tc>
          <w:tcPr>
            <w:tcW w:w="1000" w:type="dxa"/>
            <w:vAlign w:val="bottom"/>
          </w:tcPr>
          <w:p>
            <w:pPr>
              <w:spacing w:after="0"/>
              <w:rPr>
                <w:sz w:val="18"/>
                <w:szCs w:val="18"/>
                <w:color w:val="auto"/>
              </w:rPr>
            </w:pPr>
          </w:p>
        </w:tc>
        <w:tc>
          <w:tcPr>
            <w:tcW w:w="500" w:type="dxa"/>
            <w:vAlign w:val="bottom"/>
          </w:tcPr>
          <w:p>
            <w:pPr>
              <w:jc w:val="right"/>
              <w:ind w:right="56"/>
              <w:spacing w:after="0"/>
              <w:rPr>
                <w:sz w:val="20"/>
                <w:szCs w:val="20"/>
                <w:color w:val="auto"/>
              </w:rPr>
            </w:pPr>
            <w:r>
              <w:rPr>
                <w:rFonts w:ascii="Arial" w:cs="Arial" w:eastAsia="Arial" w:hAnsi="Arial"/>
                <w:sz w:val="13"/>
                <w:szCs w:val="13"/>
                <w:color w:val="auto"/>
              </w:rPr>
              <w:t>2,070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1,681</w:t>
            </w: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Receivables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1,239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1,330</w:t>
            </w:r>
          </w:p>
        </w:tc>
      </w:tr>
      <w:tr>
        <w:trPr>
          <w:trHeight w:val="208"/>
        </w:trPr>
        <w:tc>
          <w:tcPr>
            <w:tcW w:w="8360" w:type="dxa"/>
            <w:vAlign w:val="bottom"/>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1000" w:type="dxa"/>
            <w:vAlign w:val="bottom"/>
          </w:tcPr>
          <w:p>
            <w:pPr>
              <w:spacing w:after="0"/>
              <w:rPr>
                <w:sz w:val="18"/>
                <w:szCs w:val="18"/>
                <w:color w:val="auto"/>
              </w:rPr>
            </w:pPr>
          </w:p>
        </w:tc>
        <w:tc>
          <w:tcPr>
            <w:tcW w:w="500" w:type="dxa"/>
            <w:vAlign w:val="bottom"/>
          </w:tcPr>
          <w:p>
            <w:pPr>
              <w:jc w:val="right"/>
              <w:ind w:right="56"/>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149</w:t>
            </w:r>
          </w:p>
        </w:tc>
      </w:tr>
      <w:tr>
        <w:trPr>
          <w:trHeight w:val="216"/>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Derivative asset</w:t>
            </w:r>
          </w:p>
        </w:tc>
        <w:tc>
          <w:tcPr>
            <w:tcW w:w="1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169</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476</w:t>
            </w:r>
          </w:p>
        </w:tc>
      </w:tr>
      <w:tr>
        <w:trPr>
          <w:trHeight w:val="196"/>
        </w:trPr>
        <w:tc>
          <w:tcPr>
            <w:tcW w:w="8360" w:type="dxa"/>
            <w:vAlign w:val="bottom"/>
          </w:tcPr>
          <w:p>
            <w:pPr>
              <w:ind w:left="220"/>
              <w:spacing w:after="0"/>
              <w:rPr>
                <w:sz w:val="20"/>
                <w:szCs w:val="20"/>
                <w:color w:val="auto"/>
              </w:rPr>
            </w:pPr>
            <w:r>
              <w:rPr>
                <w:rFonts w:ascii="Arial" w:cs="Arial" w:eastAsia="Arial" w:hAnsi="Arial"/>
                <w:sz w:val="13"/>
                <w:szCs w:val="13"/>
                <w:color w:val="auto"/>
              </w:rPr>
              <w:t>Total current assets</w:t>
            </w:r>
          </w:p>
        </w:tc>
        <w:tc>
          <w:tcPr>
            <w:tcW w:w="1000" w:type="dxa"/>
            <w:vAlign w:val="bottom"/>
          </w:tcPr>
          <w:p>
            <w:pPr>
              <w:spacing w:after="0"/>
              <w:rPr>
                <w:sz w:val="17"/>
                <w:szCs w:val="17"/>
                <w:color w:val="auto"/>
              </w:rPr>
            </w:pPr>
          </w:p>
        </w:tc>
        <w:tc>
          <w:tcPr>
            <w:tcW w:w="500" w:type="dxa"/>
            <w:vAlign w:val="bottom"/>
          </w:tcPr>
          <w:p>
            <w:pPr>
              <w:jc w:val="right"/>
              <w:ind w:right="56"/>
              <w:spacing w:after="0"/>
              <w:rPr>
                <w:sz w:val="20"/>
                <w:szCs w:val="20"/>
                <w:color w:val="auto"/>
              </w:rPr>
            </w:pPr>
            <w:r>
              <w:rPr>
                <w:rFonts w:ascii="Arial" w:cs="Arial" w:eastAsia="Arial" w:hAnsi="Arial"/>
                <w:sz w:val="13"/>
                <w:szCs w:val="13"/>
                <w:color w:val="auto"/>
              </w:rPr>
              <w:t>5,863</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6,462</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equipment, and capitalized software, net</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373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241</w:t>
            </w:r>
          </w:p>
        </w:tc>
      </w:tr>
      <w:tr>
        <w:trPr>
          <w:trHeight w:val="208"/>
        </w:trPr>
        <w:tc>
          <w:tcPr>
            <w:tcW w:w="8360" w:type="dxa"/>
            <w:vAlign w:val="bottom"/>
          </w:tcPr>
          <w:p>
            <w:pPr>
              <w:ind w:left="20"/>
              <w:spacing w:after="0"/>
              <w:rPr>
                <w:sz w:val="20"/>
                <w:szCs w:val="20"/>
                <w:color w:val="auto"/>
              </w:rPr>
            </w:pPr>
            <w:r>
              <w:rPr>
                <w:rFonts w:ascii="Arial" w:cs="Arial" w:eastAsia="Arial" w:hAnsi="Arial"/>
                <w:sz w:val="13"/>
                <w:szCs w:val="13"/>
                <w:color w:val="auto"/>
              </w:rPr>
              <w:t>Goodwill and intangible assets, net</w:t>
            </w:r>
          </w:p>
        </w:tc>
        <w:tc>
          <w:tcPr>
            <w:tcW w:w="1000" w:type="dxa"/>
            <w:vAlign w:val="bottom"/>
          </w:tcPr>
          <w:p>
            <w:pPr>
              <w:spacing w:after="0"/>
              <w:rPr>
                <w:sz w:val="18"/>
                <w:szCs w:val="18"/>
                <w:color w:val="auto"/>
              </w:rPr>
            </w:pPr>
          </w:p>
        </w:tc>
        <w:tc>
          <w:tcPr>
            <w:tcW w:w="500" w:type="dxa"/>
            <w:vAlign w:val="bottom"/>
          </w:tcPr>
          <w:p>
            <w:pPr>
              <w:jc w:val="right"/>
              <w:ind w:right="56"/>
              <w:spacing w:after="0"/>
              <w:rPr>
                <w:sz w:val="20"/>
                <w:szCs w:val="20"/>
                <w:color w:val="auto"/>
              </w:rPr>
            </w:pPr>
            <w:r>
              <w:rPr>
                <w:rFonts w:ascii="Arial" w:cs="Arial" w:eastAsia="Arial" w:hAnsi="Arial"/>
                <w:sz w:val="13"/>
                <w:szCs w:val="13"/>
                <w:color w:val="auto"/>
              </w:rPr>
              <w:t>180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190</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investments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120</w:t>
            </w:r>
          </w:p>
        </w:tc>
      </w:tr>
      <w:tr>
        <w:trPr>
          <w:trHeight w:val="208"/>
        </w:trPr>
        <w:tc>
          <w:tcPr>
            <w:tcW w:w="8360" w:type="dxa"/>
            <w:vAlign w:val="bottom"/>
          </w:tcPr>
          <w:p>
            <w:pPr>
              <w:ind w:left="20"/>
              <w:spacing w:after="0"/>
              <w:rPr>
                <w:sz w:val="20"/>
                <w:szCs w:val="20"/>
                <w:color w:val="auto"/>
              </w:rPr>
            </w:pPr>
            <w:r>
              <w:rPr>
                <w:rFonts w:ascii="Arial" w:cs="Arial" w:eastAsia="Arial" w:hAnsi="Arial"/>
                <w:sz w:val="13"/>
                <w:szCs w:val="13"/>
                <w:color w:val="auto"/>
              </w:rPr>
              <w:t>Deferred income taxes</w:t>
            </w:r>
          </w:p>
        </w:tc>
        <w:tc>
          <w:tcPr>
            <w:tcW w:w="1000" w:type="dxa"/>
            <w:vAlign w:val="bottom"/>
          </w:tcPr>
          <w:p>
            <w:pPr>
              <w:spacing w:after="0"/>
              <w:rPr>
                <w:sz w:val="18"/>
                <w:szCs w:val="18"/>
                <w:color w:val="auto"/>
              </w:rPr>
            </w:pPr>
          </w:p>
        </w:tc>
        <w:tc>
          <w:tcPr>
            <w:tcW w:w="500" w:type="dxa"/>
            <w:vAlign w:val="bottom"/>
          </w:tcPr>
          <w:p>
            <w:pPr>
              <w:jc w:val="right"/>
              <w:ind w:right="56"/>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117</w:t>
            </w: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assets</w:t>
            </w:r>
          </w:p>
        </w:tc>
        <w:tc>
          <w:tcPr>
            <w:tcW w:w="1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24</w:t>
            </w:r>
          </w:p>
        </w:tc>
      </w:tr>
      <w:tr>
        <w:trPr>
          <w:trHeight w:val="225"/>
        </w:trPr>
        <w:tc>
          <w:tcPr>
            <w:tcW w:w="83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839"/>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6,690</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798"/>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7,154</w:t>
            </w:r>
          </w:p>
        </w:tc>
      </w:tr>
      <w:tr>
        <w:trPr>
          <w:trHeight w:val="207"/>
        </w:trPr>
        <w:tc>
          <w:tcPr>
            <w:tcW w:w="8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186"/>
        </w:trPr>
        <w:tc>
          <w:tcPr>
            <w:tcW w:w="8360" w:type="dxa"/>
            <w:vAlign w:val="bottom"/>
          </w:tcPr>
          <w:p>
            <w:pPr>
              <w:ind w:left="4380"/>
              <w:spacing w:after="0"/>
              <w:rPr>
                <w:sz w:val="20"/>
                <w:szCs w:val="20"/>
                <w:color w:val="auto"/>
              </w:rPr>
            </w:pPr>
            <w:r>
              <w:rPr>
                <w:rFonts w:ascii="Arial" w:cs="Arial" w:eastAsia="Arial" w:hAnsi="Arial"/>
                <w:sz w:val="13"/>
                <w:szCs w:val="13"/>
                <w:b w:val="1"/>
                <w:bCs w:val="1"/>
                <w:color w:val="auto"/>
              </w:rPr>
              <w:t>LIABILITIES AND STOCKHOLDERS’ EQUITY</w:t>
            </w: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08"/>
        </w:trPr>
        <w:tc>
          <w:tcPr>
            <w:tcW w:w="8360" w:type="dxa"/>
            <w:vAlign w:val="bottom"/>
          </w:tcPr>
          <w:p>
            <w:pPr>
              <w:ind w:left="140"/>
              <w:spacing w:after="0"/>
              <w:rPr>
                <w:sz w:val="20"/>
                <w:szCs w:val="20"/>
                <w:color w:val="auto"/>
              </w:rPr>
            </w:pPr>
            <w:r>
              <w:rPr>
                <w:rFonts w:ascii="Arial" w:cs="Arial" w:eastAsia="Arial" w:hAnsi="Arial"/>
                <w:sz w:val="13"/>
                <w:szCs w:val="13"/>
                <w:color w:val="auto"/>
              </w:rPr>
              <w:t>Medical claims and benefits payable</w:t>
            </w:r>
          </w:p>
        </w:tc>
        <w:tc>
          <w:tcPr>
            <w:tcW w:w="1000" w:type="dxa"/>
            <w:vAlign w:val="bottom"/>
          </w:tcPr>
          <w:p>
            <w:pPr>
              <w:jc w:val="right"/>
              <w:ind w:right="839"/>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6"/>
              <w:spacing w:after="0"/>
              <w:rPr>
                <w:sz w:val="20"/>
                <w:szCs w:val="20"/>
                <w:color w:val="auto"/>
              </w:rPr>
            </w:pPr>
            <w:r>
              <w:rPr>
                <w:rFonts w:ascii="Arial" w:cs="Arial" w:eastAsia="Arial" w:hAnsi="Arial"/>
                <w:sz w:val="13"/>
                <w:szCs w:val="13"/>
                <w:color w:val="auto"/>
              </w:rPr>
              <w:t>1,767</w:t>
            </w:r>
          </w:p>
        </w:tc>
        <w:tc>
          <w:tcPr>
            <w:tcW w:w="120" w:type="dxa"/>
            <w:vAlign w:val="bottom"/>
          </w:tcPr>
          <w:p>
            <w:pPr>
              <w:spacing w:after="0"/>
              <w:rPr>
                <w:sz w:val="18"/>
                <w:szCs w:val="18"/>
                <w:color w:val="auto"/>
              </w:rPr>
            </w:pPr>
          </w:p>
        </w:tc>
        <w:tc>
          <w:tcPr>
            <w:tcW w:w="960" w:type="dxa"/>
            <w:vAlign w:val="bottom"/>
          </w:tcPr>
          <w:p>
            <w:pPr>
              <w:jc w:val="right"/>
              <w:ind w:right="798"/>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1,961</w:t>
            </w: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Amounts due government agencies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984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967</w:t>
            </w:r>
          </w:p>
        </w:tc>
      </w:tr>
      <w:tr>
        <w:trPr>
          <w:trHeight w:val="208"/>
        </w:trPr>
        <w:tc>
          <w:tcPr>
            <w:tcW w:w="8360" w:type="dxa"/>
            <w:vAlign w:val="bottom"/>
          </w:tcPr>
          <w:p>
            <w:pPr>
              <w:ind w:left="140"/>
              <w:spacing w:after="0"/>
              <w:rPr>
                <w:sz w:val="20"/>
                <w:szCs w:val="20"/>
                <w:color w:val="auto"/>
              </w:rPr>
            </w:pPr>
            <w:r>
              <w:rPr>
                <w:rFonts w:ascii="Arial" w:cs="Arial" w:eastAsia="Arial" w:hAnsi="Arial"/>
                <w:sz w:val="13"/>
                <w:szCs w:val="13"/>
                <w:color w:val="auto"/>
              </w:rPr>
              <w:t>Accounts payable and accrued liabilities</w:t>
            </w:r>
          </w:p>
        </w:tc>
        <w:tc>
          <w:tcPr>
            <w:tcW w:w="1000" w:type="dxa"/>
            <w:vAlign w:val="bottom"/>
          </w:tcPr>
          <w:p>
            <w:pPr>
              <w:spacing w:after="0"/>
              <w:rPr>
                <w:sz w:val="18"/>
                <w:szCs w:val="18"/>
                <w:color w:val="auto"/>
              </w:rPr>
            </w:pPr>
          </w:p>
        </w:tc>
        <w:tc>
          <w:tcPr>
            <w:tcW w:w="500" w:type="dxa"/>
            <w:vAlign w:val="bottom"/>
          </w:tcPr>
          <w:p>
            <w:pPr>
              <w:jc w:val="right"/>
              <w:ind w:right="56"/>
              <w:spacing w:after="0"/>
              <w:rPr>
                <w:sz w:val="20"/>
                <w:szCs w:val="20"/>
                <w:color w:val="auto"/>
              </w:rPr>
            </w:pPr>
            <w:r>
              <w:rPr>
                <w:rFonts w:ascii="Arial" w:cs="Arial" w:eastAsia="Arial" w:hAnsi="Arial"/>
                <w:sz w:val="13"/>
                <w:szCs w:val="13"/>
                <w:color w:val="auto"/>
              </w:rPr>
              <w:t>373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390</w:t>
            </w: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revenue</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211</w:t>
            </w:r>
          </w:p>
        </w:tc>
      </w:tr>
      <w:tr>
        <w:trPr>
          <w:trHeight w:val="208"/>
        </w:trPr>
        <w:tc>
          <w:tcPr>
            <w:tcW w:w="836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000" w:type="dxa"/>
            <w:vAlign w:val="bottom"/>
          </w:tcPr>
          <w:p>
            <w:pPr>
              <w:spacing w:after="0"/>
              <w:rPr>
                <w:sz w:val="18"/>
                <w:szCs w:val="18"/>
                <w:color w:val="auto"/>
              </w:rPr>
            </w:pPr>
          </w:p>
        </w:tc>
        <w:tc>
          <w:tcPr>
            <w:tcW w:w="500" w:type="dxa"/>
            <w:vAlign w:val="bottom"/>
          </w:tcPr>
          <w:p>
            <w:pPr>
              <w:jc w:val="right"/>
              <w:ind w:right="56"/>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241</w:t>
            </w:r>
          </w:p>
        </w:tc>
      </w:tr>
      <w:tr>
        <w:trPr>
          <w:trHeight w:val="216"/>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Derivative liability</w:t>
            </w:r>
          </w:p>
        </w:tc>
        <w:tc>
          <w:tcPr>
            <w:tcW w:w="1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169</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476</w:t>
            </w:r>
          </w:p>
        </w:tc>
      </w:tr>
      <w:tr>
        <w:trPr>
          <w:trHeight w:val="196"/>
        </w:trPr>
        <w:tc>
          <w:tcPr>
            <w:tcW w:w="8360" w:type="dxa"/>
            <w:vAlign w:val="bottom"/>
          </w:tcPr>
          <w:p>
            <w:pPr>
              <w:ind w:left="220"/>
              <w:spacing w:after="0"/>
              <w:rPr>
                <w:sz w:val="20"/>
                <w:szCs w:val="20"/>
                <w:color w:val="auto"/>
              </w:rPr>
            </w:pPr>
            <w:r>
              <w:rPr>
                <w:rFonts w:ascii="Arial" w:cs="Arial" w:eastAsia="Arial" w:hAnsi="Arial"/>
                <w:sz w:val="13"/>
                <w:szCs w:val="13"/>
                <w:color w:val="auto"/>
              </w:rPr>
              <w:t>Total current liabilities</w:t>
            </w:r>
          </w:p>
        </w:tc>
        <w:tc>
          <w:tcPr>
            <w:tcW w:w="1000" w:type="dxa"/>
            <w:vAlign w:val="bottom"/>
          </w:tcPr>
          <w:p>
            <w:pPr>
              <w:spacing w:after="0"/>
              <w:rPr>
                <w:sz w:val="17"/>
                <w:szCs w:val="17"/>
                <w:color w:val="auto"/>
              </w:rPr>
            </w:pPr>
          </w:p>
        </w:tc>
        <w:tc>
          <w:tcPr>
            <w:tcW w:w="500" w:type="dxa"/>
            <w:vAlign w:val="bottom"/>
          </w:tcPr>
          <w:p>
            <w:pPr>
              <w:jc w:val="right"/>
              <w:ind w:right="56"/>
              <w:spacing w:after="0"/>
              <w:rPr>
                <w:sz w:val="20"/>
                <w:szCs w:val="20"/>
                <w:color w:val="auto"/>
              </w:rPr>
            </w:pPr>
            <w:r>
              <w:rPr>
                <w:rFonts w:ascii="Arial" w:cs="Arial" w:eastAsia="Arial" w:hAnsi="Arial"/>
                <w:sz w:val="13"/>
                <w:szCs w:val="13"/>
                <w:color w:val="auto"/>
              </w:rPr>
              <w:t>3,388</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4,246</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debt</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1,241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1,020</w:t>
            </w:r>
          </w:p>
        </w:tc>
      </w:tr>
      <w:tr>
        <w:trPr>
          <w:trHeight w:val="208"/>
        </w:trPr>
        <w:tc>
          <w:tcPr>
            <w:tcW w:w="8360" w:type="dxa"/>
            <w:vAlign w:val="bottom"/>
          </w:tcPr>
          <w:p>
            <w:pPr>
              <w:ind w:left="20"/>
              <w:spacing w:after="0"/>
              <w:rPr>
                <w:sz w:val="20"/>
                <w:szCs w:val="20"/>
                <w:color w:val="auto"/>
              </w:rPr>
            </w:pPr>
            <w:r>
              <w:rPr>
                <w:rFonts w:ascii="Arial" w:cs="Arial" w:eastAsia="Arial" w:hAnsi="Arial"/>
                <w:sz w:val="13"/>
                <w:szCs w:val="13"/>
                <w:color w:val="auto"/>
              </w:rPr>
              <w:t>Finance lease liabilities</w:t>
            </w:r>
          </w:p>
        </w:tc>
        <w:tc>
          <w:tcPr>
            <w:tcW w:w="1000" w:type="dxa"/>
            <w:vAlign w:val="bottom"/>
          </w:tcPr>
          <w:p>
            <w:pPr>
              <w:spacing w:after="0"/>
              <w:rPr>
                <w:sz w:val="18"/>
                <w:szCs w:val="18"/>
                <w:color w:val="auto"/>
              </w:rPr>
            </w:pPr>
          </w:p>
        </w:tc>
        <w:tc>
          <w:tcPr>
            <w:tcW w:w="500" w:type="dxa"/>
            <w:vAlign w:val="bottom"/>
          </w:tcPr>
          <w:p>
            <w:pPr>
              <w:jc w:val="right"/>
              <w:ind w:right="56"/>
              <w:spacing w:after="0"/>
              <w:rPr>
                <w:sz w:val="20"/>
                <w:szCs w:val="20"/>
                <w:color w:val="auto"/>
              </w:rPr>
            </w:pPr>
            <w:r>
              <w:rPr>
                <w:rFonts w:ascii="Arial" w:cs="Arial" w:eastAsia="Arial" w:hAnsi="Arial"/>
                <w:sz w:val="13"/>
                <w:szCs w:val="13"/>
                <w:color w:val="auto"/>
              </w:rPr>
              <w:t>232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197</w:t>
            </w: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long-term liabilities</w:t>
            </w:r>
          </w:p>
        </w:tc>
        <w:tc>
          <w:tcPr>
            <w:tcW w:w="1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93</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44</w:t>
            </w:r>
          </w:p>
        </w:tc>
      </w:tr>
      <w:tr>
        <w:trPr>
          <w:trHeight w:val="196"/>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liabilities</w:t>
            </w:r>
          </w:p>
        </w:tc>
        <w:tc>
          <w:tcPr>
            <w:tcW w:w="10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4,954</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5,507</w:t>
            </w:r>
          </w:p>
        </w:tc>
      </w:tr>
      <w:tr>
        <w:trPr>
          <w:trHeight w:val="214"/>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Stockholders’ equity:</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174"/>
        </w:trPr>
        <w:tc>
          <w:tcPr>
            <w:tcW w:w="8360" w:type="dxa"/>
            <w:vAlign w:val="bottom"/>
          </w:tcPr>
          <w:p>
            <w:pPr>
              <w:ind w:left="140"/>
              <w:spacing w:after="0"/>
              <w:rPr>
                <w:sz w:val="20"/>
                <w:szCs w:val="20"/>
                <w:color w:val="auto"/>
              </w:rPr>
            </w:pPr>
            <w:r>
              <w:rPr>
                <w:rFonts w:ascii="Arial" w:cs="Arial" w:eastAsia="Arial" w:hAnsi="Arial"/>
                <w:sz w:val="13"/>
                <w:szCs w:val="13"/>
                <w:color w:val="auto"/>
              </w:rPr>
              <w:t>Common stock, $0.001 par value, 150 million shares authorized; outstanding: 63 million shares at June 30, 2019, and 62 million shares at</w:t>
            </w: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63"/>
        </w:trPr>
        <w:tc>
          <w:tcPr>
            <w:tcW w:w="8360" w:type="dxa"/>
            <w:vAlign w:val="bottom"/>
          </w:tcPr>
          <w:p>
            <w:pPr>
              <w:ind w:left="260"/>
              <w:spacing w:after="0"/>
              <w:rPr>
                <w:sz w:val="20"/>
                <w:szCs w:val="20"/>
                <w:color w:val="auto"/>
              </w:rPr>
            </w:pPr>
            <w:r>
              <w:rPr>
                <w:rFonts w:ascii="Arial" w:cs="Arial" w:eastAsia="Arial" w:hAnsi="Arial"/>
                <w:sz w:val="13"/>
                <w:szCs w:val="13"/>
                <w:color w:val="auto"/>
              </w:rPr>
              <w:t>December 31, 2018</w:t>
            </w:r>
          </w:p>
        </w:tc>
        <w:tc>
          <w:tcPr>
            <w:tcW w:w="100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tcPr>
          <w:p>
            <w:pPr>
              <w:spacing w:after="0"/>
              <w:rPr>
                <w:sz w:val="14"/>
                <w:szCs w:val="14"/>
                <w:color w:val="auto"/>
              </w:rPr>
            </w:pP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w:t>
            </w: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Preferred stock, $0.001 par value; 20 million shares authorized, no shares issued and outstanding</w:t>
            </w:r>
          </w:p>
        </w:tc>
        <w:tc>
          <w:tcPr>
            <w:tcW w:w="10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208"/>
        </w:trPr>
        <w:tc>
          <w:tcPr>
            <w:tcW w:w="8360" w:type="dxa"/>
            <w:vAlign w:val="bottom"/>
          </w:tcPr>
          <w:p>
            <w:pPr>
              <w:ind w:left="140"/>
              <w:spacing w:after="0"/>
              <w:rPr>
                <w:sz w:val="20"/>
                <w:szCs w:val="20"/>
                <w:color w:val="auto"/>
              </w:rPr>
            </w:pPr>
            <w:r>
              <w:rPr>
                <w:rFonts w:ascii="Arial" w:cs="Arial" w:eastAsia="Arial" w:hAnsi="Arial"/>
                <w:sz w:val="13"/>
                <w:szCs w:val="13"/>
                <w:color w:val="auto"/>
              </w:rPr>
              <w:t>Additional paid-in capital</w:t>
            </w:r>
          </w:p>
        </w:tc>
        <w:tc>
          <w:tcPr>
            <w:tcW w:w="1000" w:type="dxa"/>
            <w:vAlign w:val="bottom"/>
          </w:tcPr>
          <w:p>
            <w:pPr>
              <w:spacing w:after="0"/>
              <w:rPr>
                <w:sz w:val="18"/>
                <w:szCs w:val="18"/>
                <w:color w:val="auto"/>
              </w:rPr>
            </w:pPr>
          </w:p>
        </w:tc>
        <w:tc>
          <w:tcPr>
            <w:tcW w:w="500" w:type="dxa"/>
            <w:vAlign w:val="bottom"/>
          </w:tcPr>
          <w:p>
            <w:pPr>
              <w:jc w:val="right"/>
              <w:ind w:right="56"/>
              <w:spacing w:after="0"/>
              <w:rPr>
                <w:sz w:val="20"/>
                <w:szCs w:val="20"/>
                <w:color w:val="auto"/>
              </w:rPr>
            </w:pPr>
            <w:r>
              <w:rPr>
                <w:rFonts w:ascii="Arial" w:cs="Arial" w:eastAsia="Arial" w:hAnsi="Arial"/>
                <w:sz w:val="13"/>
                <w:szCs w:val="13"/>
                <w:color w:val="auto"/>
              </w:rPr>
              <w:t>240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643</w:t>
            </w: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 (loss)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208"/>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Retained earnings</w:t>
            </w: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1,491</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1,012</w:t>
            </w:r>
          </w:p>
        </w:tc>
      </w:tr>
      <w:tr>
        <w:trPr>
          <w:trHeight w:val="196"/>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stockholders’ equity</w:t>
            </w:r>
          </w:p>
        </w:tc>
        <w:tc>
          <w:tcPr>
            <w:tcW w:w="10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1,736</w:t>
            </w:r>
          </w:p>
        </w:tc>
        <w:tc>
          <w:tcPr>
            <w:tcW w:w="1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1,647</w:t>
            </w:r>
          </w:p>
        </w:tc>
      </w:tr>
      <w:tr>
        <w:trPr>
          <w:trHeight w:val="185"/>
        </w:trPr>
        <w:tc>
          <w:tcPr>
            <w:tcW w:w="8360" w:type="dxa"/>
            <w:vAlign w:val="bottom"/>
          </w:tcPr>
          <w:p>
            <w:pPr>
              <w:spacing w:after="0"/>
              <w:rPr>
                <w:sz w:val="16"/>
                <w:szCs w:val="16"/>
                <w:color w:val="auto"/>
              </w:rPr>
            </w:pPr>
          </w:p>
        </w:tc>
        <w:tc>
          <w:tcPr>
            <w:tcW w:w="1000" w:type="dxa"/>
            <w:vAlign w:val="bottom"/>
            <w:tcBorders>
              <w:bottom w:val="single" w:sz="8" w:color="auto"/>
            </w:tcBorders>
          </w:tcPr>
          <w:p>
            <w:pPr>
              <w:jc w:val="right"/>
              <w:ind w:right="839"/>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6,690</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798"/>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7,154</w:t>
            </w:r>
          </w:p>
        </w:tc>
      </w:tr>
      <w:tr>
        <w:trPr>
          <w:trHeight w:val="20"/>
        </w:trPr>
        <w:tc>
          <w:tcPr>
            <w:tcW w:w="8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4</w:t>
      </w:r>
    </w:p>
    <w:p>
      <w:pPr>
        <w:sectPr>
          <w:pgSz w:w="11900" w:h="16838" w:orient="portrait"/>
          <w:cols w:equalWidth="0" w:num="1">
            <w:col w:w="11460"/>
          </w:cols>
          <w:pgMar w:left="220" w:top="140" w:right="21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CONSOLIDATED STATEMENTS OF STOCKHOLDERS’ EQUITY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780" w:type="dxa"/>
            <w:vAlign w:val="bottom"/>
          </w:tcPr>
          <w:p>
            <w:pPr>
              <w:spacing w:after="0"/>
              <w:rPr>
                <w:sz w:val="11"/>
                <w:szCs w:val="11"/>
                <w:color w:val="auto"/>
              </w:rPr>
            </w:pPr>
          </w:p>
        </w:tc>
        <w:tc>
          <w:tcPr>
            <w:tcW w:w="162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Common Stock</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left="243"/>
              <w:spacing w:after="0"/>
              <w:rPr>
                <w:sz w:val="20"/>
                <w:szCs w:val="20"/>
                <w:color w:val="auto"/>
              </w:rPr>
            </w:pPr>
            <w:r>
              <w:rPr>
                <w:rFonts w:ascii="Arial" w:cs="Arial" w:eastAsia="Arial" w:hAnsi="Arial"/>
                <w:sz w:val="11"/>
                <w:szCs w:val="11"/>
                <w:b w:val="1"/>
                <w:bCs w:val="1"/>
                <w:color w:val="auto"/>
              </w:rPr>
              <w:t>Accumulated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1"/>
                <w:szCs w:val="11"/>
                <w:color w:val="auto"/>
              </w:rPr>
            </w:pPr>
          </w:p>
        </w:tc>
        <w:tc>
          <w:tcPr>
            <w:tcW w:w="1620" w:type="dxa"/>
            <w:vAlign w:val="bottom"/>
            <w:tcBorders>
              <w:bottom w:val="single" w:sz="8" w:color="auto"/>
            </w:tcBorders>
            <w:gridSpan w:val="3"/>
            <w:vMerge w:val="continue"/>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ind w:right="77"/>
              <w:spacing w:after="0"/>
              <w:rPr>
                <w:sz w:val="20"/>
                <w:szCs w:val="20"/>
                <w:color w:val="auto"/>
              </w:rPr>
            </w:pPr>
            <w:r>
              <w:rPr>
                <w:rFonts w:ascii="Arial" w:cs="Arial" w:eastAsia="Arial" w:hAnsi="Arial"/>
                <w:sz w:val="11"/>
                <w:szCs w:val="11"/>
                <w:b w:val="1"/>
                <w:bCs w:val="1"/>
                <w:color w:val="auto"/>
              </w:rPr>
              <w:t>Additional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left="263"/>
              <w:spacing w:after="0"/>
              <w:rPr>
                <w:sz w:val="20"/>
                <w:szCs w:val="20"/>
                <w:color w:val="auto"/>
              </w:rPr>
            </w:pPr>
            <w:r>
              <w:rPr>
                <w:rFonts w:ascii="Arial" w:cs="Arial" w:eastAsia="Arial" w:hAnsi="Arial"/>
                <w:sz w:val="11"/>
                <w:szCs w:val="11"/>
                <w:b w:val="1"/>
                <w:bCs w:val="1"/>
                <w:color w:val="auto"/>
              </w:rPr>
              <w:t>Other</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7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57"/>
              <w:spacing w:after="0" w:line="110" w:lineRule="exact"/>
              <w:rPr>
                <w:sz w:val="20"/>
                <w:szCs w:val="20"/>
                <w:color w:val="auto"/>
              </w:rPr>
            </w:pPr>
            <w:r>
              <w:rPr>
                <w:rFonts w:ascii="Arial" w:cs="Arial" w:eastAsia="Arial" w:hAnsi="Arial"/>
                <w:sz w:val="11"/>
                <w:szCs w:val="11"/>
                <w:b w:val="1"/>
                <w:bCs w:val="1"/>
                <w:color w:val="auto"/>
              </w:rPr>
              <w:t>Paid-in</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jc w:val="center"/>
              <w:ind w:left="263"/>
              <w:spacing w:after="0" w:line="110" w:lineRule="exact"/>
              <w:rPr>
                <w:sz w:val="20"/>
                <w:szCs w:val="20"/>
                <w:color w:val="auto"/>
              </w:rPr>
            </w:pPr>
            <w:r>
              <w:rPr>
                <w:rFonts w:ascii="Arial" w:cs="Arial" w:eastAsia="Arial" w:hAnsi="Arial"/>
                <w:sz w:val="11"/>
                <w:szCs w:val="11"/>
                <w:b w:val="1"/>
                <w:bCs w:val="1"/>
                <w:color w:val="auto"/>
              </w:rPr>
              <w:t>Comprehensive</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tcPr>
          <w:p>
            <w:pPr>
              <w:ind w:left="120"/>
              <w:spacing w:after="0" w:line="110" w:lineRule="exact"/>
              <w:rPr>
                <w:sz w:val="20"/>
                <w:szCs w:val="20"/>
                <w:color w:val="auto"/>
              </w:rPr>
            </w:pPr>
            <w:r>
              <w:rPr>
                <w:rFonts w:ascii="Arial" w:cs="Arial" w:eastAsia="Arial" w:hAnsi="Arial"/>
                <w:sz w:val="11"/>
                <w:szCs w:val="11"/>
                <w:b w:val="1"/>
                <w:bCs w:val="1"/>
                <w:color w:val="auto"/>
              </w:rPr>
              <w:t>Retained</w:t>
            </w: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3780" w:type="dxa"/>
            <w:vAlign w:val="bottom"/>
          </w:tcPr>
          <w:p>
            <w:pPr>
              <w:spacing w:after="0"/>
              <w:rPr>
                <w:sz w:val="13"/>
                <w:szCs w:val="13"/>
                <w:color w:val="auto"/>
              </w:rPr>
            </w:pPr>
          </w:p>
        </w:tc>
        <w:tc>
          <w:tcPr>
            <w:tcW w:w="1400" w:type="dxa"/>
            <w:vAlign w:val="bottom"/>
            <w:tcBorders>
              <w:bottom w:val="single" w:sz="8" w:color="auto"/>
            </w:tcBorders>
            <w:gridSpan w:val="2"/>
          </w:tcPr>
          <w:p>
            <w:pPr>
              <w:ind w:left="300"/>
              <w:spacing w:after="0"/>
              <w:rPr>
                <w:sz w:val="20"/>
                <w:szCs w:val="20"/>
                <w:color w:val="auto"/>
              </w:rPr>
            </w:pPr>
            <w:r>
              <w:rPr>
                <w:rFonts w:ascii="Arial" w:cs="Arial" w:eastAsia="Arial" w:hAnsi="Arial"/>
                <w:sz w:val="11"/>
                <w:szCs w:val="11"/>
                <w:b w:val="1"/>
                <w:bCs w:val="1"/>
                <w:color w:val="auto"/>
              </w:rPr>
              <w:t>Outstanding</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1"/>
                <w:szCs w:val="11"/>
                <w:b w:val="1"/>
                <w:bCs w:val="1"/>
                <w:color w:val="auto"/>
              </w:rPr>
              <w:t>Capital</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left="243"/>
              <w:spacing w:after="0"/>
              <w:rPr>
                <w:sz w:val="20"/>
                <w:szCs w:val="20"/>
                <w:color w:val="auto"/>
              </w:rPr>
            </w:pPr>
            <w:r>
              <w:rPr>
                <w:rFonts w:ascii="Arial" w:cs="Arial" w:eastAsia="Arial" w:hAnsi="Arial"/>
                <w:sz w:val="11"/>
                <w:szCs w:val="11"/>
                <w:b w:val="1"/>
                <w:bCs w:val="1"/>
                <w:color w:val="auto"/>
              </w:rPr>
              <w:t>Income</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Earnings</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gridSpan w:val="3"/>
          </w:tcPr>
          <w:p>
            <w:pPr>
              <w:jc w:val="right"/>
              <w:ind w:right="663"/>
              <w:spacing w:after="0"/>
              <w:rPr>
                <w:sz w:val="20"/>
                <w:szCs w:val="20"/>
                <w:color w:val="auto"/>
              </w:rPr>
            </w:pPr>
            <w:r>
              <w:rPr>
                <w:rFonts w:ascii="Arial" w:cs="Arial" w:eastAsia="Arial" w:hAnsi="Arial"/>
                <w:sz w:val="11"/>
                <w:szCs w:val="11"/>
                <w:b w:val="1"/>
                <w:bCs w:val="1"/>
                <w:color w:val="auto"/>
              </w:rPr>
              <w:t>(In millions)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60" w:type="dxa"/>
            <w:vAlign w:val="bottom"/>
            <w:gridSpan w:val="3"/>
          </w:tcPr>
          <w:p>
            <w:pPr>
              <w:jc w:val="right"/>
              <w:ind w:right="663"/>
              <w:spacing w:after="0"/>
              <w:rPr>
                <w:sz w:val="20"/>
                <w:szCs w:val="20"/>
                <w:color w:val="auto"/>
              </w:rPr>
            </w:pPr>
            <w:r>
              <w:rPr>
                <w:rFonts w:ascii="Arial" w:cs="Arial" w:eastAsia="Arial" w:hAnsi="Arial"/>
                <w:sz w:val="11"/>
                <w:szCs w:val="11"/>
                <w:b w:val="1"/>
                <w:bCs w:val="1"/>
                <w:color w:val="auto"/>
              </w:rPr>
              <w:t>(Unaudited)</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2018</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w:t>
            </w:r>
          </w:p>
        </w:tc>
        <w:tc>
          <w:tcPr>
            <w:tcW w:w="1360" w:type="dxa"/>
            <w:vAlign w:val="bottom"/>
            <w:gridSpan w:val="3"/>
            <w:shd w:val="clear" w:color="auto" w:fill="CCEEFF"/>
          </w:tcPr>
          <w:p>
            <w:pPr>
              <w:jc w:val="right"/>
              <w:ind w:right="1023"/>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1,647</w:t>
            </w:r>
          </w:p>
        </w:tc>
        <w:tc>
          <w:tcPr>
            <w:tcW w:w="0" w:type="dxa"/>
            <w:vAlign w:val="bottom"/>
          </w:tcPr>
          <w:p>
            <w:pPr>
              <w:spacing w:after="0"/>
              <w:rPr>
                <w:sz w:val="1"/>
                <w:szCs w:val="1"/>
                <w:color w:val="auto"/>
              </w:rPr>
            </w:pPr>
          </w:p>
        </w:tc>
      </w:tr>
      <w:tr>
        <w:trPr>
          <w:trHeight w:val="208"/>
        </w:trPr>
        <w:tc>
          <w:tcPr>
            <w:tcW w:w="37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Adoption of new accounting standard</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208"/>
        </w:trPr>
        <w:tc>
          <w:tcPr>
            <w:tcW w:w="3780" w:type="dxa"/>
            <w:vAlign w:val="bottom"/>
          </w:tcPr>
          <w:p>
            <w:pPr>
              <w:ind w:left="140"/>
              <w:spacing w:after="0"/>
              <w:rPr>
                <w:sz w:val="20"/>
                <w:szCs w:val="20"/>
                <w:color w:val="auto"/>
              </w:rPr>
            </w:pPr>
            <w:r>
              <w:rPr>
                <w:rFonts w:ascii="Arial" w:cs="Arial" w:eastAsia="Arial" w:hAnsi="Arial"/>
                <w:sz w:val="13"/>
                <w:szCs w:val="13"/>
                <w:color w:val="auto"/>
              </w:rPr>
              <w:t>Partial termination of 1.125% Warrants</w:t>
            </w: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 net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8"/>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Share-based compensation</w:t>
            </w:r>
          </w:p>
        </w:tc>
        <w:tc>
          <w:tcPr>
            <w:tcW w:w="12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March 31, 2019</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1,295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1,835</w:t>
            </w:r>
          </w:p>
        </w:tc>
        <w:tc>
          <w:tcPr>
            <w:tcW w:w="0" w:type="dxa"/>
            <w:vAlign w:val="bottom"/>
          </w:tcPr>
          <w:p>
            <w:pPr>
              <w:spacing w:after="0"/>
              <w:rPr>
                <w:sz w:val="1"/>
                <w:szCs w:val="1"/>
                <w:color w:val="auto"/>
              </w:rPr>
            </w:pPr>
          </w:p>
        </w:tc>
      </w:tr>
      <w:tr>
        <w:trPr>
          <w:trHeight w:val="208"/>
        </w:trPr>
        <w:tc>
          <w:tcPr>
            <w:tcW w:w="37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Partial termination of 1.125% Warrants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0" w:type="dxa"/>
            <w:vAlign w:val="bottom"/>
          </w:tcPr>
          <w:p>
            <w:pPr>
              <w:spacing w:after="0"/>
              <w:rPr>
                <w:sz w:val="1"/>
                <w:szCs w:val="1"/>
                <w:color w:val="auto"/>
              </w:rPr>
            </w:pPr>
          </w:p>
        </w:tc>
      </w:tr>
      <w:tr>
        <w:trPr>
          <w:trHeight w:val="208"/>
        </w:trPr>
        <w:tc>
          <w:tcPr>
            <w:tcW w:w="3780" w:type="dxa"/>
            <w:vAlign w:val="bottom"/>
          </w:tcPr>
          <w:p>
            <w:pPr>
              <w:ind w:left="140"/>
              <w:spacing w:after="0"/>
              <w:rPr>
                <w:sz w:val="20"/>
                <w:szCs w:val="20"/>
                <w:color w:val="auto"/>
              </w:rPr>
            </w:pPr>
            <w:r>
              <w:rPr>
                <w:rFonts w:ascii="Arial" w:cs="Arial" w:eastAsia="Arial" w:hAnsi="Arial"/>
                <w:sz w:val="13"/>
                <w:szCs w:val="13"/>
                <w:color w:val="auto"/>
              </w:rPr>
              <w:t>Other comprehensive income, net</w:t>
            </w: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jc w:val="right"/>
              <w:ind w:right="35"/>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compensation</w:t>
            </w:r>
          </w:p>
        </w:tc>
        <w:tc>
          <w:tcPr>
            <w:tcW w:w="1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90"/>
        </w:trPr>
        <w:tc>
          <w:tcPr>
            <w:tcW w:w="3780" w:type="dxa"/>
            <w:vAlign w:val="bottom"/>
          </w:tcPr>
          <w:p>
            <w:pPr>
              <w:ind w:left="20"/>
              <w:spacing w:after="0"/>
              <w:rPr>
                <w:sz w:val="20"/>
                <w:szCs w:val="20"/>
                <w:color w:val="auto"/>
              </w:rPr>
            </w:pPr>
            <w:r>
              <w:rPr>
                <w:rFonts w:ascii="Arial" w:cs="Arial" w:eastAsia="Arial" w:hAnsi="Arial"/>
                <w:sz w:val="13"/>
                <w:szCs w:val="13"/>
                <w:color w:val="auto"/>
              </w:rPr>
              <w:t>Balance at June 30, 2019</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6"/>
                <w:szCs w:val="16"/>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240</w:t>
            </w:r>
          </w:p>
        </w:tc>
        <w:tc>
          <w:tcPr>
            <w:tcW w:w="1360" w:type="dxa"/>
            <w:vAlign w:val="bottom"/>
            <w:gridSpan w:val="3"/>
          </w:tcPr>
          <w:p>
            <w:pPr>
              <w:jc w:val="right"/>
              <w:ind w:right="1023"/>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35"/>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6"/>
                <w:szCs w:val="16"/>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1,491</w:t>
            </w:r>
          </w:p>
        </w:tc>
        <w:tc>
          <w:tcPr>
            <w:tcW w:w="120" w:type="dxa"/>
            <w:vAlign w:val="bottom"/>
          </w:tcPr>
          <w:p>
            <w:pPr>
              <w:spacing w:after="0"/>
              <w:rPr>
                <w:sz w:val="16"/>
                <w:szCs w:val="16"/>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1,736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3780" w:type="dxa"/>
            <w:vAlign w:val="bottom"/>
          </w:tcPr>
          <w:p>
            <w:pPr>
              <w:spacing w:after="0"/>
              <w:rPr>
                <w:sz w:val="24"/>
                <w:szCs w:val="24"/>
                <w:color w:val="auto"/>
              </w:rPr>
            </w:pPr>
          </w:p>
        </w:tc>
        <w:tc>
          <w:tcPr>
            <w:tcW w:w="162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Common Stock</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center"/>
              <w:ind w:left="243"/>
              <w:spacing w:after="0"/>
              <w:rPr>
                <w:sz w:val="20"/>
                <w:szCs w:val="20"/>
                <w:color w:val="auto"/>
              </w:rPr>
            </w:pPr>
            <w:r>
              <w:rPr>
                <w:rFonts w:ascii="Arial" w:cs="Arial" w:eastAsia="Arial" w:hAnsi="Arial"/>
                <w:sz w:val="11"/>
                <w:szCs w:val="11"/>
                <w:b w:val="1"/>
                <w:bCs w:val="1"/>
                <w:color w:val="auto"/>
              </w:rPr>
              <w:t>Accumulated</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1"/>
                <w:szCs w:val="11"/>
                <w:color w:val="auto"/>
              </w:rPr>
            </w:pPr>
          </w:p>
        </w:tc>
        <w:tc>
          <w:tcPr>
            <w:tcW w:w="1620" w:type="dxa"/>
            <w:vAlign w:val="bottom"/>
            <w:tcBorders>
              <w:bottom w:val="single" w:sz="8" w:color="auto"/>
            </w:tcBorders>
            <w:gridSpan w:val="3"/>
            <w:vMerge w:val="continue"/>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ind w:right="77"/>
              <w:spacing w:after="0"/>
              <w:rPr>
                <w:sz w:val="20"/>
                <w:szCs w:val="20"/>
                <w:color w:val="auto"/>
              </w:rPr>
            </w:pPr>
            <w:r>
              <w:rPr>
                <w:rFonts w:ascii="Arial" w:cs="Arial" w:eastAsia="Arial" w:hAnsi="Arial"/>
                <w:sz w:val="11"/>
                <w:szCs w:val="11"/>
                <w:b w:val="1"/>
                <w:bCs w:val="1"/>
                <w:color w:val="auto"/>
              </w:rPr>
              <w:t>Additional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left="263"/>
              <w:spacing w:after="0"/>
              <w:rPr>
                <w:sz w:val="20"/>
                <w:szCs w:val="20"/>
                <w:color w:val="auto"/>
              </w:rPr>
            </w:pPr>
            <w:r>
              <w:rPr>
                <w:rFonts w:ascii="Arial" w:cs="Arial" w:eastAsia="Arial" w:hAnsi="Arial"/>
                <w:sz w:val="11"/>
                <w:szCs w:val="11"/>
                <w:b w:val="1"/>
                <w:bCs w:val="1"/>
                <w:color w:val="auto"/>
              </w:rPr>
              <w:t>Other</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7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57"/>
              <w:spacing w:after="0" w:line="110" w:lineRule="exact"/>
              <w:rPr>
                <w:sz w:val="20"/>
                <w:szCs w:val="20"/>
                <w:color w:val="auto"/>
              </w:rPr>
            </w:pPr>
            <w:r>
              <w:rPr>
                <w:rFonts w:ascii="Arial" w:cs="Arial" w:eastAsia="Arial" w:hAnsi="Arial"/>
                <w:sz w:val="11"/>
                <w:szCs w:val="11"/>
                <w:b w:val="1"/>
                <w:bCs w:val="1"/>
                <w:color w:val="auto"/>
              </w:rPr>
              <w:t>Paid-in</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jc w:val="center"/>
              <w:ind w:left="263"/>
              <w:spacing w:after="0" w:line="110" w:lineRule="exact"/>
              <w:rPr>
                <w:sz w:val="20"/>
                <w:szCs w:val="20"/>
                <w:color w:val="auto"/>
              </w:rPr>
            </w:pPr>
            <w:r>
              <w:rPr>
                <w:rFonts w:ascii="Arial" w:cs="Arial" w:eastAsia="Arial" w:hAnsi="Arial"/>
                <w:sz w:val="11"/>
                <w:szCs w:val="11"/>
                <w:b w:val="1"/>
                <w:bCs w:val="1"/>
                <w:color w:val="auto"/>
              </w:rPr>
              <w:t>Comprehensive</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tcPr>
          <w:p>
            <w:pPr>
              <w:ind w:left="120"/>
              <w:spacing w:after="0" w:line="110" w:lineRule="exact"/>
              <w:rPr>
                <w:sz w:val="20"/>
                <w:szCs w:val="20"/>
                <w:color w:val="auto"/>
              </w:rPr>
            </w:pPr>
            <w:r>
              <w:rPr>
                <w:rFonts w:ascii="Arial" w:cs="Arial" w:eastAsia="Arial" w:hAnsi="Arial"/>
                <w:sz w:val="11"/>
                <w:szCs w:val="11"/>
                <w:b w:val="1"/>
                <w:bCs w:val="1"/>
                <w:color w:val="auto"/>
              </w:rPr>
              <w:t>Retained</w:t>
            </w: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3780" w:type="dxa"/>
            <w:vAlign w:val="bottom"/>
          </w:tcPr>
          <w:p>
            <w:pPr>
              <w:spacing w:after="0"/>
              <w:rPr>
                <w:sz w:val="13"/>
                <w:szCs w:val="13"/>
                <w:color w:val="auto"/>
              </w:rPr>
            </w:pPr>
          </w:p>
        </w:tc>
        <w:tc>
          <w:tcPr>
            <w:tcW w:w="1400" w:type="dxa"/>
            <w:vAlign w:val="bottom"/>
            <w:tcBorders>
              <w:bottom w:val="single" w:sz="8" w:color="auto"/>
            </w:tcBorders>
            <w:gridSpan w:val="2"/>
          </w:tcPr>
          <w:p>
            <w:pPr>
              <w:ind w:left="300"/>
              <w:spacing w:after="0"/>
              <w:rPr>
                <w:sz w:val="20"/>
                <w:szCs w:val="20"/>
                <w:color w:val="auto"/>
              </w:rPr>
            </w:pPr>
            <w:r>
              <w:rPr>
                <w:rFonts w:ascii="Arial" w:cs="Arial" w:eastAsia="Arial" w:hAnsi="Arial"/>
                <w:sz w:val="11"/>
                <w:szCs w:val="11"/>
                <w:b w:val="1"/>
                <w:bCs w:val="1"/>
                <w:color w:val="auto"/>
              </w:rPr>
              <w:t>Outstanding</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1"/>
                <w:szCs w:val="11"/>
                <w:b w:val="1"/>
                <w:bCs w:val="1"/>
                <w:color w:val="auto"/>
              </w:rPr>
              <w:t>Capital</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left="263"/>
              <w:spacing w:after="0"/>
              <w:rPr>
                <w:sz w:val="20"/>
                <w:szCs w:val="20"/>
                <w:color w:val="auto"/>
              </w:rPr>
            </w:pPr>
            <w:r>
              <w:rPr>
                <w:rFonts w:ascii="Arial" w:cs="Arial" w:eastAsia="Arial" w:hAnsi="Arial"/>
                <w:sz w:val="11"/>
                <w:szCs w:val="11"/>
                <w:b w:val="1"/>
                <w:bCs w:val="1"/>
                <w:color w:val="auto"/>
              </w:rPr>
              <w:t>Loss</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Earnings</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gridSpan w:val="3"/>
          </w:tcPr>
          <w:p>
            <w:pPr>
              <w:jc w:val="right"/>
              <w:ind w:right="663"/>
              <w:spacing w:after="0"/>
              <w:rPr>
                <w:sz w:val="20"/>
                <w:szCs w:val="20"/>
                <w:color w:val="auto"/>
              </w:rPr>
            </w:pPr>
            <w:r>
              <w:rPr>
                <w:rFonts w:ascii="Arial" w:cs="Arial" w:eastAsia="Arial" w:hAnsi="Arial"/>
                <w:sz w:val="11"/>
                <w:szCs w:val="11"/>
                <w:b w:val="1"/>
                <w:bCs w:val="1"/>
                <w:color w:val="auto"/>
              </w:rPr>
              <w:t>(In millions)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60" w:type="dxa"/>
            <w:vAlign w:val="bottom"/>
            <w:gridSpan w:val="3"/>
          </w:tcPr>
          <w:p>
            <w:pPr>
              <w:jc w:val="right"/>
              <w:ind w:right="663"/>
              <w:spacing w:after="0"/>
              <w:rPr>
                <w:sz w:val="20"/>
                <w:szCs w:val="20"/>
                <w:color w:val="auto"/>
              </w:rPr>
            </w:pPr>
            <w:r>
              <w:rPr>
                <w:rFonts w:ascii="Arial" w:cs="Arial" w:eastAsia="Arial" w:hAnsi="Arial"/>
                <w:sz w:val="11"/>
                <w:szCs w:val="11"/>
                <w:b w:val="1"/>
                <w:bCs w:val="1"/>
                <w:color w:val="auto"/>
              </w:rPr>
              <w:t>(Unaudited)</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2017</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1,044</w:t>
            </w:r>
          </w:p>
        </w:tc>
        <w:tc>
          <w:tcPr>
            <w:tcW w:w="1360" w:type="dxa"/>
            <w:vAlign w:val="bottom"/>
            <w:gridSpan w:val="3"/>
            <w:shd w:val="clear" w:color="auto" w:fill="CCEEFF"/>
          </w:tcPr>
          <w:p>
            <w:pPr>
              <w:jc w:val="right"/>
              <w:ind w:right="1023"/>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1,337</w:t>
            </w:r>
          </w:p>
        </w:tc>
        <w:tc>
          <w:tcPr>
            <w:tcW w:w="0" w:type="dxa"/>
            <w:vAlign w:val="bottom"/>
          </w:tcPr>
          <w:p>
            <w:pPr>
              <w:spacing w:after="0"/>
              <w:rPr>
                <w:sz w:val="1"/>
                <w:szCs w:val="1"/>
                <w:color w:val="auto"/>
              </w:rPr>
            </w:pPr>
          </w:p>
        </w:tc>
      </w:tr>
      <w:tr>
        <w:trPr>
          <w:trHeight w:val="208"/>
        </w:trPr>
        <w:tc>
          <w:tcPr>
            <w:tcW w:w="37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Adoption of new accounting standards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08"/>
        </w:trPr>
        <w:tc>
          <w:tcPr>
            <w:tcW w:w="3780" w:type="dxa"/>
            <w:vAlign w:val="bottom"/>
          </w:tcPr>
          <w:p>
            <w:pPr>
              <w:ind w:left="140"/>
              <w:spacing w:after="0"/>
              <w:rPr>
                <w:sz w:val="20"/>
                <w:szCs w:val="20"/>
                <w:color w:val="auto"/>
              </w:rPr>
            </w:pPr>
            <w:r>
              <w:rPr>
                <w:rFonts w:ascii="Arial" w:cs="Arial" w:eastAsia="Arial" w:hAnsi="Arial"/>
                <w:sz w:val="13"/>
                <w:szCs w:val="13"/>
                <w:color w:val="auto"/>
              </w:rPr>
              <w:t>Exchange of 1.625% Convertible Notes</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 net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08"/>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Share-based compensation</w:t>
            </w:r>
          </w:p>
        </w:tc>
        <w:tc>
          <w:tcPr>
            <w:tcW w:w="12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March 31, 2018</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412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1,553</w:t>
            </w:r>
          </w:p>
        </w:tc>
        <w:tc>
          <w:tcPr>
            <w:tcW w:w="0" w:type="dxa"/>
            <w:vAlign w:val="bottom"/>
          </w:tcPr>
          <w:p>
            <w:pPr>
              <w:spacing w:after="0"/>
              <w:rPr>
                <w:sz w:val="1"/>
                <w:szCs w:val="1"/>
                <w:color w:val="auto"/>
              </w:rPr>
            </w:pPr>
          </w:p>
        </w:tc>
      </w:tr>
      <w:tr>
        <w:trPr>
          <w:trHeight w:val="208"/>
        </w:trPr>
        <w:tc>
          <w:tcPr>
            <w:tcW w:w="37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202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Partial termination of 1.125% Warrants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208"/>
        </w:trPr>
        <w:tc>
          <w:tcPr>
            <w:tcW w:w="3780" w:type="dxa"/>
            <w:vAlign w:val="bottom"/>
          </w:tcPr>
          <w:p>
            <w:pPr>
              <w:ind w:left="140"/>
              <w:spacing w:after="0"/>
              <w:rPr>
                <w:sz w:val="20"/>
                <w:szCs w:val="20"/>
                <w:color w:val="auto"/>
              </w:rPr>
            </w:pPr>
            <w:r>
              <w:rPr>
                <w:rFonts w:ascii="Arial" w:cs="Arial" w:eastAsia="Arial" w:hAnsi="Arial"/>
                <w:sz w:val="13"/>
                <w:szCs w:val="13"/>
                <w:color w:val="auto"/>
              </w:rPr>
              <w:t>Other comprehensive income, net</w:t>
            </w: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jc w:val="right"/>
              <w:ind w:right="35"/>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compensation</w:t>
            </w:r>
          </w:p>
        </w:tc>
        <w:tc>
          <w:tcPr>
            <w:tcW w:w="1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90"/>
        </w:trPr>
        <w:tc>
          <w:tcPr>
            <w:tcW w:w="3780" w:type="dxa"/>
            <w:vAlign w:val="bottom"/>
          </w:tcPr>
          <w:p>
            <w:pPr>
              <w:ind w:left="20"/>
              <w:spacing w:after="0"/>
              <w:rPr>
                <w:sz w:val="20"/>
                <w:szCs w:val="20"/>
                <w:color w:val="auto"/>
              </w:rPr>
            </w:pPr>
            <w:r>
              <w:rPr>
                <w:rFonts w:ascii="Arial" w:cs="Arial" w:eastAsia="Arial" w:hAnsi="Arial"/>
                <w:sz w:val="13"/>
                <w:szCs w:val="13"/>
                <w:color w:val="auto"/>
              </w:rPr>
              <w:t>Balance at June 30, 2018</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6"/>
                <w:szCs w:val="16"/>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1,055</w:t>
            </w:r>
          </w:p>
        </w:tc>
        <w:tc>
          <w:tcPr>
            <w:tcW w:w="1360" w:type="dxa"/>
            <w:vAlign w:val="bottom"/>
            <w:gridSpan w:val="3"/>
          </w:tcPr>
          <w:p>
            <w:pPr>
              <w:jc w:val="right"/>
              <w:ind w:right="1023"/>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94"/>
              </w:rPr>
              <w:t>(11)</w:t>
            </w:r>
          </w:p>
        </w:tc>
        <w:tc>
          <w:tcPr>
            <w:tcW w:w="120" w:type="dxa"/>
            <w:vAlign w:val="bottom"/>
          </w:tcPr>
          <w:p>
            <w:pPr>
              <w:spacing w:after="0"/>
              <w:rPr>
                <w:sz w:val="16"/>
                <w:szCs w:val="16"/>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614</w:t>
            </w:r>
          </w:p>
        </w:tc>
        <w:tc>
          <w:tcPr>
            <w:tcW w:w="120" w:type="dxa"/>
            <w:vAlign w:val="bottom"/>
          </w:tcPr>
          <w:p>
            <w:pPr>
              <w:spacing w:after="0"/>
              <w:rPr>
                <w:sz w:val="16"/>
                <w:szCs w:val="16"/>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1,658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See accompanying notes.</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5</w:t>
      </w:r>
    </w:p>
    <w:p>
      <w:pPr>
        <w:sectPr>
          <w:pgSz w:w="11900" w:h="16838" w:orient="portrait"/>
          <w:cols w:equalWidth="0" w:num="1">
            <w:col w:w="11460"/>
          </w:cols>
          <w:pgMar w:left="220" w:top="140" w:right="21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CONSOLIDATED STATEMENTS OF CASH FLOWS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360" w:type="dxa"/>
            <w:vAlign w:val="bottom"/>
          </w:tcPr>
          <w:p>
            <w:pPr>
              <w:spacing w:after="0"/>
              <w:rPr>
                <w:sz w:val="13"/>
                <w:szCs w:val="13"/>
                <w:color w:val="auto"/>
              </w:rPr>
            </w:pPr>
          </w:p>
        </w:tc>
        <w:tc>
          <w:tcPr>
            <w:tcW w:w="2580" w:type="dxa"/>
            <w:vAlign w:val="bottom"/>
            <w:tcBorders>
              <w:bottom w:val="single" w:sz="8" w:color="auto"/>
            </w:tcBorders>
            <w:gridSpan w:val="4"/>
          </w:tcPr>
          <w:p>
            <w:pPr>
              <w:jc w:val="center"/>
              <w:ind w:left="479"/>
              <w:spacing w:after="0"/>
              <w:rPr>
                <w:sz w:val="20"/>
                <w:szCs w:val="20"/>
                <w:color w:val="auto"/>
              </w:rPr>
            </w:pPr>
            <w:r>
              <w:rPr>
                <w:rFonts w:ascii="Arial" w:cs="Arial" w:eastAsia="Arial" w:hAnsi="Arial"/>
                <w:sz w:val="11"/>
                <w:szCs w:val="11"/>
                <w:b w:val="1"/>
                <w:bCs w:val="1"/>
                <w:color w:val="auto"/>
              </w:rPr>
              <w:t>Six Months Ended June 30,</w:t>
            </w:r>
          </w:p>
        </w:tc>
        <w:tc>
          <w:tcPr>
            <w:tcW w:w="520" w:type="dxa"/>
            <w:vAlign w:val="bottom"/>
            <w:tcBorders>
              <w:bottom w:val="single" w:sz="8" w:color="auto"/>
            </w:tcBorders>
          </w:tcPr>
          <w:p>
            <w:pPr>
              <w:spacing w:after="0"/>
              <w:rPr>
                <w:sz w:val="13"/>
                <w:szCs w:val="13"/>
                <w:color w:val="auto"/>
              </w:rPr>
            </w:pPr>
          </w:p>
        </w:tc>
      </w:tr>
      <w:tr>
        <w:trPr>
          <w:trHeight w:val="206"/>
        </w:trPr>
        <w:tc>
          <w:tcPr>
            <w:tcW w:w="8360" w:type="dxa"/>
            <w:vAlign w:val="bottom"/>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2019</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1"/>
                <w:szCs w:val="11"/>
                <w:b w:val="1"/>
                <w:bCs w:val="1"/>
                <w:color w:val="auto"/>
              </w:rPr>
              <w:t>2018</w:t>
            </w:r>
          </w:p>
        </w:tc>
        <w:tc>
          <w:tcPr>
            <w:tcW w:w="520" w:type="dxa"/>
            <w:vAlign w:val="bottom"/>
            <w:tcBorders>
              <w:bottom w:val="single" w:sz="8" w:color="auto"/>
            </w:tcBorders>
          </w:tcPr>
          <w:p>
            <w:pPr>
              <w:spacing w:after="0"/>
              <w:rPr>
                <w:sz w:val="17"/>
                <w:szCs w:val="17"/>
                <w:color w:val="auto"/>
              </w:rPr>
            </w:pPr>
          </w:p>
        </w:tc>
      </w:tr>
      <w:tr>
        <w:trPr>
          <w:trHeight w:val="136"/>
        </w:trPr>
        <w:tc>
          <w:tcPr>
            <w:tcW w:w="8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20" w:type="dxa"/>
            <w:vAlign w:val="bottom"/>
            <w:gridSpan w:val="3"/>
          </w:tcPr>
          <w:p>
            <w:pPr>
              <w:jc w:val="center"/>
              <w:ind w:right="358"/>
              <w:spacing w:after="0"/>
              <w:rPr>
                <w:sz w:val="20"/>
                <w:szCs w:val="20"/>
                <w:color w:val="auto"/>
              </w:rPr>
            </w:pPr>
            <w:r>
              <w:rPr>
                <w:rFonts w:ascii="Arial" w:cs="Arial" w:eastAsia="Arial" w:hAnsi="Arial"/>
                <w:sz w:val="11"/>
                <w:szCs w:val="11"/>
                <w:b w:val="1"/>
                <w:bCs w:val="1"/>
                <w:color w:val="auto"/>
              </w:rPr>
              <w:t>(In millions)</w:t>
            </w:r>
          </w:p>
        </w:tc>
        <w:tc>
          <w:tcPr>
            <w:tcW w:w="520" w:type="dxa"/>
            <w:vAlign w:val="bottom"/>
          </w:tcPr>
          <w:p>
            <w:pPr>
              <w:spacing w:after="0"/>
              <w:rPr>
                <w:sz w:val="11"/>
                <w:szCs w:val="11"/>
                <w:color w:val="auto"/>
              </w:rPr>
            </w:pPr>
          </w:p>
        </w:tc>
      </w:tr>
      <w:tr>
        <w:trPr>
          <w:trHeight w:val="157"/>
        </w:trPr>
        <w:tc>
          <w:tcPr>
            <w:tcW w:w="8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20" w:type="dxa"/>
            <w:vAlign w:val="bottom"/>
            <w:gridSpan w:val="3"/>
          </w:tcPr>
          <w:p>
            <w:pPr>
              <w:jc w:val="center"/>
              <w:ind w:right="358"/>
              <w:spacing w:after="0"/>
              <w:rPr>
                <w:sz w:val="20"/>
                <w:szCs w:val="20"/>
                <w:color w:val="auto"/>
              </w:rPr>
            </w:pPr>
            <w:r>
              <w:rPr>
                <w:rFonts w:ascii="Arial" w:cs="Arial" w:eastAsia="Arial" w:hAnsi="Arial"/>
                <w:sz w:val="11"/>
                <w:szCs w:val="11"/>
                <w:b w:val="1"/>
                <w:bCs w:val="1"/>
                <w:color w:val="auto"/>
              </w:rPr>
              <w:t>(Unaudited)</w:t>
            </w:r>
          </w:p>
        </w:tc>
        <w:tc>
          <w:tcPr>
            <w:tcW w:w="520" w:type="dxa"/>
            <w:vAlign w:val="bottom"/>
          </w:tcPr>
          <w:p>
            <w:pPr>
              <w:spacing w:after="0"/>
              <w:rPr>
                <w:sz w:val="13"/>
                <w:szCs w:val="13"/>
                <w:color w:val="auto"/>
              </w:rPr>
            </w:pPr>
          </w:p>
        </w:tc>
      </w:tr>
      <w:tr>
        <w:trPr>
          <w:trHeight w:val="220"/>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activities: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08"/>
        </w:trPr>
        <w:tc>
          <w:tcPr>
            <w:tcW w:w="83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60" w:type="dxa"/>
            <w:vAlign w:val="bottom"/>
          </w:tcPr>
          <w:p>
            <w:pPr>
              <w:jc w:val="right"/>
              <w:ind w:right="799"/>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6"/>
              <w:spacing w:after="0"/>
              <w:rPr>
                <w:sz w:val="20"/>
                <w:szCs w:val="20"/>
                <w:color w:val="auto"/>
              </w:rPr>
            </w:pPr>
            <w:r>
              <w:rPr>
                <w:rFonts w:ascii="Arial" w:cs="Arial" w:eastAsia="Arial" w:hAnsi="Arial"/>
                <w:sz w:val="13"/>
                <w:szCs w:val="13"/>
                <w:color w:val="auto"/>
              </w:rPr>
              <w:t>394</w:t>
            </w:r>
          </w:p>
        </w:tc>
        <w:tc>
          <w:tcPr>
            <w:tcW w:w="120" w:type="dxa"/>
            <w:vAlign w:val="bottom"/>
          </w:tcPr>
          <w:p>
            <w:pPr>
              <w:spacing w:after="0"/>
              <w:rPr>
                <w:sz w:val="18"/>
                <w:szCs w:val="18"/>
                <w:color w:val="auto"/>
              </w:rPr>
            </w:pPr>
          </w:p>
        </w:tc>
        <w:tc>
          <w:tcPr>
            <w:tcW w:w="960" w:type="dxa"/>
            <w:vAlign w:val="bottom"/>
          </w:tcPr>
          <w:p>
            <w:pPr>
              <w:jc w:val="right"/>
              <w:ind w:right="798"/>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309</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08"/>
        </w:trPr>
        <w:tc>
          <w:tcPr>
            <w:tcW w:w="836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960" w:type="dxa"/>
            <w:vAlign w:val="bottom"/>
          </w:tcPr>
          <w:p>
            <w:pPr>
              <w:spacing w:after="0"/>
              <w:rPr>
                <w:sz w:val="18"/>
                <w:szCs w:val="18"/>
                <w:color w:val="auto"/>
              </w:rPr>
            </w:pPr>
          </w:p>
        </w:tc>
        <w:tc>
          <w:tcPr>
            <w:tcW w:w="540" w:type="dxa"/>
            <w:vAlign w:val="bottom"/>
          </w:tcPr>
          <w:p>
            <w:pPr>
              <w:jc w:val="right"/>
              <w:ind w:right="56"/>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73</w:t>
            </w: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income taxes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208"/>
        </w:trPr>
        <w:tc>
          <w:tcPr>
            <w:tcW w:w="8360" w:type="dxa"/>
            <w:vAlign w:val="bottom"/>
          </w:tcPr>
          <w:p>
            <w:pPr>
              <w:ind w:left="140"/>
              <w:spacing w:after="0"/>
              <w:rPr>
                <w:sz w:val="20"/>
                <w:szCs w:val="20"/>
                <w:color w:val="auto"/>
              </w:rPr>
            </w:pPr>
            <w:r>
              <w:rPr>
                <w:rFonts w:ascii="Arial" w:cs="Arial" w:eastAsia="Arial" w:hAnsi="Arial"/>
                <w:sz w:val="13"/>
                <w:szCs w:val="13"/>
                <w:color w:val="auto"/>
              </w:rPr>
              <w:t>Share-based compensation</w:t>
            </w:r>
          </w:p>
        </w:tc>
        <w:tc>
          <w:tcPr>
            <w:tcW w:w="960" w:type="dxa"/>
            <w:vAlign w:val="bottom"/>
          </w:tcPr>
          <w:p>
            <w:pPr>
              <w:spacing w:after="0"/>
              <w:rPr>
                <w:sz w:val="18"/>
                <w:szCs w:val="18"/>
                <w:color w:val="auto"/>
              </w:rPr>
            </w:pPr>
          </w:p>
        </w:tc>
        <w:tc>
          <w:tcPr>
            <w:tcW w:w="540" w:type="dxa"/>
            <w:vAlign w:val="bottom"/>
          </w:tcPr>
          <w:p>
            <w:pPr>
              <w:jc w:val="right"/>
              <w:ind w:right="56"/>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13</w:t>
            </w: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convertible senior notes and finance lease liabilities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13</w:t>
            </w:r>
          </w:p>
        </w:tc>
      </w:tr>
      <w:tr>
        <w:trPr>
          <w:trHeight w:val="208"/>
        </w:trPr>
        <w:tc>
          <w:tcPr>
            <w:tcW w:w="8360" w:type="dxa"/>
            <w:vAlign w:val="bottom"/>
          </w:tcPr>
          <w:p>
            <w:pPr>
              <w:ind w:left="140"/>
              <w:spacing w:after="0"/>
              <w:rPr>
                <w:sz w:val="20"/>
                <w:szCs w:val="20"/>
                <w:color w:val="auto"/>
              </w:rPr>
            </w:pPr>
            <w:r>
              <w:rPr>
                <w:rFonts w:ascii="Arial" w:cs="Arial" w:eastAsia="Arial" w:hAnsi="Arial"/>
                <w:sz w:val="13"/>
                <w:szCs w:val="13"/>
                <w:color w:val="auto"/>
              </w:rPr>
              <w:t>(Gain) loss on debt extinguishment</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15</w:t>
            </w: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Non-cash restructuring costs</w:t>
            </w:r>
          </w:p>
        </w:tc>
        <w:tc>
          <w:tcPr>
            <w:tcW w:w="9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17</w:t>
            </w:r>
          </w:p>
        </w:tc>
      </w:tr>
      <w:tr>
        <w:trPr>
          <w:trHeight w:val="208"/>
        </w:trPr>
        <w:tc>
          <w:tcPr>
            <w:tcW w:w="8360" w:type="dxa"/>
            <w:vAlign w:val="bottom"/>
          </w:tcPr>
          <w:p>
            <w:pPr>
              <w:ind w:left="140"/>
              <w:spacing w:after="0"/>
              <w:rPr>
                <w:sz w:val="20"/>
                <w:szCs w:val="20"/>
                <w:color w:val="auto"/>
              </w:rPr>
            </w:pPr>
            <w:r>
              <w:rPr>
                <w:rFonts w:ascii="Arial" w:cs="Arial" w:eastAsia="Arial" w:hAnsi="Arial"/>
                <w:sz w:val="13"/>
                <w:szCs w:val="13"/>
                <w:color w:val="auto"/>
              </w:rPr>
              <w:t>Other, net</w:t>
            </w:r>
          </w:p>
        </w:tc>
        <w:tc>
          <w:tcPr>
            <w:tcW w:w="960" w:type="dxa"/>
            <w:vAlign w:val="bottom"/>
          </w:tcPr>
          <w:p>
            <w:pPr>
              <w:spacing w:after="0"/>
              <w:rPr>
                <w:sz w:val="18"/>
                <w:szCs w:val="18"/>
                <w:color w:val="auto"/>
              </w:rPr>
            </w:pPr>
          </w:p>
        </w:tc>
        <w:tc>
          <w:tcPr>
            <w:tcW w:w="540" w:type="dxa"/>
            <w:vAlign w:val="bottom"/>
          </w:tcPr>
          <w:p>
            <w:pPr>
              <w:jc w:val="right"/>
              <w:ind w:right="56"/>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4</w:t>
            </w: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Changes in operating assets and liabilities: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08"/>
        </w:trPr>
        <w:tc>
          <w:tcPr>
            <w:tcW w:w="8360" w:type="dxa"/>
            <w:vAlign w:val="bottom"/>
          </w:tcPr>
          <w:p>
            <w:pPr>
              <w:ind w:left="220"/>
              <w:spacing w:after="0"/>
              <w:rPr>
                <w:sz w:val="20"/>
                <w:szCs w:val="20"/>
                <w:color w:val="auto"/>
              </w:rPr>
            </w:pPr>
            <w:r>
              <w:rPr>
                <w:rFonts w:ascii="Arial" w:cs="Arial" w:eastAsia="Arial" w:hAnsi="Arial"/>
                <w:sz w:val="13"/>
                <w:szCs w:val="13"/>
                <w:color w:val="auto"/>
              </w:rPr>
              <w:t>Receivables</w:t>
            </w:r>
          </w:p>
        </w:tc>
        <w:tc>
          <w:tcPr>
            <w:tcW w:w="960" w:type="dxa"/>
            <w:vAlign w:val="bottom"/>
          </w:tcPr>
          <w:p>
            <w:pPr>
              <w:spacing w:after="0"/>
              <w:rPr>
                <w:sz w:val="18"/>
                <w:szCs w:val="18"/>
                <w:color w:val="auto"/>
              </w:rPr>
            </w:pPr>
          </w:p>
        </w:tc>
        <w:tc>
          <w:tcPr>
            <w:tcW w:w="540" w:type="dxa"/>
            <w:vAlign w:val="bottom"/>
          </w:tcPr>
          <w:p>
            <w:pPr>
              <w:jc w:val="right"/>
              <w:ind w:right="56"/>
              <w:spacing w:after="0"/>
              <w:rPr>
                <w:sz w:val="20"/>
                <w:szCs w:val="20"/>
                <w:color w:val="auto"/>
              </w:rPr>
            </w:pPr>
            <w:r>
              <w:rPr>
                <w:rFonts w:ascii="Arial" w:cs="Arial" w:eastAsia="Arial" w:hAnsi="Arial"/>
                <w:sz w:val="13"/>
                <w:szCs w:val="13"/>
                <w:color w:val="auto"/>
              </w:rPr>
              <w:t>91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(315)</w:t>
            </w:r>
          </w:p>
        </w:tc>
      </w:tr>
      <w:tr>
        <w:trPr>
          <w:trHeight w:val="223"/>
        </w:trPr>
        <w:tc>
          <w:tcPr>
            <w:tcW w:w="8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Prepaid expenses and other current assets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r>
      <w:tr>
        <w:trPr>
          <w:trHeight w:val="208"/>
        </w:trPr>
        <w:tc>
          <w:tcPr>
            <w:tcW w:w="8360" w:type="dxa"/>
            <w:vAlign w:val="bottom"/>
          </w:tcPr>
          <w:p>
            <w:pPr>
              <w:ind w:left="220"/>
              <w:spacing w:after="0"/>
              <w:rPr>
                <w:sz w:val="20"/>
                <w:szCs w:val="20"/>
                <w:color w:val="auto"/>
              </w:rPr>
            </w:pPr>
            <w:r>
              <w:rPr>
                <w:rFonts w:ascii="Arial" w:cs="Arial" w:eastAsia="Arial" w:hAnsi="Arial"/>
                <w:sz w:val="13"/>
                <w:szCs w:val="13"/>
                <w:color w:val="auto"/>
              </w:rPr>
              <w:t>Medical claims and benefits payable</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(267)</w:t>
            </w:r>
          </w:p>
        </w:tc>
      </w:tr>
      <w:tr>
        <w:trPr>
          <w:trHeight w:val="223"/>
        </w:trPr>
        <w:tc>
          <w:tcPr>
            <w:tcW w:w="8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Amounts due government agencies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205</w:t>
            </w:r>
          </w:p>
        </w:tc>
      </w:tr>
      <w:tr>
        <w:trPr>
          <w:trHeight w:val="208"/>
        </w:trPr>
        <w:tc>
          <w:tcPr>
            <w:tcW w:w="8360" w:type="dxa"/>
            <w:vAlign w:val="bottom"/>
          </w:tcPr>
          <w:p>
            <w:pPr>
              <w:ind w:left="220"/>
              <w:spacing w:after="0"/>
              <w:rPr>
                <w:sz w:val="20"/>
                <w:szCs w:val="20"/>
                <w:color w:val="auto"/>
              </w:rPr>
            </w:pPr>
            <w:r>
              <w:rPr>
                <w:rFonts w:ascii="Arial" w:cs="Arial" w:eastAsia="Arial" w:hAnsi="Arial"/>
                <w:sz w:val="13"/>
                <w:szCs w:val="13"/>
                <w:color w:val="auto"/>
              </w:rPr>
              <w:t>Accounts payable and accrued liabilities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349</w:t>
            </w:r>
          </w:p>
        </w:tc>
      </w:tr>
      <w:tr>
        <w:trPr>
          <w:trHeight w:val="223"/>
        </w:trPr>
        <w:tc>
          <w:tcPr>
            <w:tcW w:w="8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Deferred revenue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208"/>
        </w:trPr>
        <w:tc>
          <w:tcPr>
            <w:tcW w:w="83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Income taxes</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127</w:t>
            </w:r>
          </w:p>
        </w:tc>
      </w:tr>
      <w:tr>
        <w:trPr>
          <w:trHeight w:val="203"/>
        </w:trPr>
        <w:tc>
          <w:tcPr>
            <w:tcW w:w="83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 cash provided by operating activities</w:t>
            </w:r>
          </w:p>
        </w:tc>
        <w:tc>
          <w:tcPr>
            <w:tcW w:w="9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156</w:t>
            </w:r>
          </w:p>
        </w:tc>
        <w:tc>
          <w:tcPr>
            <w:tcW w:w="1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314</w:t>
            </w:r>
          </w:p>
        </w:tc>
      </w:tr>
      <w:tr>
        <w:trPr>
          <w:trHeight w:val="198"/>
        </w:trPr>
        <w:tc>
          <w:tcPr>
            <w:tcW w:w="8360" w:type="dxa"/>
            <w:vAlign w:val="bottom"/>
          </w:tcPr>
          <w:p>
            <w:pPr>
              <w:ind w:left="20"/>
              <w:spacing w:after="0"/>
              <w:rPr>
                <w:sz w:val="20"/>
                <w:szCs w:val="20"/>
                <w:color w:val="auto"/>
              </w:rPr>
            </w:pPr>
            <w:r>
              <w:rPr>
                <w:rFonts w:ascii="Arial" w:cs="Arial" w:eastAsia="Arial" w:hAnsi="Arial"/>
                <w:sz w:val="13"/>
                <w:szCs w:val="13"/>
                <w:color w:val="auto"/>
              </w:rPr>
              <w:t>Investing activities:</w:t>
            </w: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investments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w:t>
            </w:r>
          </w:p>
        </w:tc>
      </w:tr>
      <w:tr>
        <w:trPr>
          <w:trHeight w:val="208"/>
        </w:trPr>
        <w:tc>
          <w:tcPr>
            <w:tcW w:w="8360" w:type="dxa"/>
            <w:vAlign w:val="bottom"/>
          </w:tcPr>
          <w:p>
            <w:pPr>
              <w:ind w:left="140"/>
              <w:spacing w:after="0"/>
              <w:rPr>
                <w:sz w:val="20"/>
                <w:szCs w:val="20"/>
                <w:color w:val="auto"/>
              </w:rPr>
            </w:pPr>
            <w:r>
              <w:rPr>
                <w:rFonts w:ascii="Arial" w:cs="Arial" w:eastAsia="Arial" w:hAnsi="Arial"/>
                <w:sz w:val="13"/>
                <w:szCs w:val="13"/>
                <w:color w:val="auto"/>
              </w:rPr>
              <w:t>Proceeds from sales and maturities of investments</w:t>
            </w:r>
          </w:p>
        </w:tc>
        <w:tc>
          <w:tcPr>
            <w:tcW w:w="960" w:type="dxa"/>
            <w:vAlign w:val="bottom"/>
          </w:tcPr>
          <w:p>
            <w:pPr>
              <w:spacing w:after="0"/>
              <w:rPr>
                <w:sz w:val="18"/>
                <w:szCs w:val="18"/>
                <w:color w:val="auto"/>
              </w:rPr>
            </w:pPr>
          </w:p>
        </w:tc>
        <w:tc>
          <w:tcPr>
            <w:tcW w:w="540" w:type="dxa"/>
            <w:vAlign w:val="bottom"/>
          </w:tcPr>
          <w:p>
            <w:pPr>
              <w:jc w:val="right"/>
              <w:ind w:right="56"/>
              <w:spacing w:after="0"/>
              <w:rPr>
                <w:sz w:val="20"/>
                <w:szCs w:val="20"/>
                <w:color w:val="auto"/>
              </w:rPr>
            </w:pPr>
            <w:r>
              <w:rPr>
                <w:rFonts w:ascii="Arial" w:cs="Arial" w:eastAsia="Arial" w:hAnsi="Arial"/>
                <w:sz w:val="13"/>
                <w:szCs w:val="13"/>
                <w:color w:val="auto"/>
              </w:rPr>
              <w:t>791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1,335</w:t>
            </w: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property, equipment and capitalized software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208"/>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net</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r>
      <w:tr>
        <w:trPr>
          <w:trHeight w:val="203"/>
        </w:trPr>
        <w:tc>
          <w:tcPr>
            <w:tcW w:w="83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 cash (used in) provided by investing activities</w:t>
            </w:r>
          </w:p>
        </w:tc>
        <w:tc>
          <w:tcPr>
            <w:tcW w:w="9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1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398</w:t>
            </w:r>
          </w:p>
        </w:tc>
      </w:tr>
      <w:tr>
        <w:trPr>
          <w:trHeight w:val="198"/>
        </w:trPr>
        <w:tc>
          <w:tcPr>
            <w:tcW w:w="8360" w:type="dxa"/>
            <w:vAlign w:val="bottom"/>
          </w:tcPr>
          <w:p>
            <w:pPr>
              <w:ind w:left="20"/>
              <w:spacing w:after="0"/>
              <w:rPr>
                <w:sz w:val="20"/>
                <w:szCs w:val="20"/>
                <w:color w:val="auto"/>
              </w:rPr>
            </w:pPr>
            <w:r>
              <w:rPr>
                <w:rFonts w:ascii="Arial" w:cs="Arial" w:eastAsia="Arial" w:hAnsi="Arial"/>
                <w:sz w:val="13"/>
                <w:szCs w:val="13"/>
                <w:color w:val="auto"/>
              </w:rPr>
              <w:t>Financing activities:</w:t>
            </w: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Repayment of principal amount of 1.125% Convertible Notes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r>
      <w:tr>
        <w:trPr>
          <w:trHeight w:val="208"/>
        </w:trPr>
        <w:tc>
          <w:tcPr>
            <w:tcW w:w="8360" w:type="dxa"/>
            <w:vAlign w:val="bottom"/>
          </w:tcPr>
          <w:p>
            <w:pPr>
              <w:ind w:left="140"/>
              <w:spacing w:after="0"/>
              <w:rPr>
                <w:sz w:val="20"/>
                <w:szCs w:val="20"/>
                <w:color w:val="auto"/>
              </w:rPr>
            </w:pPr>
            <w:r>
              <w:rPr>
                <w:rFonts w:ascii="Arial" w:cs="Arial" w:eastAsia="Arial" w:hAnsi="Arial"/>
                <w:sz w:val="13"/>
                <w:szCs w:val="13"/>
                <w:color w:val="auto"/>
              </w:rPr>
              <w:t>Cash paid for partial settlement of 1.125% Conversion Option</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(473)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(134)</w:t>
            </w: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received for partial termination of 1.125% Call Option</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473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134</w:t>
            </w:r>
          </w:p>
        </w:tc>
      </w:tr>
      <w:tr>
        <w:trPr>
          <w:trHeight w:val="208"/>
        </w:trPr>
        <w:tc>
          <w:tcPr>
            <w:tcW w:w="8360" w:type="dxa"/>
            <w:vAlign w:val="bottom"/>
          </w:tcPr>
          <w:p>
            <w:pPr>
              <w:ind w:left="140"/>
              <w:spacing w:after="0"/>
              <w:rPr>
                <w:sz w:val="20"/>
                <w:szCs w:val="20"/>
                <w:color w:val="auto"/>
              </w:rPr>
            </w:pPr>
            <w:r>
              <w:rPr>
                <w:rFonts w:ascii="Arial" w:cs="Arial" w:eastAsia="Arial" w:hAnsi="Arial"/>
                <w:sz w:val="13"/>
                <w:szCs w:val="13"/>
                <w:color w:val="auto"/>
              </w:rPr>
              <w:t>Cash paid for partial termination of 1.125% Warrants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(424)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(113)</w:t>
            </w: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borrowings under Term Loan Facility</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220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208"/>
        </w:trPr>
        <w:tc>
          <w:tcPr>
            <w:tcW w:w="8360" w:type="dxa"/>
            <w:vAlign w:val="bottom"/>
          </w:tcPr>
          <w:p>
            <w:pPr>
              <w:ind w:left="140"/>
              <w:spacing w:after="0"/>
              <w:rPr>
                <w:sz w:val="20"/>
                <w:szCs w:val="20"/>
                <w:color w:val="auto"/>
              </w:rPr>
            </w:pPr>
            <w:r>
              <w:rPr>
                <w:rFonts w:ascii="Arial" w:cs="Arial" w:eastAsia="Arial" w:hAnsi="Arial"/>
                <w:sz w:val="13"/>
                <w:szCs w:val="13"/>
                <w:color w:val="auto"/>
              </w:rPr>
              <w:t>Repayment of Credit Facility</w:t>
            </w:r>
          </w:p>
        </w:tc>
        <w:tc>
          <w:tcPr>
            <w:tcW w:w="96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(300)</w:t>
            </w:r>
          </w:p>
        </w:tc>
      </w:tr>
      <w:tr>
        <w:trPr>
          <w:trHeight w:val="216"/>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96"/>
        </w:trPr>
        <w:tc>
          <w:tcPr>
            <w:tcW w:w="836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Net cash used in financing activities</w:t>
            </w: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(362)</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w:t>
            </w: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(decrease) increase in cash, cash equivalents, and restricted cash and cash equivalents</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209</w:t>
            </w:r>
          </w:p>
        </w:tc>
      </w:tr>
      <w:tr>
        <w:trPr>
          <w:trHeight w:val="20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 and cash equivalents at beginning of period</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2,926</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3,290</w:t>
            </w:r>
          </w:p>
        </w:tc>
      </w:tr>
      <w:tr>
        <w:trPr>
          <w:trHeight w:val="19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and cash equivalents at end of period</w:t>
            </w:r>
          </w:p>
        </w:tc>
        <w:tc>
          <w:tcPr>
            <w:tcW w:w="96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2,327</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798"/>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3,499</w:t>
            </w:r>
          </w:p>
        </w:tc>
      </w:tr>
      <w:tr>
        <w:trPr>
          <w:trHeight w:val="20"/>
        </w:trPr>
        <w:tc>
          <w:tcPr>
            <w:tcW w:w="8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6</w:t>
      </w:r>
    </w:p>
    <w:p>
      <w:pPr>
        <w:sectPr>
          <w:pgSz w:w="11900" w:h="16838" w:orient="portrait"/>
          <w:cols w:equalWidth="0" w:num="1">
            <w:col w:w="11460"/>
          </w:cols>
          <w:pgMar w:left="220" w:top="140" w:right="21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CONSOLIDATED STATEMENTS OF CASH FLOWS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(continued)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140" w:type="dxa"/>
            <w:vAlign w:val="bottom"/>
          </w:tcPr>
          <w:p>
            <w:pPr>
              <w:spacing w:after="0"/>
              <w:rPr>
                <w:sz w:val="13"/>
                <w:szCs w:val="13"/>
                <w:color w:val="auto"/>
              </w:rPr>
            </w:pPr>
          </w:p>
        </w:tc>
        <w:tc>
          <w:tcPr>
            <w:tcW w:w="280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1"/>
                <w:szCs w:val="11"/>
                <w:b w:val="1"/>
                <w:bCs w:val="1"/>
                <w:color w:val="auto"/>
              </w:rPr>
              <w:t>Six Months Ended June 30,</w:t>
            </w:r>
          </w:p>
        </w:tc>
        <w:tc>
          <w:tcPr>
            <w:tcW w:w="520" w:type="dxa"/>
            <w:vAlign w:val="bottom"/>
            <w:tcBorders>
              <w:bottom w:val="single" w:sz="8" w:color="auto"/>
            </w:tcBorders>
          </w:tcPr>
          <w:p>
            <w:pPr>
              <w:spacing w:after="0"/>
              <w:rPr>
                <w:sz w:val="13"/>
                <w:szCs w:val="13"/>
                <w:color w:val="auto"/>
              </w:rPr>
            </w:pPr>
          </w:p>
        </w:tc>
      </w:tr>
      <w:tr>
        <w:trPr>
          <w:trHeight w:val="206"/>
        </w:trPr>
        <w:tc>
          <w:tcPr>
            <w:tcW w:w="8140" w:type="dxa"/>
            <w:vAlign w:val="bottom"/>
          </w:tcPr>
          <w:p>
            <w:pPr>
              <w:spacing w:after="0"/>
              <w:rPr>
                <w:sz w:val="17"/>
                <w:szCs w:val="17"/>
                <w:color w:val="auto"/>
              </w:rPr>
            </w:pP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1"/>
                <w:szCs w:val="11"/>
                <w:b w:val="1"/>
                <w:bCs w:val="1"/>
                <w:color w:val="auto"/>
              </w:rPr>
              <w:t>2018</w:t>
            </w:r>
          </w:p>
        </w:tc>
        <w:tc>
          <w:tcPr>
            <w:tcW w:w="520" w:type="dxa"/>
            <w:vAlign w:val="bottom"/>
            <w:tcBorders>
              <w:bottom w:val="single" w:sz="8" w:color="auto"/>
            </w:tcBorders>
          </w:tcPr>
          <w:p>
            <w:pPr>
              <w:spacing w:after="0"/>
              <w:rPr>
                <w:sz w:val="17"/>
                <w:szCs w:val="17"/>
                <w:color w:val="auto"/>
              </w:rPr>
            </w:pPr>
          </w:p>
        </w:tc>
      </w:tr>
      <w:tr>
        <w:trPr>
          <w:trHeight w:val="136"/>
        </w:trPr>
        <w:tc>
          <w:tcPr>
            <w:tcW w:w="8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3"/>
          </w:tcPr>
          <w:p>
            <w:pPr>
              <w:jc w:val="right"/>
              <w:ind w:right="737"/>
              <w:spacing w:after="0"/>
              <w:rPr>
                <w:sz w:val="20"/>
                <w:szCs w:val="20"/>
                <w:color w:val="auto"/>
              </w:rPr>
            </w:pPr>
            <w:r>
              <w:rPr>
                <w:rFonts w:ascii="Arial" w:cs="Arial" w:eastAsia="Arial" w:hAnsi="Arial"/>
                <w:sz w:val="11"/>
                <w:szCs w:val="11"/>
                <w:b w:val="1"/>
                <w:bCs w:val="1"/>
                <w:color w:val="auto"/>
              </w:rPr>
              <w:t>(In millions)</w:t>
            </w:r>
          </w:p>
        </w:tc>
        <w:tc>
          <w:tcPr>
            <w:tcW w:w="520" w:type="dxa"/>
            <w:vAlign w:val="bottom"/>
          </w:tcPr>
          <w:p>
            <w:pPr>
              <w:spacing w:after="0"/>
              <w:rPr>
                <w:sz w:val="11"/>
                <w:szCs w:val="11"/>
                <w:color w:val="auto"/>
              </w:rPr>
            </w:pPr>
          </w:p>
        </w:tc>
      </w:tr>
      <w:tr>
        <w:trPr>
          <w:trHeight w:val="157"/>
        </w:trPr>
        <w:tc>
          <w:tcPr>
            <w:tcW w:w="8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00" w:type="dxa"/>
            <w:vAlign w:val="bottom"/>
            <w:gridSpan w:val="3"/>
          </w:tcPr>
          <w:p>
            <w:pPr>
              <w:jc w:val="right"/>
              <w:ind w:right="737"/>
              <w:spacing w:after="0"/>
              <w:rPr>
                <w:sz w:val="20"/>
                <w:szCs w:val="20"/>
                <w:color w:val="auto"/>
              </w:rPr>
            </w:pPr>
            <w:r>
              <w:rPr>
                <w:rFonts w:ascii="Arial" w:cs="Arial" w:eastAsia="Arial" w:hAnsi="Arial"/>
                <w:sz w:val="11"/>
                <w:szCs w:val="11"/>
                <w:b w:val="1"/>
                <w:bCs w:val="1"/>
                <w:color w:val="auto"/>
              </w:rPr>
              <w:t>(Unaudited)</w:t>
            </w:r>
          </w:p>
        </w:tc>
        <w:tc>
          <w:tcPr>
            <w:tcW w:w="520" w:type="dxa"/>
            <w:vAlign w:val="bottom"/>
          </w:tcPr>
          <w:p>
            <w:pPr>
              <w:spacing w:after="0"/>
              <w:rPr>
                <w:sz w:val="13"/>
                <w:szCs w:val="13"/>
                <w:color w:val="auto"/>
              </w:rPr>
            </w:pPr>
          </w:p>
        </w:tc>
      </w:tr>
      <w:tr>
        <w:trPr>
          <w:trHeight w:val="220"/>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Supplemental cash flow information:</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59"/>
        </w:trPr>
        <w:tc>
          <w:tcPr>
            <w:tcW w:w="8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Schedule of non-cash investing and financing activities:</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42"/>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Common stock used for share-based compensation</w:t>
            </w:r>
          </w:p>
        </w:tc>
        <w:tc>
          <w:tcPr>
            <w:tcW w:w="1100" w:type="dxa"/>
            <w:vAlign w:val="bottom"/>
            <w:tcBorders>
              <w:bottom w:val="single" w:sz="8" w:color="auto"/>
            </w:tcBorders>
          </w:tcPr>
          <w:p>
            <w:pPr>
              <w:jc w:val="right"/>
              <w:ind w:right="93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89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r>
      <w:tr>
        <w:trPr>
          <w:trHeight w:val="234"/>
        </w:trPr>
        <w:tc>
          <w:tcPr>
            <w:tcW w:w="8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08"/>
        </w:trPr>
        <w:tc>
          <w:tcPr>
            <w:tcW w:w="8140" w:type="dxa"/>
            <w:vAlign w:val="bottom"/>
          </w:tcPr>
          <w:p>
            <w:pPr>
              <w:ind w:left="20"/>
              <w:spacing w:after="0"/>
              <w:rPr>
                <w:sz w:val="20"/>
                <w:szCs w:val="20"/>
                <w:color w:val="auto"/>
              </w:rPr>
            </w:pPr>
            <w:r>
              <w:rPr>
                <w:rFonts w:ascii="Arial" w:cs="Arial" w:eastAsia="Arial" w:hAnsi="Arial"/>
                <w:sz w:val="13"/>
                <w:szCs w:val="13"/>
                <w:color w:val="auto"/>
              </w:rPr>
              <w:t>Details of change in fair value of derivatives, net:</w:t>
            </w: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3"/>
        </w:trPr>
        <w:tc>
          <w:tcPr>
            <w:tcW w:w="8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Gain on 1.125% Call Option</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97"/>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135</w:t>
            </w:r>
          </w:p>
        </w:tc>
      </w:tr>
      <w:tr>
        <w:trPr>
          <w:trHeight w:val="208"/>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Loss on 1.125% Conversion Option</w:t>
            </w: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(166)</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w:t>
            </w:r>
          </w:p>
        </w:tc>
      </w:tr>
      <w:tr>
        <w:trPr>
          <w:trHeight w:val="190"/>
        </w:trPr>
        <w:tc>
          <w:tcPr>
            <w:tcW w:w="81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Change in fair value of derivatives, net</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897"/>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r>
        <w:trPr>
          <w:trHeight w:val="234"/>
        </w:trPr>
        <w:tc>
          <w:tcPr>
            <w:tcW w:w="8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1.625% Convertible Notes exchange transaction:</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8"/>
        </w:trPr>
        <w:tc>
          <w:tcPr>
            <w:tcW w:w="8140" w:type="dxa"/>
            <w:vAlign w:val="bottom"/>
          </w:tcPr>
          <w:p>
            <w:pPr>
              <w:ind w:left="220"/>
              <w:spacing w:after="0"/>
              <w:rPr>
                <w:sz w:val="20"/>
                <w:szCs w:val="20"/>
                <w:color w:val="auto"/>
              </w:rPr>
            </w:pPr>
            <w:r>
              <w:rPr>
                <w:rFonts w:ascii="Arial" w:cs="Arial" w:eastAsia="Arial" w:hAnsi="Arial"/>
                <w:sz w:val="13"/>
                <w:szCs w:val="13"/>
                <w:color w:val="auto"/>
              </w:rPr>
              <w:t>Common stock issued in exchange for 1.625% Convertible Notes</w:t>
            </w:r>
          </w:p>
        </w:tc>
        <w:tc>
          <w:tcPr>
            <w:tcW w:w="1100" w:type="dxa"/>
            <w:vAlign w:val="bottom"/>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897"/>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131</w:t>
            </w:r>
          </w:p>
        </w:tc>
      </w:tr>
      <w:tr>
        <w:trPr>
          <w:trHeight w:val="216"/>
        </w:trPr>
        <w:tc>
          <w:tcPr>
            <w:tcW w:w="8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Component allocated to additional paid-in capital, net of income taxes</w:t>
            </w:r>
          </w:p>
        </w:tc>
        <w:tc>
          <w:tcPr>
            <w:tcW w:w="1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190"/>
        </w:trPr>
        <w:tc>
          <w:tcPr>
            <w:tcW w:w="8140" w:type="dxa"/>
            <w:vAlign w:val="bottom"/>
          </w:tcPr>
          <w:p>
            <w:pPr>
              <w:ind w:left="400"/>
              <w:spacing w:after="0"/>
              <w:rPr>
                <w:sz w:val="20"/>
                <w:szCs w:val="20"/>
                <w:color w:val="auto"/>
              </w:rPr>
            </w:pPr>
            <w:r>
              <w:rPr>
                <w:rFonts w:ascii="Arial" w:cs="Arial" w:eastAsia="Arial" w:hAnsi="Arial"/>
                <w:sz w:val="13"/>
                <w:szCs w:val="13"/>
                <w:color w:val="auto"/>
              </w:rPr>
              <w:t>Net increase to additional paid-in capital</w:t>
            </w:r>
          </w:p>
        </w:tc>
        <w:tc>
          <w:tcPr>
            <w:tcW w:w="1100" w:type="dxa"/>
            <w:vAlign w:val="bottom"/>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897"/>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108</w:t>
            </w:r>
          </w:p>
        </w:tc>
      </w:tr>
      <w:tr>
        <w:trPr>
          <w:trHeight w:val="20"/>
        </w:trPr>
        <w:tc>
          <w:tcPr>
            <w:tcW w:w="8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7</w:t>
      </w:r>
    </w:p>
    <w:p>
      <w:pPr>
        <w:sectPr>
          <w:pgSz w:w="11900" w:h="16838" w:orient="portrait"/>
          <w:cols w:equalWidth="0" w:num="1">
            <w:col w:w="11460"/>
          </w:cols>
          <w:pgMar w:left="220" w:top="140" w:right="21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NOTES TO CONSOLIDATED FINANCIAL STATEMENTS (UNAUDITED)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828282"/>
        </w:rPr>
        <w:t>June 30, 2019</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828282"/>
        </w:rPr>
        <w:t>1. Organization and Basis of Presentation</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Operations</w:t>
      </w:r>
    </w:p>
    <w:p>
      <w:pPr>
        <w:spacing w:after="0" w:line="114"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Molina Healthcare, Inc. provides managed healthcare services under the Medicaid and Medicare programs and through the state insurance marketplaces (the “Marketplace”). We currently have two reportable segments: our Health Plans segment and our Other segment. We manage the vast majority of our operations through our Health Plans segment. The Other segment includes the historical results of the Medicaid management information systems (“MMIS”) and behavioral health subsidiaries we sold in the fourth quarter of 2018, as well as certain corporate amounts not allocated to the Health Plans segment. Prior to the fourth quarter of 2018, the MMIS subsidiary was reported as a stand-alone segment.</w:t>
      </w:r>
    </w:p>
    <w:p>
      <w:pPr>
        <w:spacing w:after="0" w:line="73"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The Health Plans segment consists of health plans operating in 14 states and the Commonwealth of Puerto Rico. As of June 30, 2019, these health plans served approximately 3.4 million members eligible for Medicaid, Medicare, and other government-sponsored healthcare programs for low-income families and individuals including Marketplace members, most of whom receive government subsidies for premiums. The health plans are generally operated by our respective wholly owned subsidiaries in those states, each of which is licensed as a health maintenance organization (“HMO”).</w:t>
      </w:r>
    </w:p>
    <w:p>
      <w:pPr>
        <w:spacing w:after="0" w:line="73"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Our health plans’ state Medicaid contracts generally have terms of three to five years. These contracts typically contain renewal options exercisable by the state Medicaid agency, and allow either the state or the health plan to terminate the contract with or without cause. Such contracts are subject to risk of loss in states that issue requests for proposal (“RFPs”) open to competitive bidding by other health plans. If one of our health plans is not a successful responsive bidder to a state RFP, its contract may not be renewed.</w:t>
      </w:r>
    </w:p>
    <w:p>
      <w:pPr>
        <w:spacing w:after="0" w:line="70" w:lineRule="exact"/>
        <w:rPr>
          <w:sz w:val="20"/>
          <w:szCs w:val="20"/>
          <w:color w:val="auto"/>
        </w:rPr>
      </w:pPr>
    </w:p>
    <w:p>
      <w:pPr>
        <w:ind w:right="380"/>
        <w:spacing w:after="0" w:line="273" w:lineRule="auto"/>
        <w:rPr>
          <w:sz w:val="20"/>
          <w:szCs w:val="20"/>
          <w:color w:val="auto"/>
        </w:rPr>
      </w:pPr>
      <w:r>
        <w:rPr>
          <w:rFonts w:ascii="Arial" w:cs="Arial" w:eastAsia="Arial" w:hAnsi="Arial"/>
          <w:sz w:val="14"/>
          <w:szCs w:val="14"/>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and regions or service areas.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Consolidation and Interim Financial Information</w:t>
      </w:r>
    </w:p>
    <w:p>
      <w:pPr>
        <w:spacing w:after="0" w:line="114"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The consolidated financial statements include the accounts of Molina Healthcare, Inc., and its subsidiaries. In the opinion of management, all adjustments considered necessary for a fair presentation of the results as of the date and for the interim periods presented have been included; such adjustments consist of normal recurring adjustments. All significant intercompany balances and transactions have been eliminated. The consolidated results of operations for the six months ended June 30, 2019, are not necessarily indicative of the results for the entire year ending December 31, 2019.</w:t>
      </w:r>
    </w:p>
    <w:p>
      <w:pPr>
        <w:spacing w:after="0" w:line="73"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2018. Accordingly, certain disclosures that would substantially duplicate the disclosures contained in our December 31, 2018, audited consolidated financial statements have been omitted. These unaudited consolidated interim financial statements should be read in conjunction with our audited consolidated financial statements for the fiscal year ended December 31, 2018.</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14" w:lineRule="exact"/>
        <w:rPr>
          <w:sz w:val="20"/>
          <w:szCs w:val="20"/>
          <w:color w:val="auto"/>
        </w:rPr>
      </w:pPr>
    </w:p>
    <w:p>
      <w:pPr>
        <w:ind w:right="360"/>
        <w:spacing w:after="0" w:line="265" w:lineRule="auto"/>
        <w:rPr>
          <w:sz w:val="20"/>
          <w:szCs w:val="20"/>
          <w:color w:val="auto"/>
        </w:rPr>
      </w:pPr>
      <w:r>
        <w:rPr>
          <w:rFonts w:ascii="Arial" w:cs="Arial" w:eastAsia="Arial" w:hAnsi="Arial"/>
          <w:sz w:val="14"/>
          <w:szCs w:val="14"/>
          <w:color w:val="auto"/>
        </w:rPr>
        <w:t>The preparation of consolidated financial statements in conformity with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 Principal areas requiring the use of estimates include:</w:t>
      </w:r>
    </w:p>
    <w:p>
      <w:pPr>
        <w:spacing w:after="0" w:line="70" w:lineRule="exact"/>
        <w:rPr>
          <w:sz w:val="20"/>
          <w:szCs w:val="20"/>
          <w:color w:val="auto"/>
        </w:rPr>
      </w:pPr>
    </w:p>
    <w:p>
      <w:pPr>
        <w:ind w:left="520" w:hanging="255"/>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determination of medical claims and benefits payable of our Health Plans segment;</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Health plans’ contractual provisions that may limit revenue recognition based upon the costs incurred or the profits realized under a specific contract;</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Health plans’ quality incentives that allow us to recognize incremental revenue if certain quality standards are met;</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Settlements under risk or savings sharing programs;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assessment of long-lived and intangible assets, and goodwill for impairment;</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8</w:t>
      </w:r>
    </w:p>
    <w:p>
      <w:pPr>
        <w:sectPr>
          <w:pgSz w:w="11900" w:h="16838" w:orient="portrait"/>
          <w:cols w:equalWidth="0" w:num="1">
            <w:col w:w="11460"/>
          </w:cols>
          <w:pgMar w:left="220" w:top="140" w:right="21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left="520" w:hanging="255"/>
        <w:spacing w:after="0"/>
        <w:tabs>
          <w:tab w:leader="none" w:pos="520" w:val="left"/>
        </w:tabs>
        <w:numPr>
          <w:ilvl w:val="1"/>
          <w:numId w:val="4"/>
        </w:numPr>
        <w:rPr>
          <w:rFonts w:ascii="Arial" w:cs="Arial" w:eastAsia="Arial" w:hAnsi="Arial"/>
          <w:sz w:val="14"/>
          <w:szCs w:val="14"/>
          <w:color w:val="auto"/>
        </w:rPr>
      </w:pPr>
      <w:r>
        <w:rPr>
          <w:rFonts w:ascii="Arial" w:cs="Arial" w:eastAsia="Arial" w:hAnsi="Arial"/>
          <w:sz w:val="14"/>
          <w:szCs w:val="14"/>
          <w:color w:val="auto"/>
        </w:rPr>
        <w:t>The determination of reserves for potential absorption of claims unpaid by insolvent providers;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1"/>
          <w:numId w:val="4"/>
        </w:numPr>
        <w:rPr>
          <w:rFonts w:ascii="Arial" w:cs="Arial" w:eastAsia="Arial" w:hAnsi="Arial"/>
          <w:sz w:val="14"/>
          <w:szCs w:val="14"/>
          <w:color w:val="auto"/>
        </w:rPr>
      </w:pPr>
      <w:r>
        <w:rPr>
          <w:rFonts w:ascii="Arial" w:cs="Arial" w:eastAsia="Arial" w:hAnsi="Arial"/>
          <w:sz w:val="14"/>
          <w:szCs w:val="14"/>
          <w:color w:val="auto"/>
        </w:rPr>
        <w:t>The determination of reserves for litigation outcomes;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1"/>
          <w:numId w:val="4"/>
        </w:numPr>
        <w:rPr>
          <w:rFonts w:ascii="Arial" w:cs="Arial" w:eastAsia="Arial" w:hAnsi="Arial"/>
          <w:sz w:val="14"/>
          <w:szCs w:val="14"/>
          <w:color w:val="auto"/>
        </w:rPr>
      </w:pPr>
      <w:r>
        <w:rPr>
          <w:rFonts w:ascii="Arial" w:cs="Arial" w:eastAsia="Arial" w:hAnsi="Arial"/>
          <w:sz w:val="14"/>
          <w:szCs w:val="14"/>
          <w:color w:val="auto"/>
        </w:rPr>
        <w:t>The determination of valuation allowances for deferred tax assets; and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1"/>
          <w:numId w:val="4"/>
        </w:numPr>
        <w:rPr>
          <w:rFonts w:ascii="Arial" w:cs="Arial" w:eastAsia="Arial" w:hAnsi="Arial"/>
          <w:sz w:val="14"/>
          <w:szCs w:val="14"/>
          <w:color w:val="auto"/>
        </w:rPr>
      </w:pPr>
      <w:r>
        <w:rPr>
          <w:rFonts w:ascii="Arial" w:cs="Arial" w:eastAsia="Arial" w:hAnsi="Arial"/>
          <w:sz w:val="14"/>
          <w:szCs w:val="14"/>
          <w:color w:val="auto"/>
        </w:rPr>
        <w:t>The determination of unrecognized tax benefits.</w:t>
      </w:r>
    </w:p>
    <w:p>
      <w:pPr>
        <w:spacing w:after="0" w:line="358" w:lineRule="exact"/>
        <w:rPr>
          <w:rFonts w:ascii="Arial" w:cs="Arial" w:eastAsia="Arial" w:hAnsi="Arial"/>
          <w:sz w:val="14"/>
          <w:szCs w:val="14"/>
          <w:color w:val="auto"/>
        </w:rPr>
      </w:pPr>
    </w:p>
    <w:p>
      <w:pPr>
        <w:ind w:left="220" w:hanging="214"/>
        <w:spacing w:after="0"/>
        <w:tabs>
          <w:tab w:leader="none" w:pos="220" w:val="left"/>
        </w:tabs>
        <w:numPr>
          <w:ilvl w:val="0"/>
          <w:numId w:val="4"/>
        </w:numPr>
        <w:rPr>
          <w:rFonts w:ascii="Arial" w:cs="Arial" w:eastAsia="Arial" w:hAnsi="Arial"/>
          <w:sz w:val="20"/>
          <w:szCs w:val="20"/>
          <w:color w:val="828282"/>
        </w:rPr>
      </w:pPr>
      <w:r>
        <w:rPr>
          <w:rFonts w:ascii="Arial" w:cs="Arial" w:eastAsia="Arial" w:hAnsi="Arial"/>
          <w:sz w:val="20"/>
          <w:szCs w:val="20"/>
          <w:color w:val="828282"/>
        </w:rPr>
        <w:t>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14"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non-current “Restricted investments” in the accompanying consolidated balance sheets.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812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1"/>
                <w:szCs w:val="11"/>
                <w:b w:val="1"/>
                <w:bCs w:val="1"/>
                <w:color w:val="auto"/>
              </w:rPr>
              <w:t>June 30,</w:t>
            </w:r>
          </w:p>
        </w:tc>
        <w:tc>
          <w:tcPr>
            <w:tcW w:w="1120" w:type="dxa"/>
            <w:vAlign w:val="bottom"/>
            <w:tcBorders>
              <w:bottom w:val="single" w:sz="8" w:color="auto"/>
            </w:tcBorders>
          </w:tcPr>
          <w:p>
            <w:pPr>
              <w:spacing w:after="0"/>
              <w:rPr>
                <w:sz w:val="13"/>
                <w:szCs w:val="13"/>
                <w:color w:val="auto"/>
              </w:rPr>
            </w:pPr>
          </w:p>
        </w:tc>
      </w:tr>
      <w:tr>
        <w:trPr>
          <w:trHeight w:val="206"/>
        </w:trPr>
        <w:tc>
          <w:tcPr>
            <w:tcW w:w="8120" w:type="dxa"/>
            <w:vAlign w:val="bottom"/>
          </w:tcPr>
          <w:p>
            <w:pPr>
              <w:spacing w:after="0"/>
              <w:rPr>
                <w:sz w:val="17"/>
                <w:szCs w:val="17"/>
                <w:color w:val="auto"/>
              </w:rPr>
            </w:pPr>
          </w:p>
        </w:tc>
        <w:tc>
          <w:tcPr>
            <w:tcW w:w="1060" w:type="dxa"/>
            <w:vAlign w:val="bottom"/>
            <w:tcBorders>
              <w:bottom w:val="single" w:sz="8" w:color="auto"/>
            </w:tcBorders>
          </w:tcPr>
          <w:p>
            <w:pPr>
              <w:jc w:val="right"/>
              <w:ind w:right="58"/>
              <w:spacing w:after="0"/>
              <w:rPr>
                <w:sz w:val="20"/>
                <w:szCs w:val="20"/>
                <w:color w:val="auto"/>
              </w:rPr>
            </w:pPr>
            <w:r>
              <w:rPr>
                <w:rFonts w:ascii="Arial" w:cs="Arial" w:eastAsia="Arial" w:hAnsi="Arial"/>
                <w:sz w:val="11"/>
                <w:szCs w:val="11"/>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17"/>
              <w:spacing w:after="0"/>
              <w:rPr>
                <w:sz w:val="20"/>
                <w:szCs w:val="20"/>
                <w:color w:val="auto"/>
              </w:rPr>
            </w:pPr>
            <w:r>
              <w:rPr>
                <w:rFonts w:ascii="Arial" w:cs="Arial" w:eastAsia="Arial" w:hAnsi="Arial"/>
                <w:sz w:val="11"/>
                <w:szCs w:val="11"/>
                <w:b w:val="1"/>
                <w:bCs w:val="1"/>
                <w:color w:val="auto"/>
              </w:rPr>
              <w:t>2018</w:t>
            </w:r>
          </w:p>
        </w:tc>
      </w:tr>
      <w:tr>
        <w:trPr>
          <w:trHeight w:val="196"/>
        </w:trPr>
        <w:tc>
          <w:tcPr>
            <w:tcW w:w="8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gridSpan w:val="3"/>
          </w:tcPr>
          <w:p>
            <w:pPr>
              <w:jc w:val="right"/>
              <w:ind w:right="155"/>
              <w:spacing w:after="0"/>
              <w:rPr>
                <w:sz w:val="20"/>
                <w:szCs w:val="20"/>
                <w:color w:val="auto"/>
              </w:rPr>
            </w:pPr>
            <w:r>
              <w:rPr>
                <w:rFonts w:ascii="Arial" w:cs="Arial" w:eastAsia="Arial" w:hAnsi="Arial"/>
                <w:sz w:val="11"/>
                <w:szCs w:val="11"/>
                <w:b w:val="1"/>
                <w:bCs w:val="1"/>
                <w:color w:val="auto"/>
              </w:rPr>
              <w:t>(In millions)</w:t>
            </w:r>
          </w:p>
        </w:tc>
        <w:tc>
          <w:tcPr>
            <w:tcW w:w="1120" w:type="dxa"/>
            <w:vAlign w:val="bottom"/>
          </w:tcPr>
          <w:p>
            <w:pPr>
              <w:spacing w:after="0"/>
              <w:rPr>
                <w:sz w:val="17"/>
                <w:szCs w:val="17"/>
                <w:color w:val="auto"/>
              </w:rPr>
            </w:pPr>
          </w:p>
        </w:tc>
      </w:tr>
      <w:tr>
        <w:trPr>
          <w:trHeight w:val="220"/>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1060" w:type="dxa"/>
            <w:vAlign w:val="bottom"/>
            <w:shd w:val="clear" w:color="auto" w:fill="CCEEFF"/>
          </w:tcPr>
          <w:p>
            <w:pPr>
              <w:jc w:val="right"/>
              <w:ind w:right="898"/>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15"/>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3,401</w:t>
            </w:r>
          </w:p>
        </w:tc>
      </w:tr>
      <w:tr>
        <w:trPr>
          <w:trHeight w:val="208"/>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 and cash equivalents</w:t>
            </w: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74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98</w:t>
            </w:r>
          </w:p>
        </w:tc>
      </w:tr>
      <w:tr>
        <w:trPr>
          <w:trHeight w:val="190"/>
        </w:trPr>
        <w:tc>
          <w:tcPr>
            <w:tcW w:w="8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 cash, cash equivalents, and restricted cash and cash equivalents presented in the statements of cash flows</w:t>
            </w:r>
          </w:p>
        </w:tc>
        <w:tc>
          <w:tcPr>
            <w:tcW w:w="1060" w:type="dxa"/>
            <w:vAlign w:val="bottom"/>
            <w:tcBorders>
              <w:bottom w:val="single" w:sz="8" w:color="auto"/>
            </w:tcBorders>
            <w:shd w:val="clear" w:color="auto" w:fill="CCEEFF"/>
          </w:tcPr>
          <w:p>
            <w:pPr>
              <w:jc w:val="right"/>
              <w:ind w:right="898"/>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2,327</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3,499</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Premium Revenue</w:t>
      </w:r>
    </w:p>
    <w:p>
      <w:pPr>
        <w:spacing w:after="0" w:line="200" w:lineRule="exact"/>
        <w:rPr>
          <w:sz w:val="20"/>
          <w:szCs w:val="20"/>
          <w:color w:val="auto"/>
        </w:rPr>
      </w:pPr>
    </w:p>
    <w:p>
      <w:pPr>
        <w:jc w:val="both"/>
        <w:ind w:right="220"/>
        <w:spacing w:after="0" w:line="265" w:lineRule="auto"/>
        <w:rPr>
          <w:sz w:val="20"/>
          <w:szCs w:val="20"/>
          <w:color w:val="auto"/>
        </w:rPr>
      </w:pPr>
      <w:r>
        <w:rPr>
          <w:rFonts w:ascii="Arial" w:cs="Arial" w:eastAsia="Arial" w:hAnsi="Arial"/>
          <w:sz w:val="14"/>
          <w:szCs w:val="14"/>
          <w:color w:val="auto"/>
        </w:rPr>
        <w:t>Premium revenue is fixed in advance of the periods covered and, except as described below, is not generally subject to significant accounting estimates. Premium revenues are recognized in the month that members are entitled to receive healthcare services, and premiums collected in advance are deferred. Certain components of premium revenue are subject to accounting estimates and fall into the following categories: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Provisions That May Adjust or Limit Revenue or Profit</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Medicaid Program</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i w:val="1"/>
          <w:iCs w:val="1"/>
          <w:color w:val="auto"/>
        </w:rPr>
        <w:t xml:space="preserve">Medical Cost Floors (Minimums), and Medical Cost Corridors. </w:t>
      </w:r>
      <w:r>
        <w:rPr>
          <w:rFonts w:ascii="Arial" w:cs="Arial" w:eastAsia="Arial" w:hAnsi="Arial"/>
          <w:sz w:val="14"/>
          <w:szCs w:val="14"/>
          <w:color w:val="auto"/>
        </w:rPr>
        <w:t>A portion of our premium revenue may be returned if certain minimum amounts are not spent on defined medical care</w:t>
      </w:r>
      <w:r>
        <w:rPr>
          <w:rFonts w:ascii="Arial" w:cs="Arial" w:eastAsia="Arial" w:hAnsi="Arial"/>
          <w:sz w:val="14"/>
          <w:szCs w:val="14"/>
          <w:i w:val="1"/>
          <w:iCs w:val="1"/>
          <w:color w:val="auto"/>
        </w:rPr>
        <w:t xml:space="preserve"> </w:t>
      </w:r>
      <w:r>
        <w:rPr>
          <w:rFonts w:ascii="Arial" w:cs="Arial" w:eastAsia="Arial" w:hAnsi="Arial"/>
          <w:sz w:val="14"/>
          <w:szCs w:val="14"/>
          <w:color w:val="auto"/>
        </w:rPr>
        <w:t>costs. In the aggregate, we recorded liabilities under the terms of such contract provisions of $93 million and $103 million at June 30, 2019 and December 31, 2018, respectively. Approximately $76 million and $87 million of the liabilities accrued at June 30, 2019 and December 31, 2018, respectively, relate to our participation in Medicaid Expansion programs.</w:t>
      </w:r>
    </w:p>
    <w:p>
      <w:pPr>
        <w:spacing w:after="0" w:line="327" w:lineRule="exact"/>
        <w:rPr>
          <w:sz w:val="20"/>
          <w:szCs w:val="20"/>
          <w:color w:val="auto"/>
        </w:rPr>
      </w:pPr>
    </w:p>
    <w:p>
      <w:pPr>
        <w:ind w:right="180"/>
        <w:spacing w:after="0" w:line="273" w:lineRule="auto"/>
        <w:rPr>
          <w:sz w:val="20"/>
          <w:szCs w:val="20"/>
          <w:color w:val="auto"/>
        </w:rPr>
      </w:pPr>
      <w:r>
        <w:rPr>
          <w:rFonts w:ascii="Arial" w:cs="Arial" w:eastAsia="Arial" w:hAnsi="Arial"/>
          <w:sz w:val="14"/>
          <w:szCs w:val="14"/>
          <w:color w:val="auto"/>
        </w:rPr>
        <w:t>In certain circumstances, the health plans may receive additional premiums if amounts spent on medical care costs exceed a defined maximum threshold. Receivables relating to such provisions were insignificant at June 30, 2019 and December 31, 2018.</w:t>
      </w:r>
    </w:p>
    <w:p>
      <w:pPr>
        <w:spacing w:after="0" w:line="137" w:lineRule="exact"/>
        <w:rPr>
          <w:sz w:val="20"/>
          <w:szCs w:val="20"/>
          <w:color w:val="auto"/>
        </w:rPr>
      </w:pPr>
    </w:p>
    <w:p>
      <w:pPr>
        <w:ind w:right="200"/>
        <w:spacing w:after="0" w:line="275" w:lineRule="auto"/>
        <w:rPr>
          <w:sz w:val="20"/>
          <w:szCs w:val="20"/>
          <w:color w:val="auto"/>
        </w:rPr>
      </w:pPr>
      <w:r>
        <w:rPr>
          <w:rFonts w:ascii="Arial" w:cs="Arial" w:eastAsia="Arial" w:hAnsi="Arial"/>
          <w:sz w:val="14"/>
          <w:szCs w:val="14"/>
          <w:i w:val="1"/>
          <w:iCs w:val="1"/>
          <w:color w:val="auto"/>
        </w:rPr>
        <w:t xml:space="preserve">Profit Sharing and Profit Ceiling. </w:t>
      </w:r>
      <w:r>
        <w:rPr>
          <w:rFonts w:ascii="Arial" w:cs="Arial" w:eastAsia="Arial" w:hAnsi="Arial"/>
          <w:sz w:val="14"/>
          <w:szCs w:val="14"/>
          <w:color w:val="auto"/>
        </w:rPr>
        <w:t>Our contracts with certain states contain profit-sharing or profit ceiling provisions under which we refund amounts to the states if our health plans</w:t>
      </w:r>
      <w:r>
        <w:rPr>
          <w:rFonts w:ascii="Arial" w:cs="Arial" w:eastAsia="Arial" w:hAnsi="Arial"/>
          <w:sz w:val="14"/>
          <w:szCs w:val="14"/>
          <w:i w:val="1"/>
          <w:iCs w:val="1"/>
          <w:color w:val="auto"/>
        </w:rPr>
        <w:t xml:space="preserve"> </w:t>
      </w:r>
      <w:r>
        <w:rPr>
          <w:rFonts w:ascii="Arial" w:cs="Arial" w:eastAsia="Arial" w:hAnsi="Arial"/>
          <w:sz w:val="14"/>
          <w:szCs w:val="14"/>
          <w:color w:val="auto"/>
        </w:rPr>
        <w:t>generate profit above a certain specified percentage. In some cases, we are limited in the amount of administrative costs that we may deduct in calculating the refund, if any. Liabilities for profits in excess of the amount we are allowed to retain under these provisions were insignificant at June 30, 2019 and December 31, 2018.</w:t>
      </w:r>
    </w:p>
    <w:p>
      <w:pPr>
        <w:spacing w:after="0" w:line="136" w:lineRule="exact"/>
        <w:rPr>
          <w:sz w:val="20"/>
          <w:szCs w:val="20"/>
          <w:color w:val="auto"/>
        </w:rPr>
      </w:pPr>
    </w:p>
    <w:p>
      <w:pPr>
        <w:ind w:right="220"/>
        <w:spacing w:after="0" w:line="294" w:lineRule="auto"/>
        <w:rPr>
          <w:sz w:val="20"/>
          <w:szCs w:val="20"/>
          <w:color w:val="auto"/>
        </w:rPr>
      </w:pPr>
      <w:r>
        <w:rPr>
          <w:rFonts w:ascii="Arial" w:cs="Arial" w:eastAsia="Arial" w:hAnsi="Arial"/>
          <w:sz w:val="14"/>
          <w:szCs w:val="14"/>
          <w:i w:val="1"/>
          <w:iCs w:val="1"/>
          <w:color w:val="auto"/>
        </w:rPr>
        <w:t xml:space="preserve">Retroactive Premium Adjustments. </w:t>
      </w:r>
      <w:r>
        <w:rPr>
          <w:rFonts w:ascii="Arial" w:cs="Arial" w:eastAsia="Arial" w:hAnsi="Arial"/>
          <w:sz w:val="14"/>
          <w:szCs w:val="14"/>
          <w:color w:val="auto"/>
        </w:rPr>
        <w:t>State Medicaid programs periodically adjust premium rates on a retroactive basis. In these cases, we must adjust our premium revenue in the</w:t>
      </w:r>
      <w:r>
        <w:rPr>
          <w:rFonts w:ascii="Arial" w:cs="Arial" w:eastAsia="Arial" w:hAnsi="Arial"/>
          <w:sz w:val="14"/>
          <w:szCs w:val="14"/>
          <w:i w:val="1"/>
          <w:iCs w:val="1"/>
          <w:color w:val="auto"/>
        </w:rPr>
        <w:t xml:space="preserve"> </w:t>
      </w:r>
      <w:r>
        <w:rPr>
          <w:rFonts w:ascii="Arial" w:cs="Arial" w:eastAsia="Arial" w:hAnsi="Arial"/>
          <w:sz w:val="14"/>
          <w:szCs w:val="14"/>
          <w:color w:val="auto"/>
        </w:rPr>
        <w:t>period in which we learn of the adjustment, based on our best estimate of the ultimate premium we expect to realize for the period being adjusted.</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Medicare Program</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4"/>
          <w:szCs w:val="14"/>
          <w:i w:val="1"/>
          <w:iCs w:val="1"/>
          <w:color w:val="auto"/>
        </w:rPr>
        <w:t xml:space="preserve">Risk Adjusted Premiums. </w:t>
      </w:r>
      <w:r>
        <w:rPr>
          <w:rFonts w:ascii="Arial" w:cs="Arial" w:eastAsia="Arial" w:hAnsi="Arial"/>
          <w:sz w:val="14"/>
          <w:szCs w:val="14"/>
          <w:color w:val="auto"/>
        </w:rPr>
        <w:t>Our Medicare premiums are subject to retroactive increase or decrease based on the health status of our Medicare members (as measured by member</w:t>
      </w:r>
      <w:r>
        <w:rPr>
          <w:rFonts w:ascii="Arial" w:cs="Arial" w:eastAsia="Arial" w:hAnsi="Arial"/>
          <w:sz w:val="14"/>
          <w:szCs w:val="14"/>
          <w:i w:val="1"/>
          <w:iCs w:val="1"/>
          <w:color w:val="auto"/>
        </w:rPr>
        <w:t xml:space="preserve"> </w:t>
      </w:r>
      <w:r>
        <w:rPr>
          <w:rFonts w:ascii="Arial" w:cs="Arial" w:eastAsia="Arial" w:hAnsi="Arial"/>
          <w:sz w:val="14"/>
          <w:szCs w:val="14"/>
          <w:color w:val="auto"/>
        </w:rPr>
        <w:t>risk score). We estimate our members’ risk scores and the related amount of Medicare revenue that will ultimately be realized for the periods presented based on our knowledge of our members’ health status, risk scores and Centers for Medicare and Medicaid Services</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9</w:t>
      </w:r>
    </w:p>
    <w:p>
      <w:pPr>
        <w:sectPr>
          <w:pgSz w:w="11900" w:h="16838" w:orient="portrait"/>
          <w:cols w:equalWidth="0" w:num="1">
            <w:col w:w="11460"/>
          </w:cols>
          <w:pgMar w:left="220" w:top="140" w:right="21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1" w:lineRule="exact"/>
        <w:rPr>
          <w:sz w:val="20"/>
          <w:szCs w:val="20"/>
          <w:color w:val="auto"/>
        </w:rPr>
      </w:pPr>
    </w:p>
    <w:p>
      <w:pPr>
        <w:ind w:right="580"/>
        <w:spacing w:after="0" w:line="273" w:lineRule="auto"/>
        <w:rPr>
          <w:sz w:val="20"/>
          <w:szCs w:val="20"/>
          <w:color w:val="auto"/>
        </w:rPr>
      </w:pPr>
      <w:r>
        <w:rPr>
          <w:rFonts w:ascii="Arial" w:cs="Arial" w:eastAsia="Arial" w:hAnsi="Arial"/>
          <w:sz w:val="14"/>
          <w:szCs w:val="14"/>
          <w:color w:val="auto"/>
        </w:rPr>
        <w:t>(“CMS”) practices. Consolidated balance sheet amounts related to anticipated Medicare risk adjusted premiums and Medicare Part D settlements were insignificant at June 30, 2019 and December 31, 2018.</w:t>
      </w:r>
    </w:p>
    <w:p>
      <w:pPr>
        <w:spacing w:after="0" w:line="137" w:lineRule="exact"/>
        <w:rPr>
          <w:sz w:val="20"/>
          <w:szCs w:val="20"/>
          <w:color w:val="auto"/>
        </w:rPr>
      </w:pPr>
    </w:p>
    <w:p>
      <w:pPr>
        <w:ind w:right="120"/>
        <w:spacing w:after="0" w:line="269" w:lineRule="auto"/>
        <w:rPr>
          <w:sz w:val="20"/>
          <w:szCs w:val="20"/>
          <w:color w:val="auto"/>
        </w:rPr>
      </w:pPr>
      <w:r>
        <w:rPr>
          <w:rFonts w:ascii="Arial" w:cs="Arial" w:eastAsia="Arial" w:hAnsi="Arial"/>
          <w:sz w:val="14"/>
          <w:szCs w:val="14"/>
          <w:i w:val="1"/>
          <w:iCs w:val="1"/>
          <w:color w:val="auto"/>
        </w:rPr>
        <w:t xml:space="preserve">Minimum MLR. </w:t>
      </w:r>
      <w:r>
        <w:rPr>
          <w:rFonts w:ascii="Arial" w:cs="Arial" w:eastAsia="Arial" w:hAnsi="Arial"/>
          <w:sz w:val="14"/>
          <w:szCs w:val="14"/>
          <w:color w:val="auto"/>
        </w:rPr>
        <w:t>The Affordable Care Act (“ACA”) has established a minimum annual medical loss ratio (“Minimum MLR”) of 85% for Medicare. The medical loss ratio represents</w:t>
      </w:r>
      <w:r>
        <w:rPr>
          <w:rFonts w:ascii="Arial" w:cs="Arial" w:eastAsia="Arial" w:hAnsi="Arial"/>
          <w:sz w:val="14"/>
          <w:szCs w:val="14"/>
          <w:i w:val="1"/>
          <w:iCs w:val="1"/>
          <w:color w:val="auto"/>
        </w:rPr>
        <w:t xml:space="preserve"> </w:t>
      </w:r>
      <w:r>
        <w:rPr>
          <w:rFonts w:ascii="Arial" w:cs="Arial" w:eastAsia="Arial" w:hAnsi="Arial"/>
          <w:sz w:val="14"/>
          <w:szCs w:val="14"/>
          <w:color w:val="auto"/>
        </w:rPr>
        <w:t>medical costs as a percentage of premium revenue. Federal regulations define what constitutes medical costs and premium revenue. If the Minimum MLR is not met, we may be required to pay rebates to the federal government. We recognize estimated rebates under the Minimum MLR as an adjustment to premium revenue in our consolidated statements of income. The amounts payable for the Medicare Minimum MLR were not significant at June 30, 2019 and December 31, 2018.</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Marketplace Program</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i w:val="1"/>
          <w:iCs w:val="1"/>
          <w:color w:val="auto"/>
        </w:rPr>
        <w:t xml:space="preserve">Risk Adjustment. </w:t>
      </w:r>
      <w:r>
        <w:rPr>
          <w:rFonts w:ascii="Arial" w:cs="Arial" w:eastAsia="Arial" w:hAnsi="Arial"/>
          <w:sz w:val="14"/>
          <w:szCs w:val="14"/>
          <w:color w:val="auto"/>
        </w:rPr>
        <w:t>Under this program, our health plans’ composite risk scores are compared with the overall average risk score for the relevant state and market pool. Generally, our</w:t>
      </w:r>
      <w:r>
        <w:rPr>
          <w:rFonts w:ascii="Arial" w:cs="Arial" w:eastAsia="Arial" w:hAnsi="Arial"/>
          <w:sz w:val="14"/>
          <w:szCs w:val="14"/>
          <w:i w:val="1"/>
          <w:iCs w:val="1"/>
          <w:color w:val="auto"/>
        </w:rPr>
        <w:t xml:space="preserve"> </w:t>
      </w:r>
      <w:r>
        <w:rPr>
          <w:rFonts w:ascii="Arial" w:cs="Arial" w:eastAsia="Arial" w:hAnsi="Arial"/>
          <w:sz w:val="14"/>
          <w:szCs w:val="14"/>
          <w:color w:val="auto"/>
        </w:rPr>
        <w:t>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June 30, 2019, Marketplace risk adjustment payables amounted to $625 million and related receivables amounted to $71 million, or a net of $554 million. Approximately $390 million of the net amount at June 30, 2019 relates to 2018 dates of service. As of December 31, 2018, Marketplace risk adjustment payables amounted to $466 million and related receivables amounted to $34 million, or a net of $432 million.</w:t>
      </w:r>
    </w:p>
    <w:p>
      <w:pPr>
        <w:spacing w:after="0" w:line="144"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i w:val="1"/>
          <w:iCs w:val="1"/>
          <w:color w:val="auto"/>
        </w:rPr>
        <w:t xml:space="preserve">Minimum MLR. </w:t>
      </w:r>
      <w:r>
        <w:rPr>
          <w:rFonts w:ascii="Arial" w:cs="Arial" w:eastAsia="Arial" w:hAnsi="Arial"/>
          <w:sz w:val="14"/>
          <w:szCs w:val="14"/>
          <w:color w:val="auto"/>
        </w:rPr>
        <w:t>The ACA has established a Minimum MLR of 80% for the Marketplace. If the Minimum MLR is not met, we may be required to pay rebates to our Marketplace</w:t>
      </w:r>
      <w:r>
        <w:rPr>
          <w:rFonts w:ascii="Arial" w:cs="Arial" w:eastAsia="Arial" w:hAnsi="Arial"/>
          <w:sz w:val="14"/>
          <w:szCs w:val="14"/>
          <w:i w:val="1"/>
          <w:iCs w:val="1"/>
          <w:color w:val="auto"/>
        </w:rPr>
        <w:t xml:space="preserve"> </w:t>
      </w:r>
      <w:r>
        <w:rPr>
          <w:rFonts w:ascii="Arial" w:cs="Arial" w:eastAsia="Arial" w:hAnsi="Arial"/>
          <w:sz w:val="14"/>
          <w:szCs w:val="14"/>
          <w:color w:val="auto"/>
        </w:rPr>
        <w:t>policyholders. The Marketplace risk adjustment program is taken into consideration when computing the Minimum MLR. We recognize estimated rebates under the Minimum MLR as an adjustment to premium revenue in our consolidated statements of income. Aggregate balance sheet amounts related to the Minimum MLR were insignificant at June 30, 2019 and December 31, 2018.</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categories of amounts due government agencies follows: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8320" w:type="dxa"/>
            <w:vAlign w:val="bottom"/>
          </w:tcPr>
          <w:p>
            <w:pPr>
              <w:spacing w:after="0"/>
              <w:rPr>
                <w:sz w:val="13"/>
                <w:szCs w:val="13"/>
                <w:color w:val="auto"/>
              </w:rPr>
            </w:pPr>
          </w:p>
        </w:tc>
        <w:tc>
          <w:tcPr>
            <w:tcW w:w="1080" w:type="dxa"/>
            <w:vAlign w:val="bottom"/>
          </w:tcPr>
          <w:p>
            <w:pPr>
              <w:jc w:val="right"/>
              <w:ind w:right="35"/>
              <w:spacing w:after="0"/>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ind w:right="235"/>
              <w:spacing w:after="0"/>
              <w:rPr>
                <w:sz w:val="20"/>
                <w:szCs w:val="20"/>
                <w:color w:val="auto"/>
              </w:rPr>
            </w:pPr>
            <w:r>
              <w:rPr>
                <w:rFonts w:ascii="Arial" w:cs="Arial" w:eastAsia="Arial" w:hAnsi="Arial"/>
                <w:sz w:val="13"/>
                <w:szCs w:val="13"/>
                <w:b w:val="1"/>
                <w:bCs w:val="1"/>
                <w:color w:val="auto"/>
                <w:w w:val="96"/>
              </w:rPr>
              <w:t>December 31,</w:t>
            </w:r>
          </w:p>
        </w:tc>
      </w:tr>
      <w:tr>
        <w:trPr>
          <w:trHeight w:val="179"/>
        </w:trPr>
        <w:tc>
          <w:tcPr>
            <w:tcW w:w="8320" w:type="dxa"/>
            <w:vAlign w:val="bottom"/>
          </w:tcPr>
          <w:p>
            <w:pPr>
              <w:spacing w:after="0"/>
              <w:rPr>
                <w:sz w:val="15"/>
                <w:szCs w:val="15"/>
                <w:color w:val="auto"/>
              </w:rPr>
            </w:pPr>
          </w:p>
        </w:tc>
        <w:tc>
          <w:tcPr>
            <w:tcW w:w="108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2018</w:t>
            </w:r>
          </w:p>
        </w:tc>
      </w:tr>
      <w:tr>
        <w:trPr>
          <w:trHeight w:val="196"/>
        </w:trPr>
        <w:tc>
          <w:tcPr>
            <w:tcW w:w="8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140" w:type="dxa"/>
            <w:vAlign w:val="bottom"/>
          </w:tcPr>
          <w:p>
            <w:pPr>
              <w:spacing w:after="0"/>
              <w:rPr>
                <w:sz w:val="17"/>
                <w:szCs w:val="17"/>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Medicaid program:</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08"/>
        </w:trPr>
        <w:tc>
          <w:tcPr>
            <w:tcW w:w="8320" w:type="dxa"/>
            <w:vAlign w:val="bottom"/>
          </w:tcPr>
          <w:p>
            <w:pPr>
              <w:ind w:left="120"/>
              <w:spacing w:after="0"/>
              <w:rPr>
                <w:sz w:val="20"/>
                <w:szCs w:val="20"/>
                <w:color w:val="auto"/>
              </w:rPr>
            </w:pPr>
            <w:r>
              <w:rPr>
                <w:rFonts w:ascii="Arial" w:cs="Arial" w:eastAsia="Arial" w:hAnsi="Arial"/>
                <w:sz w:val="13"/>
                <w:szCs w:val="13"/>
                <w:color w:val="auto"/>
              </w:rPr>
              <w:t>Medical cost floors and corridors</w:t>
            </w:r>
          </w:p>
        </w:tc>
        <w:tc>
          <w:tcPr>
            <w:tcW w:w="1080" w:type="dxa"/>
            <w:vAlign w:val="bottom"/>
          </w:tcPr>
          <w:p>
            <w:pPr>
              <w:jc w:val="right"/>
              <w:ind w:right="915"/>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55"/>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8"/>
                <w:szCs w:val="18"/>
                <w:color w:val="auto"/>
              </w:rPr>
            </w:pPr>
          </w:p>
        </w:tc>
        <w:tc>
          <w:tcPr>
            <w:tcW w:w="32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103</w:t>
            </w:r>
          </w:p>
        </w:tc>
      </w:tr>
      <w:tr>
        <w:trPr>
          <w:trHeight w:val="223"/>
        </w:trPr>
        <w:tc>
          <w:tcPr>
            <w:tcW w:w="8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amounts due to states</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81</w:t>
            </w:r>
          </w:p>
        </w:tc>
      </w:tr>
      <w:tr>
        <w:trPr>
          <w:trHeight w:val="208"/>
        </w:trPr>
        <w:tc>
          <w:tcPr>
            <w:tcW w:w="8320" w:type="dxa"/>
            <w:vAlign w:val="bottom"/>
          </w:tcPr>
          <w:p>
            <w:pPr>
              <w:ind w:left="20"/>
              <w:spacing w:after="0"/>
              <w:rPr>
                <w:sz w:val="20"/>
                <w:szCs w:val="20"/>
                <w:color w:val="auto"/>
              </w:rPr>
            </w:pPr>
            <w:r>
              <w:rPr>
                <w:rFonts w:ascii="Arial" w:cs="Arial" w:eastAsia="Arial" w:hAnsi="Arial"/>
                <w:sz w:val="13"/>
                <w:szCs w:val="13"/>
                <w:color w:val="auto"/>
              </w:rPr>
              <w:t>Marketplace program:</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8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Risk adjustment</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625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466</w:t>
            </w:r>
          </w:p>
        </w:tc>
      </w:tr>
      <w:tr>
        <w:trPr>
          <w:trHeight w:val="208"/>
        </w:trPr>
        <w:tc>
          <w:tcPr>
            <w:tcW w:w="8320" w:type="dxa"/>
            <w:vAlign w:val="bottom"/>
          </w:tcPr>
          <w:p>
            <w:pPr>
              <w:ind w:left="120"/>
              <w:spacing w:after="0"/>
              <w:rPr>
                <w:sz w:val="20"/>
                <w:szCs w:val="20"/>
                <w:color w:val="auto"/>
              </w:rPr>
            </w:pPr>
            <w:r>
              <w:rPr>
                <w:rFonts w:ascii="Arial" w:cs="Arial" w:eastAsia="Arial" w:hAnsi="Arial"/>
                <w:sz w:val="13"/>
                <w:szCs w:val="13"/>
                <w:color w:val="auto"/>
              </w:rPr>
              <w:t>Cost sharing reduction (“CSR”)</w:t>
            </w:r>
          </w:p>
        </w:tc>
        <w:tc>
          <w:tcPr>
            <w:tcW w:w="10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183</w:t>
            </w: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0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134</w:t>
            </w:r>
          </w:p>
        </w:tc>
      </w:tr>
      <w:tr>
        <w:trPr>
          <w:trHeight w:val="190"/>
        </w:trPr>
        <w:tc>
          <w:tcPr>
            <w:tcW w:w="8320" w:type="dxa"/>
            <w:vAlign w:val="bottom"/>
          </w:tcPr>
          <w:p>
            <w:pPr>
              <w:ind w:left="300"/>
              <w:spacing w:after="0"/>
              <w:rPr>
                <w:sz w:val="20"/>
                <w:szCs w:val="20"/>
                <w:color w:val="auto"/>
              </w:rPr>
            </w:pPr>
            <w:r>
              <w:rPr>
                <w:rFonts w:ascii="Arial" w:cs="Arial" w:eastAsia="Arial" w:hAnsi="Arial"/>
                <w:sz w:val="13"/>
                <w:szCs w:val="13"/>
                <w:color w:val="auto"/>
              </w:rPr>
              <w:t>Total amounts due government agencies</w:t>
            </w:r>
          </w:p>
        </w:tc>
        <w:tc>
          <w:tcPr>
            <w:tcW w:w="1080" w:type="dxa"/>
            <w:vAlign w:val="bottom"/>
            <w:tcBorders>
              <w:bottom w:val="single" w:sz="8" w:color="auto"/>
            </w:tcBorders>
          </w:tcPr>
          <w:p>
            <w:pPr>
              <w:jc w:val="right"/>
              <w:ind w:right="915"/>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984</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967</w:t>
            </w:r>
          </w:p>
        </w:tc>
      </w:tr>
      <w:tr>
        <w:trPr>
          <w:trHeight w:val="20"/>
        </w:trPr>
        <w:tc>
          <w:tcPr>
            <w:tcW w:w="8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Quality Incentives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At many of our health plans, revenue ranging from approximately 1% to 4% of certain health plan premiums is earned only if certain performance measures are met.</w:t>
      </w:r>
    </w:p>
    <w:p>
      <w:pPr>
        <w:spacing w:after="0" w:line="184"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The following table quantifies the quality incentive premium revenue recognized for the periods presented, including the amounts earned in the periods presented and prior periods. Although the reasonably possible effects of a change in estimate related to quality incentive premium revenue as of June 30, 2019, are not known, we have no reason to believe that the adjustments to prior years noted below are not indicative of the potential future changes in our estimates as of June 30, 2019.</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10</w:t>
      </w:r>
    </w:p>
    <w:p>
      <w:pPr>
        <w:sectPr>
          <w:pgSz w:w="11900" w:h="16838" w:orient="portrait"/>
          <w:cols w:equalWidth="0" w:num="1">
            <w:col w:w="11460"/>
          </w:cols>
          <w:pgMar w:left="220" w:top="140" w:right="21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14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197"/>
              <w:spacing w:after="0"/>
              <w:rPr>
                <w:sz w:val="20"/>
                <w:szCs w:val="20"/>
                <w:color w:val="auto"/>
              </w:rPr>
            </w:pPr>
            <w:r>
              <w:rPr>
                <w:rFonts w:ascii="Arial" w:cs="Arial" w:eastAsia="Arial" w:hAnsi="Arial"/>
                <w:sz w:val="11"/>
                <w:szCs w:val="11"/>
                <w:b w:val="1"/>
                <w:bCs w:val="1"/>
                <w:color w:val="auto"/>
              </w:rPr>
              <w:t>Three Months Ended June 30,</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1"/>
                <w:szCs w:val="11"/>
                <w:b w:val="1"/>
                <w:bCs w:val="1"/>
                <w:color w:val="auto"/>
              </w:rPr>
              <w:t>Six Months Ended June 30,</w:t>
            </w:r>
          </w:p>
        </w:tc>
      </w:tr>
      <w:tr>
        <w:trPr>
          <w:trHeight w:val="206"/>
        </w:trPr>
        <w:tc>
          <w:tcPr>
            <w:tcW w:w="5140" w:type="dxa"/>
            <w:vAlign w:val="bottom"/>
          </w:tcPr>
          <w:p>
            <w:pPr>
              <w:spacing w:after="0"/>
              <w:rPr>
                <w:sz w:val="17"/>
                <w:szCs w:val="17"/>
                <w:color w:val="auto"/>
              </w:rPr>
            </w:pP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rPr>
              <w:t>2019</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97"/>
              <w:spacing w:after="0"/>
              <w:rPr>
                <w:sz w:val="20"/>
                <w:szCs w:val="20"/>
                <w:color w:val="auto"/>
              </w:rPr>
            </w:pPr>
            <w:r>
              <w:rPr>
                <w:rFonts w:ascii="Arial" w:cs="Arial" w:eastAsia="Arial" w:hAnsi="Arial"/>
                <w:sz w:val="11"/>
                <w:szCs w:val="11"/>
                <w:b w:val="1"/>
                <w:bCs w:val="1"/>
                <w:color w:val="auto"/>
              </w:rPr>
              <w:t>2018</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2018</w:t>
            </w:r>
          </w:p>
        </w:tc>
      </w:tr>
      <w:tr>
        <w:trPr>
          <w:trHeight w:val="196"/>
        </w:trPr>
        <w:tc>
          <w:tcPr>
            <w:tcW w:w="5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gridSpan w:val="3"/>
          </w:tcPr>
          <w:p>
            <w:pPr>
              <w:jc w:val="right"/>
              <w:ind w:right="95"/>
              <w:spacing w:after="0"/>
              <w:rPr>
                <w:sz w:val="20"/>
                <w:szCs w:val="20"/>
                <w:color w:val="auto"/>
              </w:rPr>
            </w:pPr>
            <w:r>
              <w:rPr>
                <w:rFonts w:ascii="Arial" w:cs="Arial" w:eastAsia="Arial" w:hAnsi="Arial"/>
                <w:sz w:val="11"/>
                <w:szCs w:val="11"/>
                <w:b w:val="1"/>
                <w:bCs w:val="1"/>
                <w:color w:val="auto"/>
              </w:rPr>
              <w:t>(In millions)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Maximum available quality incentive premium - current period</w:t>
            </w:r>
          </w:p>
        </w:tc>
        <w:tc>
          <w:tcPr>
            <w:tcW w:w="1040" w:type="dxa"/>
            <w:vAlign w:val="bottom"/>
            <w:tcBorders>
              <w:bottom w:val="single" w:sz="8" w:color="auto"/>
            </w:tcBorders>
            <w:shd w:val="clear" w:color="auto" w:fill="CCEEFF"/>
          </w:tcPr>
          <w:p>
            <w:pPr>
              <w:jc w:val="right"/>
              <w:ind w:right="878"/>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46</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47</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87</w:t>
            </w:r>
          </w:p>
        </w:tc>
      </w:tr>
      <w:tr>
        <w:trPr>
          <w:trHeight w:val="20"/>
        </w:trPr>
        <w:tc>
          <w:tcPr>
            <w:tcW w:w="5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1"/>
        </w:trPr>
        <w:tc>
          <w:tcPr>
            <w:tcW w:w="5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Quality incentive premium revenue recognized in current period:</w:t>
            </w: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8"/>
        </w:trPr>
        <w:tc>
          <w:tcPr>
            <w:tcW w:w="5140" w:type="dxa"/>
            <w:vAlign w:val="bottom"/>
          </w:tcPr>
          <w:p>
            <w:pPr>
              <w:ind w:left="140"/>
              <w:spacing w:after="0"/>
              <w:rPr>
                <w:sz w:val="20"/>
                <w:szCs w:val="20"/>
                <w:color w:val="auto"/>
              </w:rPr>
            </w:pPr>
            <w:r>
              <w:rPr>
                <w:rFonts w:ascii="Arial" w:cs="Arial" w:eastAsia="Arial" w:hAnsi="Arial"/>
                <w:sz w:val="13"/>
                <w:szCs w:val="13"/>
                <w:color w:val="auto"/>
              </w:rPr>
              <w:t>Earned current period</w:t>
            </w:r>
          </w:p>
        </w:tc>
        <w:tc>
          <w:tcPr>
            <w:tcW w:w="1040" w:type="dxa"/>
            <w:vAlign w:val="bottom"/>
          </w:tcPr>
          <w:p>
            <w:pPr>
              <w:jc w:val="right"/>
              <w:ind w:right="878"/>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75"/>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8"/>
                <w:szCs w:val="18"/>
                <w:color w:val="auto"/>
              </w:rPr>
            </w:pPr>
          </w:p>
        </w:tc>
        <w:tc>
          <w:tcPr>
            <w:tcW w:w="1020" w:type="dxa"/>
            <w:vAlign w:val="bottom"/>
          </w:tcPr>
          <w:p>
            <w:pPr>
              <w:jc w:val="right"/>
              <w:ind w:right="877"/>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ind w:right="77"/>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8"/>
                <w:szCs w:val="18"/>
                <w:color w:val="auto"/>
              </w:rPr>
            </w:pPr>
          </w:p>
        </w:tc>
        <w:tc>
          <w:tcPr>
            <w:tcW w:w="4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8"/>
                <w:szCs w:val="18"/>
                <w:color w:val="auto"/>
              </w:rPr>
            </w:pPr>
          </w:p>
        </w:tc>
        <w:tc>
          <w:tcPr>
            <w:tcW w:w="3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58</w:t>
            </w:r>
          </w:p>
        </w:tc>
      </w:tr>
      <w:tr>
        <w:trPr>
          <w:trHeight w:val="216"/>
        </w:trPr>
        <w:tc>
          <w:tcPr>
            <w:tcW w:w="5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Earned prior periods</w:t>
            </w:r>
          </w:p>
        </w:tc>
        <w:tc>
          <w:tcPr>
            <w:tcW w:w="10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23</w:t>
            </w:r>
          </w:p>
        </w:tc>
      </w:tr>
      <w:tr>
        <w:trPr>
          <w:trHeight w:val="230"/>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Total</w:t>
            </w:r>
          </w:p>
        </w:tc>
        <w:tc>
          <w:tcPr>
            <w:tcW w:w="1040" w:type="dxa"/>
            <w:vAlign w:val="bottom"/>
            <w:tcBorders>
              <w:bottom w:val="single" w:sz="8" w:color="auto"/>
            </w:tcBorders>
          </w:tcPr>
          <w:p>
            <w:pPr>
              <w:jc w:val="right"/>
              <w:ind w:right="878"/>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47</w:t>
            </w: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877"/>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46</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81</w:t>
            </w:r>
          </w:p>
        </w:tc>
      </w:tr>
      <w:tr>
        <w:trPr>
          <w:trHeight w:val="201"/>
        </w:trPr>
        <w:tc>
          <w:tcPr>
            <w:tcW w:w="5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2"/>
        </w:trPr>
        <w:tc>
          <w:tcPr>
            <w:tcW w:w="5140" w:type="dxa"/>
            <w:vAlign w:val="bottom"/>
          </w:tcPr>
          <w:p>
            <w:pPr>
              <w:ind w:left="20"/>
              <w:spacing w:after="0"/>
              <w:rPr>
                <w:sz w:val="20"/>
                <w:szCs w:val="20"/>
                <w:color w:val="auto"/>
              </w:rPr>
            </w:pPr>
            <w:r>
              <w:rPr>
                <w:rFonts w:ascii="Arial" w:cs="Arial" w:eastAsia="Arial" w:hAnsi="Arial"/>
                <w:sz w:val="13"/>
                <w:szCs w:val="13"/>
                <w:color w:val="auto"/>
                <w:w w:val="99"/>
              </w:rPr>
              <w:t>Quality incentive premium revenue recognized as a percentage of total premium revenue</w:t>
            </w:r>
          </w:p>
        </w:tc>
        <w:tc>
          <w:tcPr>
            <w:tcW w:w="10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0.9%</w:t>
            </w:r>
          </w:p>
        </w:tc>
      </w:tr>
      <w:tr>
        <w:trPr>
          <w:trHeight w:val="20"/>
        </w:trPr>
        <w:tc>
          <w:tcPr>
            <w:tcW w:w="5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Medical Care Costs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Marketplace Program</w:t>
      </w:r>
    </w:p>
    <w:p>
      <w:pPr>
        <w:spacing w:after="0" w:line="184"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In the first half of 2018, we recognized a benefit of approximately $76 million in reduced medical care costs related to 2017 dates of service as a result of the federal government’s confirmation that the reconciliation of 2017 Marketplace CSR subsidies would be performed on an annual basis. In the fourth quarter of 2017, we had assumed a nine-month reconciliation of this item pending confirmation of the time period to which the 2017 reconciliation would be applied.</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114" w:lineRule="exact"/>
        <w:rPr>
          <w:sz w:val="20"/>
          <w:szCs w:val="20"/>
          <w:color w:val="auto"/>
        </w:rPr>
      </w:pPr>
    </w:p>
    <w:p>
      <w:pPr>
        <w:jc w:val="both"/>
        <w:ind w:right="180"/>
        <w:spacing w:after="0" w:line="262" w:lineRule="auto"/>
        <w:rPr>
          <w:sz w:val="20"/>
          <w:szCs w:val="20"/>
          <w:color w:val="auto"/>
        </w:rPr>
      </w:pPr>
      <w:r>
        <w:rPr>
          <w:rFonts w:ascii="Arial" w:cs="Arial" w:eastAsia="Arial" w:hAnsi="Arial"/>
          <w:sz w:val="14"/>
          <w:szCs w:val="14"/>
          <w:color w:val="auto"/>
        </w:rPr>
        <w:t>Right-of-use (“ROU”) assets represent our right to use the underlying assets over the lease term, and lease liabilities represent our obligation for lease payments arising from the related leases. ROU assets and lease liabilities are recognized at the lease commencement date based on the present value of lease payments over the lease term. Lease terms may include options to extend or terminate the lease when we believe it is reasonably certain that we will exercise such options. If applicable, we account for lease and non-lease components within a lease as a single lease component.</w:t>
      </w:r>
    </w:p>
    <w:p>
      <w:pPr>
        <w:spacing w:after="0" w:line="73"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Because most of our leases do not provide an implicit interest rate, we generally use our incremental borrowing rate to determine the present value of lease payments. Lease expenses for operating lease payments are recognized on a straight-line basis over the lease term, and the related ROU assets and liabilities are reduced to the present value of the remaining lease payments at the end of each period. Finance lease payments reduce finance lease liabilities, the related ROU assets are amortized on a straight-line basis over the lease term, and interest expense is recognized using the effective interest method.</w:t>
      </w:r>
    </w:p>
    <w:p>
      <w:pPr>
        <w:spacing w:after="0" w:line="73"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The significant majority of our operating leases consist of long-term operating leases for office space. Short-term leases (those with terms of 12 months or less) are not recorded as ROU assets or liabilities in the consolidated balance sheets. For certain leases that represent a portfolio of similar assets, such as a fleet of vehicles, we apply a portfolio approach to account for the related operating lease ROU assets and liabilities, rather than account for such assets and the related liabilities individually. A nominal number of our lease agreements include rental payments that adjust periodically for inflation. Our lease agreements do not contain any material residual value guarantees or material restrictive covenants.</w:t>
      </w:r>
    </w:p>
    <w:p>
      <w:pPr>
        <w:spacing w:after="0" w:line="245" w:lineRule="exact"/>
        <w:rPr>
          <w:sz w:val="20"/>
          <w:szCs w:val="20"/>
          <w:color w:val="auto"/>
        </w:rPr>
      </w:pPr>
    </w:p>
    <w:p>
      <w:pPr>
        <w:jc w:val="both"/>
        <w:ind w:right="560"/>
        <w:spacing w:after="0" w:line="265" w:lineRule="auto"/>
        <w:rPr>
          <w:sz w:val="20"/>
          <w:szCs w:val="20"/>
          <w:color w:val="auto"/>
        </w:rPr>
      </w:pPr>
      <w:r>
        <w:rPr>
          <w:rFonts w:ascii="Arial" w:cs="Arial" w:eastAsia="Arial" w:hAnsi="Arial"/>
          <w:sz w:val="14"/>
          <w:szCs w:val="14"/>
          <w:color w:val="auto"/>
        </w:rPr>
        <w:t xml:space="preserve">For further information, including the amount and location of the ROU assets and lease liabilities recognized in the accompanying consolidated balance sheet, see Note 13, “Leases.” For further information regarding our adoption and implementation of Accounting Standards Update (“ASU”) 2016-02, </w:t>
      </w:r>
      <w:r>
        <w:rPr>
          <w:rFonts w:ascii="Arial" w:cs="Arial" w:eastAsia="Arial" w:hAnsi="Arial"/>
          <w:sz w:val="14"/>
          <w:szCs w:val="14"/>
          <w:i w:val="1"/>
          <w:iCs w:val="1"/>
          <w:color w:val="auto"/>
        </w:rPr>
        <w:t>Leases (Topic 842),</w:t>
      </w:r>
      <w:r>
        <w:rPr>
          <w:rFonts w:ascii="Arial" w:cs="Arial" w:eastAsia="Arial" w:hAnsi="Arial"/>
          <w:sz w:val="14"/>
          <w:szCs w:val="14"/>
          <w:color w:val="auto"/>
        </w:rPr>
        <w:t xml:space="preserve"> see </w:t>
      </w:r>
      <w:r>
        <w:rPr>
          <w:rFonts w:ascii="Arial" w:cs="Arial" w:eastAsia="Arial" w:hAnsi="Arial"/>
          <w:sz w:val="14"/>
          <w:szCs w:val="14"/>
          <w:i w:val="1"/>
          <w:iCs w:val="1"/>
          <w:color w:val="auto"/>
        </w:rPr>
        <w:t>Recent Accounting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Pronouncements Adopted, </w:t>
      </w:r>
      <w:r>
        <w:rPr>
          <w:rFonts w:ascii="Arial" w:cs="Arial" w:eastAsia="Arial" w:hAnsi="Arial"/>
          <w:sz w:val="14"/>
          <w:szCs w:val="14"/>
          <w:color w:val="auto"/>
        </w:rPr>
        <w:t>below.</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Concentrations of Credit Risk</w:t>
      </w:r>
    </w:p>
    <w:p>
      <w:pPr>
        <w:spacing w:after="0" w:line="114"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a maximum maturity of 10 years, or 10 years average life for structured securities. Restricted investments are invested principally in certificates of deposit and U.S. Treasury securities. Concentration of credit risk with respect to</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11</w:t>
      </w:r>
    </w:p>
    <w:p>
      <w:pPr>
        <w:sectPr>
          <w:pgSz w:w="11900" w:h="16838" w:orient="portrait"/>
          <w:cols w:equalWidth="0" w:num="1">
            <w:col w:w="11460"/>
          </w:cols>
          <w:pgMar w:left="220" w:top="140" w:right="21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1"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auto"/>
        </w:rPr>
        <w:t>accounts receivable is generally limited because our payors consist principally of the federal government, and governments of each state or commonwealth in which our health plan subsidiaries operate.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14" w:lineRule="exact"/>
        <w:rPr>
          <w:sz w:val="20"/>
          <w:szCs w:val="20"/>
          <w:color w:val="auto"/>
        </w:rPr>
      </w:pPr>
    </w:p>
    <w:p>
      <w:pPr>
        <w:jc w:val="both"/>
        <w:ind w:right="220"/>
        <w:spacing w:after="0" w:line="265" w:lineRule="auto"/>
        <w:rPr>
          <w:sz w:val="20"/>
          <w:szCs w:val="20"/>
          <w:color w:val="auto"/>
        </w:rPr>
      </w:pPr>
      <w:r>
        <w:rPr>
          <w:rFonts w:ascii="Arial" w:cs="Arial" w:eastAsia="Arial" w:hAnsi="Arial"/>
          <w:sz w:val="14"/>
          <w:szCs w:val="14"/>
          <w:color w:val="auto"/>
        </w:rPr>
        <w:t>The provision for income taxes is determined using an estimated annual effective tax rate, which generally differs from the U.S. federal statutory rate primarily because of foreign and state taxes, nondeductible expenses such as the Health Insurer Fee (“HIF”), certain compensation, and other general and administrative expenses. The effective tax rate will not be impacted by HIF in 2019 given the 2019 HIF moratorium.</w:t>
      </w:r>
    </w:p>
    <w:p>
      <w:pPr>
        <w:spacing w:after="0" w:line="156" w:lineRule="exact"/>
        <w:rPr>
          <w:sz w:val="20"/>
          <w:szCs w:val="20"/>
          <w:color w:val="auto"/>
        </w:rPr>
      </w:pPr>
    </w:p>
    <w:p>
      <w:pPr>
        <w:ind w:right="220"/>
        <w:spacing w:after="0" w:line="261" w:lineRule="auto"/>
        <w:rPr>
          <w:sz w:val="20"/>
          <w:szCs w:val="20"/>
          <w:color w:val="auto"/>
        </w:rPr>
      </w:pPr>
      <w:r>
        <w:rPr>
          <w:rFonts w:ascii="Arial" w:cs="Arial" w:eastAsia="Arial" w:hAnsi="Arial"/>
          <w:sz w:val="14"/>
          <w:szCs w:val="14"/>
          <w:color w:val="auto"/>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 Adopted</w:t>
      </w:r>
    </w:p>
    <w:p>
      <w:pPr>
        <w:spacing w:after="0" w:line="186"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i w:val="1"/>
          <w:iCs w:val="1"/>
          <w:color w:val="auto"/>
        </w:rPr>
        <w:t xml:space="preserve">Leases. </w:t>
      </w:r>
      <w:r>
        <w:rPr>
          <w:rFonts w:ascii="Arial" w:cs="Arial" w:eastAsia="Arial" w:hAnsi="Arial"/>
          <w:sz w:val="14"/>
          <w:szCs w:val="14"/>
          <w:color w:val="auto"/>
        </w:rPr>
        <w:t>In February 2016, the Financial Accounting Standards Board (“FASB”) issued Topic 842, which was subsequently modified by several ASUs issued in 2017 and 2018. Topic</w:t>
      </w:r>
      <w:r>
        <w:rPr>
          <w:rFonts w:ascii="Arial" w:cs="Arial" w:eastAsia="Arial" w:hAnsi="Arial"/>
          <w:sz w:val="14"/>
          <w:szCs w:val="14"/>
          <w:i w:val="1"/>
          <w:iCs w:val="1"/>
          <w:color w:val="auto"/>
        </w:rPr>
        <w:t xml:space="preserve"> </w:t>
      </w:r>
      <w:r>
        <w:rPr>
          <w:rFonts w:ascii="Arial" w:cs="Arial" w:eastAsia="Arial" w:hAnsi="Arial"/>
          <w:sz w:val="14"/>
          <w:szCs w:val="14"/>
          <w:color w:val="auto"/>
        </w:rPr>
        <w:t>842 was issued to increase transparency and comparability among organizations by requiring the recognition of ROU assets and lease liabilities on the balance sheet. Most prominent among the changes in Topic 842 is the recognition of ROU assets and lease liabilities by lessees for those leases classified as operating leases. In addition, Topic 842’s disclosures are required to meet the objective of enabling users of financial statements to assess the amount, timing and uncertainty of cash flows arising from leases. Topic 842’s transition provisions are applied using a modified retrospective approach; entities may elect whether to apply the transition provisions, including disclosure requirements, at the beginning of the earliest comparative period presented or on the adoption date.</w:t>
      </w:r>
    </w:p>
    <w:p>
      <w:pPr>
        <w:spacing w:after="0" w:line="158" w:lineRule="exact"/>
        <w:rPr>
          <w:sz w:val="20"/>
          <w:szCs w:val="20"/>
          <w:color w:val="auto"/>
        </w:rPr>
      </w:pPr>
    </w:p>
    <w:p>
      <w:pPr>
        <w:jc w:val="both"/>
        <w:ind w:right="140"/>
        <w:spacing w:after="0" w:line="265" w:lineRule="auto"/>
        <w:rPr>
          <w:sz w:val="20"/>
          <w:szCs w:val="20"/>
          <w:color w:val="auto"/>
        </w:rPr>
      </w:pPr>
      <w:r>
        <w:rPr>
          <w:rFonts w:ascii="Arial" w:cs="Arial" w:eastAsia="Arial" w:hAnsi="Arial"/>
          <w:sz w:val="14"/>
          <w:szCs w:val="14"/>
          <w:color w:val="auto"/>
        </w:rPr>
        <w:t>We adopted Topic 842 effective January 1, 2019, and elected to apply the transition provisions as of that date. Accordingly, we recognized the cumulative effect of initially applying the standard as an adjustment to the opening balance of retained earnings on January 1, 2019. In addition, we elected the available practical expedients and implemented internal controls and key system functionality to enable the preparation of financial information on adoption.</w:t>
      </w:r>
    </w:p>
    <w:p>
      <w:pPr>
        <w:spacing w:after="0" w:line="156"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As indicated in the accompanying consolidated statements of stockholders’ equity, the cumulative effect adjustment was an increase of $85 million to retained earnings, relating primarily to the transition provisions for sale-leaseback arrangements that did not qualify for sale treatment. Accordingly, such arrangements for certain office buildings were de-recognized and recorded as finance lease ROU assets and lease liabilities. The difference between the de-recognized assets and lease financing obligations resulted in an increase to retained earnings. The recognition of these arrangements as finance lease ROU assets and lease liabilities will not materially impact our consolidated results of operations over the terms of the leases.</w:t>
      </w:r>
    </w:p>
    <w:p>
      <w:pPr>
        <w:spacing w:after="0" w:line="156"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i w:val="1"/>
          <w:iCs w:val="1"/>
          <w:color w:val="auto"/>
        </w:rPr>
        <w:t xml:space="preserve">Software Licenses. </w:t>
      </w:r>
      <w:r>
        <w:rPr>
          <w:rFonts w:ascii="Arial" w:cs="Arial" w:eastAsia="Arial" w:hAnsi="Arial"/>
          <w:sz w:val="14"/>
          <w:szCs w:val="14"/>
          <w:color w:val="auto"/>
        </w:rPr>
        <w:t>In August 2018, the FASB issued ASU 2018-15,</w:t>
      </w:r>
      <w:r>
        <w:rPr>
          <w:rFonts w:ascii="Arial" w:cs="Arial" w:eastAsia="Arial" w:hAnsi="Arial"/>
          <w:sz w:val="14"/>
          <w:szCs w:val="14"/>
          <w:i w:val="1"/>
          <w:iCs w:val="1"/>
          <w:color w:val="auto"/>
        </w:rPr>
        <w:t xml:space="preserve"> Customer’s Accounting for Implementation Costs Incurred in a Cloud Computing Arrangement That Is a Service Contract, </w:t>
      </w:r>
      <w:r>
        <w:rPr>
          <w:rFonts w:ascii="Arial" w:cs="Arial" w:eastAsia="Arial" w:hAnsi="Arial"/>
          <w:sz w:val="14"/>
          <w:szCs w:val="14"/>
          <w:color w:val="auto"/>
        </w:rPr>
        <w:t>which aligns the requirements for capitalizing implementation costs incurred in a hosting arrangement that is a service contract with the requirements for capitalizing</w:t>
      </w:r>
      <w:r>
        <w:rPr>
          <w:rFonts w:ascii="Arial" w:cs="Arial" w:eastAsia="Arial" w:hAnsi="Arial"/>
          <w:sz w:val="14"/>
          <w:szCs w:val="14"/>
          <w:i w:val="1"/>
          <w:iCs w:val="1"/>
          <w:color w:val="auto"/>
        </w:rPr>
        <w:t xml:space="preserve"> </w:t>
      </w:r>
      <w:r>
        <w:rPr>
          <w:rFonts w:ascii="Arial" w:cs="Arial" w:eastAsia="Arial" w:hAnsi="Arial"/>
          <w:sz w:val="14"/>
          <w:szCs w:val="14"/>
          <w:color w:val="auto"/>
        </w:rPr>
        <w:t>implementation costs incurred to develop or obtain internal-use software. We early adopted ASU 2018-15 effective January 1, 2019, using the prospective method</w:t>
      </w:r>
      <w:r>
        <w:rPr>
          <w:rFonts w:ascii="Arial" w:cs="Arial" w:eastAsia="Arial" w:hAnsi="Arial"/>
          <w:sz w:val="15"/>
          <w:szCs w:val="15"/>
          <w:color w:val="auto"/>
        </w:rPr>
        <w:t>,</w:t>
      </w:r>
      <w:r>
        <w:rPr>
          <w:rFonts w:ascii="Arial" w:cs="Arial" w:eastAsia="Arial" w:hAnsi="Arial"/>
          <w:sz w:val="14"/>
          <w:szCs w:val="14"/>
          <w:color w:val="auto"/>
        </w:rPr>
        <w:t xml:space="preserve"> with no material impact to our financial condition, results of operations or cash flows. Adoption of this guidance may be significant to us in the future depending on the extent to which we use cloud computing arrangements that qualify as service contracts.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 Not Yet Adopted</w:t>
      </w:r>
    </w:p>
    <w:p>
      <w:pPr>
        <w:spacing w:after="0" w:line="186" w:lineRule="exact"/>
        <w:rPr>
          <w:sz w:val="20"/>
          <w:szCs w:val="20"/>
          <w:color w:val="auto"/>
        </w:rPr>
      </w:pPr>
    </w:p>
    <w:p>
      <w:pPr>
        <w:ind w:right="540"/>
        <w:spacing w:after="0" w:line="294" w:lineRule="auto"/>
        <w:rPr>
          <w:sz w:val="20"/>
          <w:szCs w:val="20"/>
          <w:color w:val="auto"/>
        </w:rPr>
      </w:pPr>
      <w:r>
        <w:rPr>
          <w:rFonts w:ascii="Arial" w:cs="Arial" w:eastAsia="Arial" w:hAnsi="Arial"/>
          <w:sz w:val="14"/>
          <w:szCs w:val="14"/>
          <w:i w:val="1"/>
          <w:iCs w:val="1"/>
          <w:color w:val="auto"/>
        </w:rPr>
        <w:t xml:space="preserve">Credit Losses. </w:t>
      </w:r>
      <w:r>
        <w:rPr>
          <w:rFonts w:ascii="Arial" w:cs="Arial" w:eastAsia="Arial" w:hAnsi="Arial"/>
          <w:sz w:val="14"/>
          <w:szCs w:val="14"/>
          <w:color w:val="auto"/>
        </w:rPr>
        <w:t>In June 2016, the FASB issued ASU 2016-13,</w:t>
      </w:r>
      <w:r>
        <w:rPr>
          <w:rFonts w:ascii="Arial" w:cs="Arial" w:eastAsia="Arial" w:hAnsi="Arial"/>
          <w:sz w:val="14"/>
          <w:szCs w:val="14"/>
          <w:i w:val="1"/>
          <w:iCs w:val="1"/>
          <w:color w:val="auto"/>
        </w:rPr>
        <w:t xml:space="preserve"> Financial Instruments - Credit Losses (Topic 326): Measurement of Credit Losses on Financial Instruments</w:t>
      </w:r>
      <w:r>
        <w:rPr>
          <w:rFonts w:ascii="Arial" w:cs="Arial" w:eastAsia="Arial" w:hAnsi="Arial"/>
          <w:sz w:val="14"/>
          <w:szCs w:val="14"/>
          <w:color w:val="auto"/>
        </w:rPr>
        <w:t>, as</w:t>
      </w:r>
      <w:r>
        <w:rPr>
          <w:rFonts w:ascii="Arial" w:cs="Arial" w:eastAsia="Arial" w:hAnsi="Arial"/>
          <w:sz w:val="14"/>
          <w:szCs w:val="14"/>
          <w:i w:val="1"/>
          <w:iCs w:val="1"/>
          <w:color w:val="auto"/>
        </w:rPr>
        <w:t xml:space="preserve"> </w:t>
      </w:r>
      <w:r>
        <w:rPr>
          <w:rFonts w:ascii="Arial" w:cs="Arial" w:eastAsia="Arial" w:hAnsi="Arial"/>
          <w:sz w:val="14"/>
          <w:szCs w:val="14"/>
          <w:color w:val="auto"/>
        </w:rPr>
        <w:t>modified by:</w:t>
      </w:r>
    </w:p>
    <w:p>
      <w:pPr>
        <w:spacing w:after="0" w:line="37" w:lineRule="exact"/>
        <w:rPr>
          <w:sz w:val="20"/>
          <w:szCs w:val="20"/>
          <w:color w:val="auto"/>
        </w:rPr>
      </w:pPr>
    </w:p>
    <w:p>
      <w:pPr>
        <w:ind w:left="520" w:hanging="255"/>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ASU 2018-19, </w:t>
      </w:r>
      <w:r>
        <w:rPr>
          <w:rFonts w:ascii="Arial" w:cs="Arial" w:eastAsia="Arial" w:hAnsi="Arial"/>
          <w:sz w:val="14"/>
          <w:szCs w:val="14"/>
          <w:i w:val="1"/>
          <w:iCs w:val="1"/>
          <w:color w:val="auto"/>
        </w:rPr>
        <w:t>Codification Improvements to Topic 326, Financial Instruments - Credit Losses</w:t>
      </w:r>
      <w:r>
        <w:rPr>
          <w:rFonts w:ascii="Arial" w:cs="Arial" w:eastAsia="Arial" w:hAnsi="Arial"/>
          <w:sz w:val="14"/>
          <w:szCs w:val="14"/>
          <w:color w:val="auto"/>
        </w:rPr>
        <w:t>;</w:t>
      </w:r>
    </w:p>
    <w:p>
      <w:pPr>
        <w:spacing w:after="0" w:line="25" w:lineRule="exact"/>
        <w:rPr>
          <w:rFonts w:ascii="Arial" w:cs="Arial" w:eastAsia="Arial" w:hAnsi="Arial"/>
          <w:sz w:val="14"/>
          <w:szCs w:val="14"/>
          <w:color w:val="auto"/>
        </w:rPr>
      </w:pPr>
    </w:p>
    <w:p>
      <w:pPr>
        <w:ind w:left="520" w:right="220" w:hanging="255"/>
        <w:spacing w:after="0" w:line="257"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ASU 2019-04, </w:t>
      </w:r>
      <w:r>
        <w:rPr>
          <w:rFonts w:ascii="Arial" w:cs="Arial" w:eastAsia="Arial" w:hAnsi="Arial"/>
          <w:sz w:val="14"/>
          <w:szCs w:val="14"/>
          <w:i w:val="1"/>
          <w:iCs w:val="1"/>
          <w:color w:val="auto"/>
        </w:rPr>
        <w:t>Codification Improvements to Topic 326, Financial Instruments - Credit Losses, Topic 815, Derivatives and Hedging, and Topic 825, Financial Instruments</w:t>
      </w:r>
      <w:r>
        <w:rPr>
          <w:rFonts w:ascii="Arial" w:cs="Arial" w:eastAsia="Arial" w:hAnsi="Arial"/>
          <w:sz w:val="14"/>
          <w:szCs w:val="14"/>
          <w:color w:val="auto"/>
        </w:rPr>
        <w:t>; and</w:t>
      </w:r>
    </w:p>
    <w:p>
      <w:pPr>
        <w:ind w:left="520" w:hanging="255"/>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ASU 2019-05, Financial Instruments - </w:t>
      </w:r>
      <w:r>
        <w:rPr>
          <w:rFonts w:ascii="Arial" w:cs="Arial" w:eastAsia="Arial" w:hAnsi="Arial"/>
          <w:sz w:val="14"/>
          <w:szCs w:val="14"/>
          <w:i w:val="1"/>
          <w:iCs w:val="1"/>
          <w:color w:val="auto"/>
        </w:rPr>
        <w:t>Credit Losses (Topic 326), Targeted Transition Relief</w:t>
      </w:r>
      <w:r>
        <w:rPr>
          <w:rFonts w:ascii="Arial" w:cs="Arial" w:eastAsia="Arial" w:hAnsi="Arial"/>
          <w:sz w:val="14"/>
          <w:szCs w:val="14"/>
          <w:color w:val="auto"/>
        </w:rPr>
        <w:t>.</w:t>
      </w:r>
    </w:p>
    <w:p>
      <w:pPr>
        <w:spacing w:after="0" w:line="98" w:lineRule="exact"/>
        <w:rPr>
          <w:sz w:val="20"/>
          <w:szCs w:val="20"/>
          <w:color w:val="auto"/>
        </w:rPr>
      </w:pPr>
    </w:p>
    <w:p>
      <w:pPr>
        <w:ind w:right="500"/>
        <w:spacing w:after="0" w:line="273" w:lineRule="auto"/>
        <w:rPr>
          <w:sz w:val="20"/>
          <w:szCs w:val="20"/>
          <w:color w:val="auto"/>
        </w:rPr>
      </w:pPr>
      <w:r>
        <w:rPr>
          <w:rFonts w:ascii="Arial" w:cs="Arial" w:eastAsia="Arial" w:hAnsi="Arial"/>
          <w:sz w:val="14"/>
          <w:szCs w:val="14"/>
          <w:color w:val="auto"/>
        </w:rPr>
        <w:t>This standard introduces a new current expected credit loss (“CECL”) model for measuring expected credits losses for certain types of financial instruments and replaces the incurred loss model. The CECL model requires</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12</w:t>
      </w:r>
    </w:p>
    <w:p>
      <w:pPr>
        <w:sectPr>
          <w:pgSz w:w="11900" w:h="16838" w:orient="portrait"/>
          <w:cols w:equalWidth="0" w:num="1">
            <w:col w:w="11460"/>
          </w:cols>
          <w:pgMar w:left="220" w:top="140" w:right="21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1"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companies to recognize an allowance for credit losses for the difference between the amortized cost basis of a financial instrument and the amount companies expect to collect over the instrument’s contractual life after consideration of historical experience, current conditions, and reasonable and supportable forecasts. This standard also introduces targeted changes to the available-for-sale (“AFS”) debt securities impairment model. ASU 2016-13 is effective beginning January 1, 2020, and must be adopted as a cumulative effect adjustment to retained earnings; early adoption is permitted.</w:t>
      </w:r>
    </w:p>
    <w:p>
      <w:pPr>
        <w:spacing w:after="0" w:line="159"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We have determined that the CECL model will apply primarily to “Receivables” and “Restricted investments” reported in our consolidated balance sheets. The AFS debt securities impairment model will apply to “Investments” reported in our consolidated balance sheets. We are currently evaluating the processes and controls necessary to adopt and implement ASU 2016-13, along with the effects the adoption will have on our consolidated results of operations and financial condition.</w:t>
      </w:r>
    </w:p>
    <w:p>
      <w:pPr>
        <w:spacing w:after="0" w:line="156" w:lineRule="exact"/>
        <w:rPr>
          <w:sz w:val="20"/>
          <w:szCs w:val="20"/>
          <w:color w:val="auto"/>
        </w:rPr>
      </w:pPr>
    </w:p>
    <w:p>
      <w:pPr>
        <w:jc w:val="both"/>
        <w:ind w:right="80"/>
        <w:spacing w:after="0" w:line="265" w:lineRule="auto"/>
        <w:rPr>
          <w:sz w:val="20"/>
          <w:szCs w:val="20"/>
          <w:color w:val="auto"/>
        </w:rPr>
      </w:pPr>
      <w:r>
        <w:rPr>
          <w:rFonts w:ascii="Arial" w:cs="Arial" w:eastAsia="Arial" w:hAnsi="Arial"/>
          <w:sz w:val="14"/>
          <w:szCs w:val="14"/>
          <w:color w:val="auto"/>
        </w:rPr>
        <w:t>Other recent accounting pronouncements issued by the FASB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828282"/>
        </w:rPr>
        <w:t>3. Net Income per Share</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calculation of net income per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160" w:type="dxa"/>
            <w:vAlign w:val="bottom"/>
          </w:tcPr>
          <w:p>
            <w:pPr>
              <w:spacing w:after="0"/>
              <w:rPr>
                <w:sz w:val="13"/>
                <w:szCs w:val="13"/>
                <w:color w:val="auto"/>
              </w:rPr>
            </w:pPr>
          </w:p>
        </w:tc>
        <w:tc>
          <w:tcPr>
            <w:tcW w:w="3240" w:type="dxa"/>
            <w:vAlign w:val="bottom"/>
            <w:gridSpan w:val="6"/>
          </w:tcPr>
          <w:p>
            <w:pPr>
              <w:ind w:left="760"/>
              <w:spacing w:after="0"/>
              <w:rPr>
                <w:sz w:val="20"/>
                <w:szCs w:val="20"/>
                <w:color w:val="auto"/>
              </w:rPr>
            </w:pPr>
            <w:r>
              <w:rPr>
                <w:rFonts w:ascii="Arial" w:cs="Arial" w:eastAsia="Arial" w:hAnsi="Arial"/>
                <w:sz w:val="11"/>
                <w:szCs w:val="11"/>
                <w:b w:val="1"/>
                <w:bCs w:val="1"/>
                <w:color w:val="auto"/>
              </w:rPr>
              <w:t>Three Months Ended June 30,</w:t>
            </w:r>
          </w:p>
        </w:tc>
        <w:tc>
          <w:tcPr>
            <w:tcW w:w="360" w:type="dxa"/>
            <w:vAlign w:val="bottom"/>
          </w:tcPr>
          <w:p>
            <w:pPr>
              <w:spacing w:after="0"/>
              <w:rPr>
                <w:sz w:val="13"/>
                <w:szCs w:val="13"/>
                <w:color w:val="auto"/>
              </w:rPr>
            </w:pPr>
          </w:p>
        </w:tc>
        <w:tc>
          <w:tcPr>
            <w:tcW w:w="2700" w:type="dxa"/>
            <w:vAlign w:val="bottom"/>
            <w:gridSpan w:val="4"/>
          </w:tcPr>
          <w:p>
            <w:pPr>
              <w:jc w:val="right"/>
              <w:ind w:right="716"/>
              <w:spacing w:after="0"/>
              <w:rPr>
                <w:sz w:val="20"/>
                <w:szCs w:val="20"/>
                <w:color w:val="auto"/>
              </w:rPr>
            </w:pPr>
            <w:r>
              <w:rPr>
                <w:rFonts w:ascii="Arial" w:cs="Arial" w:eastAsia="Arial" w:hAnsi="Arial"/>
                <w:sz w:val="11"/>
                <w:szCs w:val="11"/>
                <w:b w:val="1"/>
                <w:bCs w:val="1"/>
                <w:color w:val="auto"/>
              </w:rPr>
              <w:t>Six Months Ended June 30,</w:t>
            </w:r>
          </w:p>
        </w:tc>
      </w:tr>
      <w:tr>
        <w:trPr>
          <w:trHeight w:val="206"/>
        </w:trPr>
        <w:tc>
          <w:tcPr>
            <w:tcW w:w="516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1"/>
                <w:szCs w:val="11"/>
                <w:b w:val="1"/>
                <w:bCs w:val="1"/>
                <w:color w:val="auto"/>
              </w:rPr>
              <w:t>2019</w:t>
            </w:r>
          </w:p>
        </w:tc>
        <w:tc>
          <w:tcPr>
            <w:tcW w:w="4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2018</w:t>
            </w:r>
          </w:p>
        </w:tc>
      </w:tr>
      <w:tr>
        <w:trPr>
          <w:trHeight w:val="163"/>
        </w:trPr>
        <w:tc>
          <w:tcPr>
            <w:tcW w:w="5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5"/>
          </w:tcPr>
          <w:p>
            <w:pPr>
              <w:ind w:left="160"/>
              <w:spacing w:after="0"/>
              <w:rPr>
                <w:sz w:val="20"/>
                <w:szCs w:val="20"/>
                <w:color w:val="auto"/>
              </w:rPr>
            </w:pPr>
            <w:r>
              <w:rPr>
                <w:rFonts w:ascii="Arial" w:cs="Arial" w:eastAsia="Arial" w:hAnsi="Arial"/>
                <w:sz w:val="11"/>
                <w:szCs w:val="11"/>
                <w:b w:val="1"/>
                <w:bCs w:val="1"/>
                <w:color w:val="auto"/>
              </w:rPr>
              <w:t>(In millions, except net income per share)</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Numerator:</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2"/>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w:t>
            </w:r>
          </w:p>
        </w:tc>
        <w:tc>
          <w:tcPr>
            <w:tcW w:w="1020" w:type="dxa"/>
            <w:vAlign w:val="bottom"/>
            <w:tcBorders>
              <w:bottom w:val="single" w:sz="8" w:color="auto"/>
            </w:tcBorders>
          </w:tcPr>
          <w:p>
            <w:pPr>
              <w:jc w:val="right"/>
              <w:ind w:right="858"/>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196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202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394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309</w:t>
            </w:r>
          </w:p>
        </w:tc>
      </w:tr>
      <w:tr>
        <w:trPr>
          <w:trHeight w:val="19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Denominator:</w:t>
            </w: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Shares outstanding at the beginning of the period</w:t>
            </w:r>
          </w:p>
        </w:tc>
        <w:tc>
          <w:tcPr>
            <w:tcW w:w="1020" w:type="dxa"/>
            <w:vAlign w:val="bottom"/>
          </w:tcPr>
          <w:p>
            <w:pPr>
              <w:spacing w:after="0"/>
              <w:rPr>
                <w:sz w:val="18"/>
                <w:szCs w:val="18"/>
                <w:color w:val="auto"/>
              </w:rPr>
            </w:pPr>
          </w:p>
        </w:tc>
        <w:tc>
          <w:tcPr>
            <w:tcW w:w="480" w:type="dxa"/>
            <w:vAlign w:val="bottom"/>
          </w:tcPr>
          <w:p>
            <w:pPr>
              <w:jc w:val="right"/>
              <w:ind w:right="55"/>
              <w:spacing w:after="0"/>
              <w:rPr>
                <w:sz w:val="20"/>
                <w:szCs w:val="20"/>
                <w:color w:val="auto"/>
              </w:rPr>
            </w:pPr>
            <w:r>
              <w:rPr>
                <w:rFonts w:ascii="Arial" w:cs="Arial" w:eastAsia="Arial" w:hAnsi="Arial"/>
                <w:sz w:val="13"/>
                <w:szCs w:val="13"/>
                <w:color w:val="auto"/>
              </w:rPr>
              <w:t>62.1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56"/>
              <w:spacing w:after="0"/>
              <w:rPr>
                <w:sz w:val="20"/>
                <w:szCs w:val="20"/>
                <w:color w:val="auto"/>
              </w:rPr>
            </w:pPr>
            <w:r>
              <w:rPr>
                <w:rFonts w:ascii="Arial" w:cs="Arial" w:eastAsia="Arial" w:hAnsi="Arial"/>
                <w:sz w:val="13"/>
                <w:szCs w:val="13"/>
                <w:color w:val="auto"/>
              </w:rPr>
              <w:t>61.2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62.1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59.3</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number of shares issued:</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8"/>
        </w:trPr>
        <w:tc>
          <w:tcPr>
            <w:tcW w:w="5160" w:type="dxa"/>
            <w:vAlign w:val="bottom"/>
          </w:tcPr>
          <w:p>
            <w:pPr>
              <w:ind w:left="140"/>
              <w:spacing w:after="0"/>
              <w:rPr>
                <w:sz w:val="20"/>
                <w:szCs w:val="20"/>
                <w:color w:val="auto"/>
              </w:rPr>
            </w:pPr>
            <w:r>
              <w:rPr>
                <w:rFonts w:ascii="Arial" w:cs="Arial" w:eastAsia="Arial" w:hAnsi="Arial"/>
                <w:sz w:val="13"/>
                <w:szCs w:val="13"/>
                <w:color w:val="auto"/>
              </w:rPr>
              <w:t>Exchange of 1.625% Convertible Notes</w:t>
            </w:r>
          </w:p>
        </w:tc>
        <w:tc>
          <w:tcPr>
            <w:tcW w:w="102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1.1</w:t>
            </w: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0.1</w:t>
            </w:r>
          </w:p>
        </w:tc>
      </w:tr>
      <w:tr>
        <w:trPr>
          <w:trHeight w:val="196"/>
        </w:trPr>
        <w:tc>
          <w:tcPr>
            <w:tcW w:w="5160" w:type="dxa"/>
            <w:vAlign w:val="bottom"/>
          </w:tcPr>
          <w:p>
            <w:pPr>
              <w:ind w:left="20"/>
              <w:spacing w:after="0"/>
              <w:rPr>
                <w:sz w:val="20"/>
                <w:szCs w:val="20"/>
                <w:color w:val="auto"/>
              </w:rPr>
            </w:pPr>
            <w:r>
              <w:rPr>
                <w:rFonts w:ascii="Arial" w:cs="Arial" w:eastAsia="Arial" w:hAnsi="Arial"/>
                <w:sz w:val="13"/>
                <w:szCs w:val="13"/>
                <w:color w:val="auto"/>
              </w:rPr>
              <w:t>Denominator for net income per share, basic</w:t>
            </w:r>
          </w:p>
        </w:tc>
        <w:tc>
          <w:tcPr>
            <w:tcW w:w="10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62.1</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61.2</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62.1</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60.5</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dilutive securities:</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3"/>
                <w:szCs w:val="13"/>
                <w:color w:val="auto"/>
              </w:rPr>
              <w:t xml:space="preserve">1.125% Warrants </w:t>
            </w:r>
            <w:r>
              <w:rPr>
                <w:rFonts w:ascii="Arial" w:cs="Arial" w:eastAsia="Arial" w:hAnsi="Arial"/>
                <w:sz w:val="17"/>
                <w:szCs w:val="17"/>
                <w:color w:val="auto"/>
                <w:vertAlign w:val="superscript"/>
              </w:rPr>
              <w:t>(1)</w:t>
            </w:r>
          </w:p>
        </w:tc>
        <w:tc>
          <w:tcPr>
            <w:tcW w:w="1020" w:type="dxa"/>
            <w:vAlign w:val="bottom"/>
          </w:tcPr>
          <w:p>
            <w:pPr>
              <w:spacing w:after="0"/>
              <w:rPr>
                <w:sz w:val="18"/>
                <w:szCs w:val="18"/>
                <w:color w:val="auto"/>
              </w:rPr>
            </w:pPr>
          </w:p>
        </w:tc>
        <w:tc>
          <w:tcPr>
            <w:tcW w:w="480" w:type="dxa"/>
            <w:vAlign w:val="bottom"/>
          </w:tcPr>
          <w:p>
            <w:pPr>
              <w:jc w:val="right"/>
              <w:ind w:right="55"/>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56"/>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4.8</w:t>
            </w: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1.625% Convertible Notes</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0.5</w:t>
            </w:r>
          </w:p>
        </w:tc>
      </w:tr>
      <w:tr>
        <w:trPr>
          <w:trHeight w:val="208"/>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Stock-based compensation</w:t>
            </w: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0.6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0.2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0.6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0.2</w:t>
            </w:r>
          </w:p>
        </w:tc>
      </w:tr>
      <w:tr>
        <w:trPr>
          <w:trHeight w:val="19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Denominator for net income per share, diluted</w:t>
            </w:r>
          </w:p>
        </w:tc>
        <w:tc>
          <w:tcPr>
            <w:tcW w:w="10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64.0</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66.7</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65.1</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66.0</w:t>
            </w:r>
          </w:p>
        </w:tc>
      </w:tr>
      <w:tr>
        <w:trPr>
          <w:trHeight w:val="20"/>
        </w:trPr>
        <w:tc>
          <w:tcPr>
            <w:tcW w:w="5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4"/>
        </w:trPr>
        <w:tc>
          <w:tcPr>
            <w:tcW w:w="5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Net income per share: </w:t>
            </w:r>
            <w:r>
              <w:rPr>
                <w:rFonts w:ascii="Arial" w:cs="Arial" w:eastAsia="Arial" w:hAnsi="Arial"/>
                <w:sz w:val="17"/>
                <w:szCs w:val="17"/>
                <w:color w:val="auto"/>
                <w:vertAlign w:val="superscript"/>
              </w:rPr>
              <w:t>(2)</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2"/>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Basic</w:t>
            </w:r>
          </w:p>
        </w:tc>
        <w:tc>
          <w:tcPr>
            <w:tcW w:w="1020" w:type="dxa"/>
            <w:vAlign w:val="bottom"/>
            <w:tcBorders>
              <w:bottom w:val="single" w:sz="8" w:color="auto"/>
            </w:tcBorders>
          </w:tcPr>
          <w:p>
            <w:pPr>
              <w:jc w:val="right"/>
              <w:ind w:right="858"/>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3.15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3.29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6.34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5.10</w:t>
            </w:r>
          </w:p>
        </w:tc>
      </w:tr>
      <w:tr>
        <w:trPr>
          <w:trHeight w:val="16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020" w:type="dxa"/>
            <w:vAlign w:val="bottom"/>
            <w:tcBorders>
              <w:bottom w:val="single" w:sz="8" w:color="auto"/>
            </w:tcBorders>
            <w:shd w:val="clear" w:color="auto" w:fill="CCEEFF"/>
          </w:tcPr>
          <w:p>
            <w:pPr>
              <w:jc w:val="right"/>
              <w:ind w:right="858"/>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3.06</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3.02</w:t>
            </w: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6.04</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4.68</w:t>
            </w:r>
          </w:p>
        </w:tc>
      </w:tr>
      <w:tr>
        <w:trPr>
          <w:trHeight w:val="20"/>
        </w:trPr>
        <w:tc>
          <w:tcPr>
            <w:tcW w:w="5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4"/>
        </w:trPr>
        <w:tc>
          <w:tcPr>
            <w:tcW w:w="5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Potentially dilutive common shares excluded from calculations: </w:t>
            </w:r>
            <w:r>
              <w:rPr>
                <w:rFonts w:ascii="Arial" w:cs="Arial" w:eastAsia="Arial" w:hAnsi="Arial"/>
                <w:sz w:val="17"/>
                <w:szCs w:val="17"/>
                <w:color w:val="auto"/>
                <w:vertAlign w:val="superscript"/>
              </w:rPr>
              <w:t>(1)</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0"/>
        </w:trPr>
        <w:tc>
          <w:tcPr>
            <w:tcW w:w="516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102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1240" w:type="dxa"/>
            <w:vAlign w:val="bottom"/>
          </w:tcPr>
          <w:p>
            <w:pPr>
              <w:jc w:val="right"/>
              <w:ind w:right="56"/>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7"/>
                <w:szCs w:val="17"/>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0.4</w:t>
            </w:r>
          </w:p>
        </w:tc>
      </w:tr>
      <w:tr>
        <w:trPr>
          <w:trHeight w:val="187"/>
        </w:trPr>
        <w:tc>
          <w:tcPr>
            <w:tcW w:w="5160" w:type="dxa"/>
            <w:vAlign w:val="bottom"/>
          </w:tcPr>
          <w:p>
            <w:pPr>
              <w:spacing w:after="0"/>
              <w:rPr>
                <w:sz w:val="20"/>
                <w:szCs w:val="20"/>
                <w:color w:val="auto"/>
              </w:rPr>
            </w:pPr>
            <w:r>
              <w:rPr>
                <w:rFonts w:ascii="Arial" w:cs="Arial" w:eastAsia="Arial" w:hAnsi="Arial"/>
                <w:sz w:val="14"/>
                <w:szCs w:val="14"/>
                <w:color w:val="auto"/>
              </w:rPr>
              <w:t>______________________________</w:t>
            </w: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110" w:lineRule="exact"/>
        <w:rPr>
          <w:sz w:val="20"/>
          <w:szCs w:val="20"/>
          <w:color w:val="auto"/>
        </w:rPr>
      </w:pPr>
    </w:p>
    <w:p>
      <w:pPr>
        <w:ind w:left="260" w:right="20" w:hanging="254"/>
        <w:spacing w:after="0" w:line="246" w:lineRule="auto"/>
        <w:tabs>
          <w:tab w:leader="none" w:pos="260" w:val="left"/>
        </w:tabs>
        <w:numPr>
          <w:ilvl w:val="0"/>
          <w:numId w:val="6"/>
        </w:numPr>
        <w:rPr>
          <w:rFonts w:ascii="Arial" w:cs="Arial" w:eastAsia="Arial" w:hAnsi="Arial"/>
          <w:sz w:val="13"/>
          <w:szCs w:val="13"/>
          <w:color w:val="auto"/>
        </w:rPr>
      </w:pPr>
      <w:r>
        <w:rPr>
          <w:rFonts w:ascii="Arial" w:cs="Arial" w:eastAsia="Arial" w:hAnsi="Arial"/>
          <w:sz w:val="13"/>
          <w:szCs w:val="13"/>
          <w:color w:val="auto"/>
        </w:rPr>
        <w:t>For more information and definitions regarding the 1.125% Warrants, including partial termination transactions, refer to Note 9, “Stockholders' Equity.” The dilutive effect of all potentially dilutive common shares is calculated using the treasury stock method. Certain potentially dilutive common shares issuable were not included in the computation of diluted net income per share because to do so would have been anti-dilutive.</w:t>
      </w:r>
    </w:p>
    <w:p>
      <w:pPr>
        <w:spacing w:after="0" w:line="36" w:lineRule="exact"/>
        <w:rPr>
          <w:rFonts w:ascii="Arial" w:cs="Arial" w:eastAsia="Arial" w:hAnsi="Arial"/>
          <w:sz w:val="13"/>
          <w:szCs w:val="13"/>
          <w:color w:val="auto"/>
        </w:rPr>
      </w:pPr>
    </w:p>
    <w:p>
      <w:pPr>
        <w:ind w:left="260" w:hanging="254"/>
        <w:spacing w:after="0"/>
        <w:tabs>
          <w:tab w:leader="none" w:pos="260" w:val="left"/>
        </w:tabs>
        <w:numPr>
          <w:ilvl w:val="0"/>
          <w:numId w:val="6"/>
        </w:numPr>
        <w:rPr>
          <w:rFonts w:ascii="Arial" w:cs="Arial" w:eastAsia="Arial" w:hAnsi="Arial"/>
          <w:sz w:val="13"/>
          <w:szCs w:val="13"/>
          <w:color w:val="auto"/>
        </w:rPr>
      </w:pPr>
      <w:r>
        <w:rPr>
          <w:rFonts w:ascii="Arial" w:cs="Arial" w:eastAsia="Arial" w:hAnsi="Arial"/>
          <w:sz w:val="13"/>
          <w:szCs w:val="13"/>
          <w:color w:val="auto"/>
        </w:rPr>
        <w:t>Source data for calculations in thousands.</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13</w:t>
      </w:r>
    </w:p>
    <w:p>
      <w:pPr>
        <w:sectPr>
          <w:pgSz w:w="11900" w:h="16838" w:orient="portrait"/>
          <w:cols w:equalWidth="0" w:num="1">
            <w:col w:w="11460"/>
          </w:cols>
          <w:pgMar w:left="220" w:top="140" w:right="21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828282"/>
        </w:rPr>
        <w:t>4. Fair Value Measurements</w:t>
      </w:r>
    </w:p>
    <w:p>
      <w:pPr>
        <w:spacing w:after="0" w:line="178"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We consider the carrying amounts of current assets and current liabilities (not including derivatives and the current portion of long-term debt)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that we use to a) estimate the fair value; and b) determine the classification according to the fair value hierarchy for each financial instrument, see Note 4, “Fair Value Measurements,” in our 2018 Annual Report on Form 10-K.</w:t>
      </w:r>
    </w:p>
    <w:p>
      <w:pPr>
        <w:spacing w:after="0" w:line="73"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Derivative financial instruments include the 1.125% Call Option derivative asset and the 1.125% Conversion Option derivative liability (see Note 8 “Derivatives,” for definitions and further information). These derivatives are not actively traded and are valued based on an option pricing model that uses observable and unobservable market data for inputs. Significant market data inputs used to determine fair value as of June 30, 2019, included the price of our common stock, the time to maturity of the derivative instruments, the risk-free interest rate, and the implied volatility of our common stock. The 1.125% Call Option derivative asset and the 1.125% Conversion Option derivative liability were designed such that changes in their fair values would offset, with minimal impact to the consolidated statements of income. Therefore, the sensitivity of changes in the unobservable inputs to the option pricing model for such derivative instruments is mitigated.</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The net changes in fair value of Level 3 financial instruments were insignificant to our results of operations for the six months ended June 30, 2019.</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Our financial instruments measured at fair value on a recurring basis at June 30, 2019,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Directly or Indirectly</w:t>
            </w: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29"/>
        </w:trPr>
        <w:tc>
          <w:tcPr>
            <w:tcW w:w="5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rPr>
              <w:t>Observable Inputs (Level</w:t>
            </w:r>
          </w:p>
        </w:tc>
        <w:tc>
          <w:tcPr>
            <w:tcW w:w="120" w:type="dxa"/>
            <w:vAlign w:val="bottom"/>
          </w:tcPr>
          <w:p>
            <w:pPr>
              <w:spacing w:after="0"/>
              <w:rPr>
                <w:sz w:val="11"/>
                <w:szCs w:val="11"/>
                <w:color w:val="auto"/>
              </w:rPr>
            </w:pPr>
          </w:p>
        </w:tc>
        <w:tc>
          <w:tcPr>
            <w:tcW w:w="1340" w:type="dxa"/>
            <w:vAlign w:val="bottom"/>
          </w:tcPr>
          <w:p>
            <w:pPr>
              <w:jc w:val="right"/>
              <w:ind w:right="96"/>
              <w:spacing w:after="0"/>
              <w:rPr>
                <w:sz w:val="20"/>
                <w:szCs w:val="20"/>
                <w:color w:val="auto"/>
              </w:rPr>
            </w:pPr>
            <w:r>
              <w:rPr>
                <w:rFonts w:ascii="Arial" w:cs="Arial" w:eastAsia="Arial" w:hAnsi="Arial"/>
                <w:sz w:val="11"/>
                <w:szCs w:val="11"/>
                <w:b w:val="1"/>
                <w:bCs w:val="1"/>
                <w:color w:val="auto"/>
              </w:rPr>
              <w:t>Unobservable Inputs</w:t>
            </w:r>
          </w:p>
        </w:tc>
      </w:tr>
      <w:tr>
        <w:trPr>
          <w:trHeight w:val="157"/>
        </w:trPr>
        <w:tc>
          <w:tcPr>
            <w:tcW w:w="5040" w:type="dxa"/>
            <w:vAlign w:val="bottom"/>
          </w:tcPr>
          <w:p>
            <w:pPr>
              <w:spacing w:after="0"/>
              <w:rPr>
                <w:sz w:val="13"/>
                <w:szCs w:val="13"/>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1"/>
                <w:szCs w:val="11"/>
                <w:b w:val="1"/>
                <w:bCs w:val="1"/>
                <w:color w:val="auto"/>
              </w:rPr>
              <w:t>Total</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Observable Inputs (Level 1)</w:t>
            </w: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96"/>
              <w:spacing w:after="0"/>
              <w:rPr>
                <w:sz w:val="20"/>
                <w:szCs w:val="20"/>
                <w:color w:val="auto"/>
              </w:rPr>
            </w:pPr>
            <w:r>
              <w:rPr>
                <w:rFonts w:ascii="Arial" w:cs="Arial" w:eastAsia="Arial" w:hAnsi="Arial"/>
                <w:sz w:val="11"/>
                <w:szCs w:val="11"/>
                <w:b w:val="1"/>
                <w:bCs w:val="1"/>
                <w:color w:val="auto"/>
              </w:rPr>
              <w:t>2)</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(Level 3)</w:t>
            </w:r>
          </w:p>
        </w:tc>
      </w:tr>
      <w:tr>
        <w:trPr>
          <w:trHeight w:val="163"/>
        </w:trPr>
        <w:tc>
          <w:tcPr>
            <w:tcW w:w="5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gridSpan w:val="3"/>
          </w:tcPr>
          <w:p>
            <w:pPr>
              <w:ind w:left="580"/>
              <w:spacing w:after="0"/>
              <w:rPr>
                <w:sz w:val="20"/>
                <w:szCs w:val="20"/>
                <w:color w:val="auto"/>
              </w:rPr>
            </w:pPr>
            <w:r>
              <w:rPr>
                <w:rFonts w:ascii="Arial" w:cs="Arial" w:eastAsia="Arial" w:hAnsi="Arial"/>
                <w:sz w:val="11"/>
                <w:szCs w:val="11"/>
                <w:b w:val="1"/>
                <w:bCs w:val="1"/>
                <w:color w:val="auto"/>
              </w:rPr>
              <w:t>(In millions)</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0"/>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980" w:type="dxa"/>
            <w:vAlign w:val="bottom"/>
            <w:shd w:val="clear" w:color="auto" w:fill="CCEEFF"/>
          </w:tcPr>
          <w:p>
            <w:pPr>
              <w:jc w:val="right"/>
              <w:ind w:right="817"/>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1,297</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37"/>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1,297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08"/>
        </w:trPr>
        <w:tc>
          <w:tcPr>
            <w:tcW w:w="504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980" w:type="dxa"/>
            <w:vAlign w:val="bottom"/>
          </w:tcPr>
          <w:p>
            <w:pPr>
              <w:spacing w:after="0"/>
              <w:rPr>
                <w:sz w:val="18"/>
                <w:szCs w:val="18"/>
                <w:color w:val="auto"/>
              </w:rPr>
            </w:pP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249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1300" w:type="dxa"/>
            <w:vAlign w:val="bottom"/>
          </w:tcPr>
          <w:p>
            <w:pPr>
              <w:jc w:val="right"/>
              <w:ind w:right="36"/>
              <w:spacing w:after="0"/>
              <w:rPr>
                <w:sz w:val="20"/>
                <w:szCs w:val="20"/>
                <w:color w:val="auto"/>
              </w:rPr>
            </w:pPr>
            <w:r>
              <w:rPr>
                <w:rFonts w:ascii="Arial" w:cs="Arial" w:eastAsia="Arial" w:hAnsi="Arial"/>
                <w:sz w:val="13"/>
                <w:szCs w:val="13"/>
                <w:color w:val="auto"/>
              </w:rPr>
              <w:t>249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161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08"/>
        </w:trPr>
        <w:tc>
          <w:tcPr>
            <w:tcW w:w="5040" w:type="dxa"/>
            <w:vAlign w:val="bottom"/>
          </w:tcPr>
          <w:p>
            <w:pPr>
              <w:ind w:left="20"/>
              <w:spacing w:after="0"/>
              <w:rPr>
                <w:sz w:val="20"/>
                <w:szCs w:val="20"/>
                <w:color w:val="auto"/>
              </w:rPr>
            </w:pPr>
            <w:r>
              <w:rPr>
                <w:rFonts w:ascii="Arial" w:cs="Arial" w:eastAsia="Arial" w:hAnsi="Arial"/>
                <w:sz w:val="13"/>
                <w:szCs w:val="13"/>
                <w:color w:val="auto"/>
              </w:rPr>
              <w:t>Government-sponsored enterprise securities (“GSEs”)</w:t>
            </w:r>
          </w:p>
        </w:tc>
        <w:tc>
          <w:tcPr>
            <w:tcW w:w="980" w:type="dxa"/>
            <w:vAlign w:val="bottom"/>
          </w:tcPr>
          <w:p>
            <w:pPr>
              <w:spacing w:after="0"/>
              <w:rPr>
                <w:sz w:val="18"/>
                <w:szCs w:val="18"/>
                <w:color w:val="auto"/>
              </w:rPr>
            </w:pP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159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1300" w:type="dxa"/>
            <w:vAlign w:val="bottom"/>
          </w:tcPr>
          <w:p>
            <w:pPr>
              <w:jc w:val="right"/>
              <w:ind w:right="36"/>
              <w:spacing w:after="0"/>
              <w:rPr>
                <w:sz w:val="20"/>
                <w:szCs w:val="20"/>
                <w:color w:val="auto"/>
              </w:rPr>
            </w:pPr>
            <w:r>
              <w:rPr>
                <w:rFonts w:ascii="Arial" w:cs="Arial" w:eastAsia="Arial" w:hAnsi="Arial"/>
                <w:sz w:val="13"/>
                <w:szCs w:val="13"/>
                <w:color w:val="auto"/>
              </w:rPr>
              <w:t>159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Municipal securities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08"/>
        </w:trPr>
        <w:tc>
          <w:tcPr>
            <w:tcW w:w="5040" w:type="dxa"/>
            <w:vAlign w:val="bottom"/>
          </w:tcPr>
          <w:p>
            <w:pPr>
              <w:ind w:left="20"/>
              <w:spacing w:after="0"/>
              <w:rPr>
                <w:sz w:val="20"/>
                <w:szCs w:val="20"/>
                <w:color w:val="auto"/>
              </w:rPr>
            </w:pPr>
            <w:r>
              <w:rPr>
                <w:rFonts w:ascii="Arial" w:cs="Arial" w:eastAsia="Arial" w:hAnsi="Arial"/>
                <w:sz w:val="13"/>
                <w:szCs w:val="13"/>
                <w:color w:val="auto"/>
              </w:rPr>
              <w:t>U.S. Treasury notes</w:t>
            </w:r>
          </w:p>
        </w:tc>
        <w:tc>
          <w:tcPr>
            <w:tcW w:w="980" w:type="dxa"/>
            <w:vAlign w:val="bottom"/>
          </w:tcPr>
          <w:p>
            <w:pPr>
              <w:spacing w:after="0"/>
              <w:rPr>
                <w:sz w:val="18"/>
                <w:szCs w:val="18"/>
                <w:color w:val="auto"/>
              </w:rPr>
            </w:pP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87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1300" w:type="dxa"/>
            <w:vAlign w:val="bottom"/>
          </w:tcPr>
          <w:p>
            <w:pPr>
              <w:jc w:val="right"/>
              <w:ind w:right="36"/>
              <w:spacing w:after="0"/>
              <w:rPr>
                <w:sz w:val="20"/>
                <w:szCs w:val="20"/>
                <w:color w:val="auto"/>
              </w:rPr>
            </w:pPr>
            <w:r>
              <w:rPr>
                <w:rFonts w:ascii="Arial" w:cs="Arial" w:eastAsia="Arial" w:hAnsi="Arial"/>
                <w:sz w:val="13"/>
                <w:szCs w:val="13"/>
                <w:color w:val="auto"/>
              </w:rPr>
              <w:t>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Certificate of deposit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08"/>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r>
      <w:tr>
        <w:trPr>
          <w:trHeight w:val="203"/>
        </w:trPr>
        <w:tc>
          <w:tcPr>
            <w:tcW w:w="5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Subtotal - current investments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2,070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2,070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08"/>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1.125% Call Option derivative asset</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169</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169</w:t>
            </w:r>
          </w:p>
        </w:tc>
      </w:tr>
      <w:tr>
        <w:trPr>
          <w:trHeight w:val="190"/>
        </w:trPr>
        <w:tc>
          <w:tcPr>
            <w:tcW w:w="5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assets</w:t>
            </w:r>
          </w:p>
        </w:tc>
        <w:tc>
          <w:tcPr>
            <w:tcW w:w="980" w:type="dxa"/>
            <w:vAlign w:val="bottom"/>
            <w:shd w:val="clear" w:color="auto" w:fill="CCEEFF"/>
          </w:tcPr>
          <w:p>
            <w:pPr>
              <w:jc w:val="right"/>
              <w:ind w:right="817"/>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2,239</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37"/>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2,070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169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5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8"/>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1.125% Conversion Option derivative liability</w:t>
            </w:r>
          </w:p>
        </w:tc>
        <w:tc>
          <w:tcPr>
            <w:tcW w:w="98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169</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3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169</w:t>
            </w:r>
          </w:p>
        </w:tc>
      </w:tr>
      <w:tr>
        <w:trPr>
          <w:trHeight w:val="190"/>
        </w:trPr>
        <w:tc>
          <w:tcPr>
            <w:tcW w:w="5040" w:type="dxa"/>
            <w:vAlign w:val="bottom"/>
          </w:tcPr>
          <w:p>
            <w:pPr>
              <w:ind w:left="220"/>
              <w:spacing w:after="0"/>
              <w:rPr>
                <w:sz w:val="20"/>
                <w:szCs w:val="20"/>
                <w:color w:val="auto"/>
              </w:rPr>
            </w:pPr>
            <w:r>
              <w:rPr>
                <w:rFonts w:ascii="Arial" w:cs="Arial" w:eastAsia="Arial" w:hAnsi="Arial"/>
                <w:sz w:val="13"/>
                <w:szCs w:val="13"/>
                <w:color w:val="auto"/>
              </w:rPr>
              <w:t>Total liabilities</w:t>
            </w:r>
          </w:p>
        </w:tc>
        <w:tc>
          <w:tcPr>
            <w:tcW w:w="980" w:type="dxa"/>
            <w:vAlign w:val="bottom"/>
          </w:tcPr>
          <w:p>
            <w:pPr>
              <w:jc w:val="right"/>
              <w:ind w:right="817"/>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169</w:t>
            </w:r>
          </w:p>
        </w:tc>
        <w:tc>
          <w:tcPr>
            <w:tcW w:w="120" w:type="dxa"/>
            <w:vAlign w:val="bottom"/>
          </w:tcPr>
          <w:p>
            <w:pPr>
              <w:spacing w:after="0"/>
              <w:rPr>
                <w:sz w:val="16"/>
                <w:szCs w:val="16"/>
                <w:color w:val="auto"/>
              </w:rPr>
            </w:pPr>
          </w:p>
        </w:tc>
        <w:tc>
          <w:tcPr>
            <w:tcW w:w="700" w:type="dxa"/>
            <w:vAlign w:val="bottom"/>
          </w:tcPr>
          <w:p>
            <w:pPr>
              <w:jc w:val="right"/>
              <w:ind w:right="537"/>
              <w:spacing w:after="0"/>
              <w:rPr>
                <w:sz w:val="20"/>
                <w:szCs w:val="20"/>
                <w:color w:val="auto"/>
              </w:rPr>
            </w:pPr>
            <w:r>
              <w:rPr>
                <w:rFonts w:ascii="Arial" w:cs="Arial" w:eastAsia="Arial" w:hAnsi="Arial"/>
                <w:sz w:val="13"/>
                <w:szCs w:val="13"/>
                <w:color w:val="auto"/>
              </w:rPr>
              <w:t>$</w:t>
            </w:r>
          </w:p>
        </w:tc>
        <w:tc>
          <w:tcPr>
            <w:tcW w:w="104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ind w:right="36"/>
              <w:spacing w:after="0"/>
              <w:rPr>
                <w:sz w:val="20"/>
                <w:szCs w:val="20"/>
                <w:color w:val="auto"/>
              </w:rPr>
            </w:pPr>
            <w:r>
              <w:rPr>
                <w:rFonts w:ascii="Arial" w:cs="Arial" w:eastAsia="Arial" w:hAnsi="Arial"/>
                <w:sz w:val="13"/>
                <w:szCs w:val="13"/>
                <w:color w:val="auto"/>
              </w:rPr>
              <w:t>169</w:t>
            </w:r>
          </w:p>
        </w:tc>
      </w:tr>
      <w:tr>
        <w:trPr>
          <w:trHeight w:val="20"/>
        </w:trPr>
        <w:tc>
          <w:tcPr>
            <w:tcW w:w="50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14</w:t>
      </w:r>
    </w:p>
    <w:p>
      <w:pPr>
        <w:sectPr>
          <w:pgSz w:w="11900" w:h="16838" w:orient="portrait"/>
          <w:cols w:equalWidth="0" w:num="1">
            <w:col w:w="11460"/>
          </w:cols>
          <w:pgMar w:left="220" w:top="140" w:right="21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Our financial instruments measured at fair value on a recurring basis at December 31, 2018,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Directly or Indirectly</w:t>
            </w: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29"/>
        </w:trPr>
        <w:tc>
          <w:tcPr>
            <w:tcW w:w="5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rPr>
              <w:t>Observable Inputs (Level</w:t>
            </w:r>
          </w:p>
        </w:tc>
        <w:tc>
          <w:tcPr>
            <w:tcW w:w="120" w:type="dxa"/>
            <w:vAlign w:val="bottom"/>
          </w:tcPr>
          <w:p>
            <w:pPr>
              <w:spacing w:after="0"/>
              <w:rPr>
                <w:sz w:val="11"/>
                <w:szCs w:val="11"/>
                <w:color w:val="auto"/>
              </w:rPr>
            </w:pPr>
          </w:p>
        </w:tc>
        <w:tc>
          <w:tcPr>
            <w:tcW w:w="1340" w:type="dxa"/>
            <w:vAlign w:val="bottom"/>
          </w:tcPr>
          <w:p>
            <w:pPr>
              <w:jc w:val="right"/>
              <w:ind w:right="96"/>
              <w:spacing w:after="0"/>
              <w:rPr>
                <w:sz w:val="20"/>
                <w:szCs w:val="20"/>
                <w:color w:val="auto"/>
              </w:rPr>
            </w:pPr>
            <w:r>
              <w:rPr>
                <w:rFonts w:ascii="Arial" w:cs="Arial" w:eastAsia="Arial" w:hAnsi="Arial"/>
                <w:sz w:val="11"/>
                <w:szCs w:val="11"/>
                <w:b w:val="1"/>
                <w:bCs w:val="1"/>
                <w:color w:val="auto"/>
              </w:rPr>
              <w:t>Unobservable Inputs</w:t>
            </w:r>
          </w:p>
        </w:tc>
      </w:tr>
      <w:tr>
        <w:trPr>
          <w:trHeight w:val="157"/>
        </w:trPr>
        <w:tc>
          <w:tcPr>
            <w:tcW w:w="516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Observable Inputs (Level 1)</w:t>
            </w: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76"/>
              <w:spacing w:after="0"/>
              <w:rPr>
                <w:sz w:val="20"/>
                <w:szCs w:val="20"/>
                <w:color w:val="auto"/>
              </w:rPr>
            </w:pPr>
            <w:r>
              <w:rPr>
                <w:rFonts w:ascii="Arial" w:cs="Arial" w:eastAsia="Arial" w:hAnsi="Arial"/>
                <w:sz w:val="11"/>
                <w:szCs w:val="11"/>
                <w:b w:val="1"/>
                <w:bCs w:val="1"/>
                <w:color w:val="auto"/>
              </w:rPr>
              <w:t>2)</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(Level 3)</w:t>
            </w:r>
          </w:p>
        </w:tc>
      </w:tr>
      <w:tr>
        <w:trPr>
          <w:trHeight w:val="163"/>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20" w:type="dxa"/>
            <w:vAlign w:val="bottom"/>
            <w:gridSpan w:val="5"/>
          </w:tcPr>
          <w:p>
            <w:pPr>
              <w:ind w:left="620"/>
              <w:spacing w:after="0"/>
              <w:rPr>
                <w:sz w:val="20"/>
                <w:szCs w:val="20"/>
                <w:color w:val="auto"/>
              </w:rPr>
            </w:pPr>
            <w:r>
              <w:rPr>
                <w:rFonts w:ascii="Arial" w:cs="Arial" w:eastAsia="Arial" w:hAnsi="Arial"/>
                <w:sz w:val="11"/>
                <w:szCs w:val="11"/>
                <w:b w:val="1"/>
                <w:bCs w:val="1"/>
                <w:color w:val="auto"/>
              </w:rPr>
              <w:t>(In millions)</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900" w:type="dxa"/>
            <w:vAlign w:val="bottom"/>
            <w:shd w:val="clear" w:color="auto" w:fill="CCEEFF"/>
          </w:tcPr>
          <w:p>
            <w:pPr>
              <w:jc w:val="right"/>
              <w:ind w:right="73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1,123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37"/>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Asset-backed securities</w:t>
            </w:r>
          </w:p>
        </w:tc>
        <w:tc>
          <w:tcPr>
            <w:tcW w:w="900" w:type="dxa"/>
            <w:vAlign w:val="bottom"/>
          </w:tcPr>
          <w:p>
            <w:pPr>
              <w:spacing w:after="0"/>
              <w:rPr>
                <w:sz w:val="18"/>
                <w:szCs w:val="18"/>
                <w:color w:val="auto"/>
              </w:rPr>
            </w:pPr>
          </w:p>
        </w:tc>
        <w:tc>
          <w:tcPr>
            <w:tcW w:w="500" w:type="dxa"/>
            <w:vAlign w:val="bottom"/>
          </w:tcPr>
          <w:p>
            <w:pPr>
              <w:jc w:val="right"/>
              <w:ind w:right="55"/>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320" w:type="dxa"/>
            <w:vAlign w:val="bottom"/>
          </w:tcPr>
          <w:p>
            <w:pPr>
              <w:jc w:val="right"/>
              <w:ind w:right="36"/>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GSEs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163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900" w:type="dxa"/>
            <w:vAlign w:val="bottom"/>
          </w:tcPr>
          <w:p>
            <w:pPr>
              <w:spacing w:after="0"/>
              <w:rPr>
                <w:sz w:val="18"/>
                <w:szCs w:val="18"/>
                <w:color w:val="auto"/>
              </w:rPr>
            </w:pPr>
          </w:p>
        </w:tc>
        <w:tc>
          <w:tcPr>
            <w:tcW w:w="500" w:type="dxa"/>
            <w:vAlign w:val="bottom"/>
          </w:tcPr>
          <w:p>
            <w:pPr>
              <w:jc w:val="right"/>
              <w:ind w:right="55"/>
              <w:spacing w:after="0"/>
              <w:rPr>
                <w:sz w:val="20"/>
                <w:szCs w:val="20"/>
                <w:color w:val="auto"/>
              </w:rPr>
            </w:pPr>
            <w:r>
              <w:rPr>
                <w:rFonts w:ascii="Arial" w:cs="Arial" w:eastAsia="Arial" w:hAnsi="Arial"/>
                <w:sz w:val="13"/>
                <w:szCs w:val="13"/>
                <w:color w:val="auto"/>
              </w:rPr>
              <w:t>114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320" w:type="dxa"/>
            <w:vAlign w:val="bottom"/>
          </w:tcPr>
          <w:p>
            <w:pPr>
              <w:jc w:val="right"/>
              <w:ind w:right="36"/>
              <w:spacing w:after="0"/>
              <w:rPr>
                <w:sz w:val="20"/>
                <w:szCs w:val="20"/>
                <w:color w:val="auto"/>
              </w:rPr>
            </w:pPr>
            <w:r>
              <w:rPr>
                <w:rFonts w:ascii="Arial" w:cs="Arial" w:eastAsia="Arial" w:hAnsi="Arial"/>
                <w:sz w:val="13"/>
                <w:szCs w:val="13"/>
                <w:color w:val="auto"/>
              </w:rPr>
              <w:t>114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181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Certificates of deposit</w:t>
            </w:r>
          </w:p>
        </w:tc>
        <w:tc>
          <w:tcPr>
            <w:tcW w:w="900" w:type="dxa"/>
            <w:vAlign w:val="bottom"/>
          </w:tcPr>
          <w:p>
            <w:pPr>
              <w:spacing w:after="0"/>
              <w:rPr>
                <w:sz w:val="18"/>
                <w:szCs w:val="18"/>
                <w:color w:val="auto"/>
              </w:rPr>
            </w:pPr>
          </w:p>
        </w:tc>
        <w:tc>
          <w:tcPr>
            <w:tcW w:w="500" w:type="dxa"/>
            <w:vAlign w:val="bottom"/>
          </w:tcPr>
          <w:p>
            <w:pPr>
              <w:jc w:val="right"/>
              <w:ind w:right="55"/>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320" w:type="dxa"/>
            <w:vAlign w:val="bottom"/>
          </w:tcPr>
          <w:p>
            <w:pPr>
              <w:jc w:val="right"/>
              <w:ind w:right="36"/>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196"/>
        </w:trPr>
        <w:tc>
          <w:tcPr>
            <w:tcW w:w="5160" w:type="dxa"/>
            <w:vAlign w:val="bottom"/>
          </w:tcPr>
          <w:p>
            <w:pPr>
              <w:ind w:left="200"/>
              <w:spacing w:after="0"/>
              <w:rPr>
                <w:sz w:val="20"/>
                <w:szCs w:val="20"/>
                <w:color w:val="auto"/>
              </w:rPr>
            </w:pPr>
            <w:r>
              <w:rPr>
                <w:rFonts w:ascii="Arial" w:cs="Arial" w:eastAsia="Arial" w:hAnsi="Arial"/>
                <w:sz w:val="13"/>
                <w:szCs w:val="13"/>
                <w:color w:val="auto"/>
              </w:rPr>
              <w:t>Subtotal - current investments</w:t>
            </w:r>
          </w:p>
        </w:tc>
        <w:tc>
          <w:tcPr>
            <w:tcW w:w="900" w:type="dxa"/>
            <w:vAlign w:val="bottom"/>
          </w:tcPr>
          <w:p>
            <w:pPr>
              <w:spacing w:after="0"/>
              <w:rPr>
                <w:sz w:val="17"/>
                <w:szCs w:val="17"/>
                <w:color w:val="auto"/>
              </w:rPr>
            </w:pPr>
          </w:p>
        </w:tc>
        <w:tc>
          <w:tcPr>
            <w:tcW w:w="500" w:type="dxa"/>
            <w:vAlign w:val="bottom"/>
          </w:tcPr>
          <w:p>
            <w:pPr>
              <w:jc w:val="right"/>
              <w:ind w:right="55"/>
              <w:spacing w:after="0"/>
              <w:rPr>
                <w:sz w:val="20"/>
                <w:szCs w:val="20"/>
                <w:color w:val="auto"/>
              </w:rPr>
            </w:pPr>
            <w:r>
              <w:rPr>
                <w:rFonts w:ascii="Arial" w:cs="Arial" w:eastAsia="Arial" w:hAnsi="Arial"/>
                <w:sz w:val="13"/>
                <w:szCs w:val="13"/>
                <w:color w:val="auto"/>
              </w:rPr>
              <w:t>1,681</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1320" w:type="dxa"/>
            <w:vAlign w:val="bottom"/>
          </w:tcPr>
          <w:p>
            <w:pPr>
              <w:jc w:val="right"/>
              <w:ind w:right="36"/>
              <w:spacing w:after="0"/>
              <w:rPr>
                <w:sz w:val="20"/>
                <w:szCs w:val="20"/>
                <w:color w:val="auto"/>
              </w:rPr>
            </w:pPr>
            <w:r>
              <w:rPr>
                <w:rFonts w:ascii="Arial" w:cs="Arial" w:eastAsia="Arial" w:hAnsi="Arial"/>
                <w:sz w:val="13"/>
                <w:szCs w:val="13"/>
                <w:color w:val="auto"/>
              </w:rPr>
              <w:t>1,681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1.125% Call Option derivative asset</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476</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476</w:t>
            </w:r>
          </w:p>
        </w:tc>
      </w:tr>
      <w:tr>
        <w:trPr>
          <w:trHeight w:val="217"/>
        </w:trPr>
        <w:tc>
          <w:tcPr>
            <w:tcW w:w="5160" w:type="dxa"/>
            <w:vAlign w:val="bottom"/>
          </w:tcPr>
          <w:p>
            <w:pPr>
              <w:ind w:left="220"/>
              <w:spacing w:after="0"/>
              <w:rPr>
                <w:sz w:val="20"/>
                <w:szCs w:val="20"/>
                <w:color w:val="auto"/>
              </w:rPr>
            </w:pPr>
            <w:r>
              <w:rPr>
                <w:rFonts w:ascii="Arial" w:cs="Arial" w:eastAsia="Arial" w:hAnsi="Arial"/>
                <w:sz w:val="13"/>
                <w:szCs w:val="13"/>
                <w:color w:val="auto"/>
              </w:rPr>
              <w:t>Total assets</w:t>
            </w:r>
          </w:p>
        </w:tc>
        <w:tc>
          <w:tcPr>
            <w:tcW w:w="900" w:type="dxa"/>
            <w:vAlign w:val="bottom"/>
          </w:tcPr>
          <w:p>
            <w:pPr>
              <w:jc w:val="right"/>
              <w:ind w:right="737"/>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5"/>
              <w:spacing w:after="0"/>
              <w:rPr>
                <w:sz w:val="20"/>
                <w:szCs w:val="20"/>
                <w:color w:val="auto"/>
              </w:rPr>
            </w:pPr>
            <w:r>
              <w:rPr>
                <w:rFonts w:ascii="Arial" w:cs="Arial" w:eastAsia="Arial" w:hAnsi="Arial"/>
                <w:sz w:val="13"/>
                <w:szCs w:val="13"/>
                <w:color w:val="auto"/>
              </w:rPr>
              <w:t>2,157</w:t>
            </w:r>
          </w:p>
        </w:tc>
        <w:tc>
          <w:tcPr>
            <w:tcW w:w="120" w:type="dxa"/>
            <w:vAlign w:val="bottom"/>
          </w:tcPr>
          <w:p>
            <w:pPr>
              <w:spacing w:after="0"/>
              <w:rPr>
                <w:sz w:val="18"/>
                <w:szCs w:val="18"/>
                <w:color w:val="auto"/>
              </w:rPr>
            </w:pPr>
          </w:p>
        </w:tc>
        <w:tc>
          <w:tcPr>
            <w:tcW w:w="700" w:type="dxa"/>
            <w:vAlign w:val="bottom"/>
          </w:tcPr>
          <w:p>
            <w:pPr>
              <w:jc w:val="right"/>
              <w:ind w:right="537"/>
              <w:spacing w:after="0"/>
              <w:rPr>
                <w:sz w:val="20"/>
                <w:szCs w:val="20"/>
                <w:color w:val="auto"/>
              </w:rPr>
            </w:pPr>
            <w:r>
              <w:rPr>
                <w:rFonts w:ascii="Arial" w:cs="Arial" w:eastAsia="Arial" w:hAnsi="Arial"/>
                <w:sz w:val="13"/>
                <w:szCs w:val="13"/>
                <w:color w:val="auto"/>
              </w:rPr>
              <w:t>$</w:t>
            </w:r>
          </w:p>
        </w:tc>
        <w:tc>
          <w:tcPr>
            <w:tcW w:w="104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ind w:right="36"/>
              <w:spacing w:after="0"/>
              <w:rPr>
                <w:sz w:val="20"/>
                <w:szCs w:val="20"/>
                <w:color w:val="auto"/>
              </w:rPr>
            </w:pPr>
            <w:r>
              <w:rPr>
                <w:rFonts w:ascii="Arial" w:cs="Arial" w:eastAsia="Arial" w:hAnsi="Arial"/>
                <w:sz w:val="13"/>
                <w:szCs w:val="13"/>
                <w:color w:val="auto"/>
              </w:rPr>
              <w:t>1,681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ind w:right="36"/>
              <w:spacing w:after="0"/>
              <w:rPr>
                <w:sz w:val="20"/>
                <w:szCs w:val="20"/>
                <w:color w:val="auto"/>
              </w:rPr>
            </w:pPr>
            <w:r>
              <w:rPr>
                <w:rFonts w:ascii="Arial" w:cs="Arial" w:eastAsia="Arial" w:hAnsi="Arial"/>
                <w:sz w:val="13"/>
                <w:szCs w:val="13"/>
                <w:color w:val="auto"/>
              </w:rPr>
              <w:t>476</w:t>
            </w:r>
          </w:p>
        </w:tc>
      </w:tr>
      <w:tr>
        <w:trPr>
          <w:trHeight w:val="217"/>
        </w:trPr>
        <w:tc>
          <w:tcPr>
            <w:tcW w:w="5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0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1.125% Conversion Option derivative liability</w:t>
            </w:r>
          </w:p>
        </w:tc>
        <w:tc>
          <w:tcPr>
            <w:tcW w:w="900" w:type="dxa"/>
            <w:vAlign w:val="bottom"/>
            <w:tcBorders>
              <w:bottom w:val="single" w:sz="8" w:color="auto"/>
            </w:tcBorders>
          </w:tcPr>
          <w:p>
            <w:pPr>
              <w:jc w:val="right"/>
              <w:ind w:right="737"/>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476</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476</w:t>
            </w:r>
          </w:p>
        </w:tc>
      </w:tr>
      <w:tr>
        <w:trPr>
          <w:trHeight w:val="185"/>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liabilities</w:t>
            </w:r>
          </w:p>
        </w:tc>
        <w:tc>
          <w:tcPr>
            <w:tcW w:w="900" w:type="dxa"/>
            <w:vAlign w:val="bottom"/>
            <w:shd w:val="clear" w:color="auto" w:fill="CCEEFF"/>
          </w:tcPr>
          <w:p>
            <w:pPr>
              <w:jc w:val="right"/>
              <w:ind w:right="73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476</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37"/>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476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Measurements – Disclosure Only</w:t>
      </w:r>
    </w:p>
    <w:p>
      <w:pPr>
        <w:spacing w:after="0" w:line="114"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 The carrying amount and estimated fair value of the Term Loan Facility is classified as a Level 3 financial instrument, because certain inputs used to determine its fair value are not observable. As of June 30, 2019, the carrying amount of the Term Loan Facility approximates fair value because its interest rate is a variable rate that approximates rates currently available to us.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1"/>
                <w:szCs w:val="11"/>
                <w:b w:val="1"/>
                <w:bCs w:val="1"/>
                <w:color w:val="auto"/>
              </w:rPr>
              <w:t>June 30, 2019</w:t>
            </w:r>
          </w:p>
        </w:tc>
        <w:tc>
          <w:tcPr>
            <w:tcW w:w="1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 2018</w:t>
            </w:r>
          </w:p>
        </w:tc>
        <w:tc>
          <w:tcPr>
            <w:tcW w:w="1000" w:type="dxa"/>
            <w:vAlign w:val="bottom"/>
            <w:tcBorders>
              <w:bottom w:val="single" w:sz="8" w:color="auto"/>
            </w:tcBorders>
          </w:tcPr>
          <w:p>
            <w:pPr>
              <w:spacing w:after="0"/>
              <w:rPr>
                <w:sz w:val="13"/>
                <w:szCs w:val="13"/>
                <w:color w:val="auto"/>
              </w:rPr>
            </w:pPr>
          </w:p>
        </w:tc>
      </w:tr>
      <w:tr>
        <w:trPr>
          <w:trHeight w:val="136"/>
        </w:trPr>
        <w:tc>
          <w:tcPr>
            <w:tcW w:w="48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Carrying</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rPr>
              <w:t>Carrying</w:t>
            </w: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57"/>
        </w:trPr>
        <w:tc>
          <w:tcPr>
            <w:tcW w:w="4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Fair Value</w:t>
            </w: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1"/>
                <w:szCs w:val="11"/>
                <w:b w:val="1"/>
                <w:bCs w:val="1"/>
                <w:color w:val="auto"/>
              </w:rPr>
              <w:t>Amount</w:t>
            </w: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b w:val="1"/>
                <w:bCs w:val="1"/>
                <w:color w:val="auto"/>
                <w:w w:val="98"/>
              </w:rPr>
              <w:t>Fair Value</w:t>
            </w:r>
          </w:p>
        </w:tc>
      </w:tr>
      <w:tr>
        <w:trPr>
          <w:trHeight w:val="163"/>
        </w:trPr>
        <w:tc>
          <w:tcPr>
            <w:tcW w:w="4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3"/>
          </w:tcPr>
          <w:p>
            <w:pPr>
              <w:jc w:val="right"/>
              <w:ind w:right="75"/>
              <w:spacing w:after="0"/>
              <w:rPr>
                <w:sz w:val="20"/>
                <w:szCs w:val="20"/>
                <w:color w:val="auto"/>
              </w:rPr>
            </w:pPr>
            <w:r>
              <w:rPr>
                <w:rFonts w:ascii="Arial" w:cs="Arial" w:eastAsia="Arial" w:hAnsi="Arial"/>
                <w:sz w:val="11"/>
                <w:szCs w:val="11"/>
                <w:b w:val="1"/>
                <w:bCs w:val="1"/>
                <w:color w:val="auto"/>
              </w:rPr>
              <w:t>(In millions)</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20"/>
        </w:trPr>
        <w:tc>
          <w:tcPr>
            <w:tcW w:w="4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5.375%</w:t>
            </w:r>
          </w:p>
        </w:tc>
        <w:tc>
          <w:tcPr>
            <w:tcW w:w="4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Notes</w:t>
            </w:r>
          </w:p>
        </w:tc>
        <w:tc>
          <w:tcPr>
            <w:tcW w:w="1020" w:type="dxa"/>
            <w:vAlign w:val="bottom"/>
            <w:shd w:val="clear" w:color="auto" w:fill="CCEEFF"/>
          </w:tcPr>
          <w:p>
            <w:pPr>
              <w:jc w:val="right"/>
              <w:ind w:right="859"/>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694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15"/>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674</w:t>
            </w:r>
          </w:p>
        </w:tc>
      </w:tr>
      <w:tr>
        <w:trPr>
          <w:trHeight w:val="208"/>
        </w:trPr>
        <w:tc>
          <w:tcPr>
            <w:tcW w:w="480" w:type="dxa"/>
            <w:vAlign w:val="bottom"/>
          </w:tcPr>
          <w:p>
            <w:pPr>
              <w:ind w:left="20"/>
              <w:spacing w:after="0"/>
              <w:rPr>
                <w:sz w:val="20"/>
                <w:szCs w:val="20"/>
                <w:color w:val="auto"/>
              </w:rPr>
            </w:pPr>
            <w:r>
              <w:rPr>
                <w:rFonts w:ascii="Arial" w:cs="Arial" w:eastAsia="Arial" w:hAnsi="Arial"/>
                <w:sz w:val="13"/>
                <w:szCs w:val="13"/>
                <w:color w:val="auto"/>
                <w:w w:val="99"/>
              </w:rPr>
              <w:t>4.875%</w:t>
            </w:r>
          </w:p>
        </w:tc>
        <w:tc>
          <w:tcPr>
            <w:tcW w:w="4680" w:type="dxa"/>
            <w:vAlign w:val="bottom"/>
          </w:tcPr>
          <w:p>
            <w:pPr>
              <w:ind w:left="20"/>
              <w:spacing w:after="0"/>
              <w:rPr>
                <w:sz w:val="20"/>
                <w:szCs w:val="20"/>
                <w:color w:val="auto"/>
              </w:rPr>
            </w:pPr>
            <w:r>
              <w:rPr>
                <w:rFonts w:ascii="Arial" w:cs="Arial" w:eastAsia="Arial" w:hAnsi="Arial"/>
                <w:sz w:val="13"/>
                <w:szCs w:val="13"/>
                <w:color w:val="auto"/>
              </w:rPr>
              <w:t>Notes</w:t>
            </w:r>
          </w:p>
        </w:tc>
        <w:tc>
          <w:tcPr>
            <w:tcW w:w="1020" w:type="dxa"/>
            <w:vAlign w:val="bottom"/>
          </w:tcPr>
          <w:p>
            <w:pPr>
              <w:spacing w:after="0"/>
              <w:rPr>
                <w:sz w:val="18"/>
                <w:szCs w:val="18"/>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326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335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38"/>
              <w:spacing w:after="0"/>
              <w:rPr>
                <w:sz w:val="20"/>
                <w:szCs w:val="20"/>
                <w:color w:val="auto"/>
              </w:rPr>
            </w:pPr>
            <w:r>
              <w:rPr>
                <w:rFonts w:ascii="Arial" w:cs="Arial" w:eastAsia="Arial" w:hAnsi="Arial"/>
                <w:sz w:val="13"/>
                <w:szCs w:val="13"/>
                <w:color w:val="auto"/>
              </w:rPr>
              <w:t>326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301</w:t>
            </w:r>
          </w:p>
        </w:tc>
      </w:tr>
      <w:tr>
        <w:trPr>
          <w:trHeight w:val="223"/>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Term Loan Facility</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16"/>
        </w:trPr>
        <w:tc>
          <w:tcPr>
            <w:tcW w:w="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9"/>
              </w:rPr>
              <w:t>1.125%</w:t>
            </w:r>
          </w:p>
        </w:tc>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 xml:space="preserve">Convertible Notes </w:t>
            </w:r>
            <w:r>
              <w:rPr>
                <w:rFonts w:ascii="Arial" w:cs="Arial" w:eastAsia="Arial" w:hAnsi="Arial"/>
                <w:sz w:val="17"/>
                <w:szCs w:val="17"/>
                <w:color w:val="auto"/>
                <w:vertAlign w:val="superscript"/>
              </w:rPr>
              <w:t>(1),(2)</w:t>
            </w: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231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240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732</w:t>
            </w:r>
          </w:p>
        </w:tc>
      </w:tr>
      <w:tr>
        <w:trPr>
          <w:trHeight w:val="177"/>
        </w:trPr>
        <w:tc>
          <w:tcPr>
            <w:tcW w:w="51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3"/>
                <w:szCs w:val="13"/>
                <w:color w:val="auto"/>
              </w:rPr>
              <w:t>Totals</w:t>
            </w:r>
          </w:p>
        </w:tc>
        <w:tc>
          <w:tcPr>
            <w:tcW w:w="102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1,306</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1,518</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1,260</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1,707</w:t>
            </w:r>
          </w:p>
        </w:tc>
      </w:tr>
      <w:tr>
        <w:trPr>
          <w:trHeight w:val="20"/>
        </w:trPr>
        <w:tc>
          <w:tcPr>
            <w:tcW w:w="4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w:t>
      </w:r>
    </w:p>
    <w:p>
      <w:pPr>
        <w:spacing w:after="0" w:line="57" w:lineRule="exact"/>
        <w:rPr>
          <w:sz w:val="20"/>
          <w:szCs w:val="20"/>
          <w:color w:val="auto"/>
        </w:rPr>
      </w:pPr>
    </w:p>
    <w:p>
      <w:pPr>
        <w:ind w:left="260" w:right="160" w:hanging="254"/>
        <w:spacing w:after="0" w:line="242" w:lineRule="auto"/>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fair value of the 1.125% Conversion Option (the embedded cash conversion option), which is reflected in the fair value amounts presented above, amounted to $169 million and $476 million as of June 30, 2019, and December 31, 2018, respectively. See further discussion at Note 7, “Debt,” and Note 8, “Derivatives.”</w:t>
      </w:r>
    </w:p>
    <w:p>
      <w:pPr>
        <w:ind w:left="260" w:hanging="254"/>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For more information on debt repayments in 2019, refer to Note 7, “Debt.”</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15</w:t>
      </w:r>
    </w:p>
    <w:p>
      <w:pPr>
        <w:sectPr>
          <w:pgSz w:w="11900" w:h="16838" w:orient="portrait"/>
          <w:cols w:equalWidth="0" w:num="1">
            <w:col w:w="11460"/>
          </w:cols>
          <w:pgMar w:left="220" w:top="140" w:right="21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828282"/>
        </w:rPr>
        <w:t>5. Investments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Available-for-Sale Investments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We consider all of our investments classified as current assets to be available-for-sale. The following tables summarize our investments as of the dates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5"/>
          </w:tcPr>
          <w:p>
            <w:pPr>
              <w:jc w:val="center"/>
              <w:ind w:left="578"/>
              <w:spacing w:after="0"/>
              <w:rPr>
                <w:sz w:val="20"/>
                <w:szCs w:val="20"/>
                <w:color w:val="auto"/>
              </w:rPr>
            </w:pPr>
            <w:r>
              <w:rPr>
                <w:rFonts w:ascii="Arial" w:cs="Arial" w:eastAsia="Arial" w:hAnsi="Arial"/>
                <w:sz w:val="11"/>
                <w:szCs w:val="11"/>
                <w:b w:val="1"/>
                <w:bCs w:val="1"/>
                <w:color w:val="auto"/>
              </w:rPr>
              <w:t>June 30, 2019</w:t>
            </w:r>
          </w:p>
        </w:tc>
        <w:tc>
          <w:tcPr>
            <w:tcW w:w="9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36"/>
        </w:trPr>
        <w:tc>
          <w:tcPr>
            <w:tcW w:w="5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gridSpan w:val="4"/>
          </w:tcPr>
          <w:p>
            <w:pPr>
              <w:jc w:val="center"/>
              <w:ind w:right="319"/>
              <w:spacing w:after="0"/>
              <w:rPr>
                <w:sz w:val="20"/>
                <w:szCs w:val="20"/>
                <w:color w:val="auto"/>
              </w:rPr>
            </w:pPr>
            <w:r>
              <w:rPr>
                <w:rFonts w:ascii="Arial" w:cs="Arial" w:eastAsia="Arial" w:hAnsi="Arial"/>
                <w:sz w:val="11"/>
                <w:szCs w:val="11"/>
                <w:b w:val="1"/>
                <w:bCs w:val="1"/>
                <w:color w:val="auto"/>
              </w:rPr>
              <w:t>Gross</w:t>
            </w: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center"/>
              <w:ind w:right="277"/>
              <w:spacing w:after="0"/>
              <w:rPr>
                <w:sz w:val="20"/>
                <w:szCs w:val="20"/>
                <w:color w:val="auto"/>
              </w:rPr>
            </w:pPr>
            <w:r>
              <w:rPr>
                <w:rFonts w:ascii="Arial" w:cs="Arial" w:eastAsia="Arial" w:hAnsi="Arial"/>
                <w:sz w:val="11"/>
                <w:szCs w:val="11"/>
                <w:b w:val="1"/>
                <w:bCs w:val="1"/>
                <w:color w:val="auto"/>
              </w:rPr>
              <w:t>Estimated</w:t>
            </w:r>
          </w:p>
        </w:tc>
      </w:tr>
      <w:tr>
        <w:trPr>
          <w:trHeight w:val="157"/>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Amortized</w:t>
            </w:r>
          </w:p>
        </w:tc>
        <w:tc>
          <w:tcPr>
            <w:tcW w:w="3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5"/>
          </w:tcPr>
          <w:p>
            <w:pPr>
              <w:jc w:val="center"/>
              <w:ind w:left="618"/>
              <w:spacing w:after="0"/>
              <w:rPr>
                <w:sz w:val="20"/>
                <w:szCs w:val="20"/>
                <w:color w:val="auto"/>
              </w:rPr>
            </w:pPr>
            <w:r>
              <w:rPr>
                <w:rFonts w:ascii="Arial" w:cs="Arial" w:eastAsia="Arial" w:hAnsi="Arial"/>
                <w:sz w:val="11"/>
                <w:szCs w:val="11"/>
                <w:b w:val="1"/>
                <w:bCs w:val="1"/>
                <w:color w:val="auto"/>
              </w:rPr>
              <w:t>Unrealized</w:t>
            </w:r>
          </w:p>
        </w:tc>
        <w:tc>
          <w:tcPr>
            <w:tcW w:w="9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center"/>
              <w:ind w:right="277"/>
              <w:spacing w:after="0"/>
              <w:rPr>
                <w:sz w:val="20"/>
                <w:szCs w:val="20"/>
                <w:color w:val="auto"/>
              </w:rPr>
            </w:pPr>
            <w:r>
              <w:rPr>
                <w:rFonts w:ascii="Arial" w:cs="Arial" w:eastAsia="Arial" w:hAnsi="Arial"/>
                <w:sz w:val="11"/>
                <w:szCs w:val="11"/>
                <w:b w:val="1"/>
                <w:bCs w:val="1"/>
                <w:color w:val="auto"/>
              </w:rPr>
              <w:t>Fair</w:t>
            </w:r>
          </w:p>
        </w:tc>
      </w:tr>
      <w:tr>
        <w:trPr>
          <w:trHeight w:val="206"/>
        </w:trPr>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1"/>
                <w:szCs w:val="11"/>
                <w:b w:val="1"/>
                <w:bCs w:val="1"/>
                <w:color w:val="auto"/>
              </w:rPr>
              <w:t>Cost</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Gains</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Losses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77"/>
              <w:spacing w:after="0"/>
              <w:rPr>
                <w:sz w:val="20"/>
                <w:szCs w:val="20"/>
                <w:color w:val="auto"/>
              </w:rPr>
            </w:pPr>
            <w:r>
              <w:rPr>
                <w:rFonts w:ascii="Arial" w:cs="Arial" w:eastAsia="Arial" w:hAnsi="Arial"/>
                <w:sz w:val="11"/>
                <w:szCs w:val="11"/>
                <w:b w:val="1"/>
                <w:bCs w:val="1"/>
                <w:color w:val="auto"/>
              </w:rPr>
              <w:t>Value</w:t>
            </w:r>
          </w:p>
        </w:tc>
      </w:tr>
      <w:tr>
        <w:trPr>
          <w:trHeight w:val="163"/>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5"/>
          </w:tcPr>
          <w:p>
            <w:pPr>
              <w:jc w:val="center"/>
              <w:ind w:left="558"/>
              <w:spacing w:after="0"/>
              <w:rPr>
                <w:sz w:val="20"/>
                <w:szCs w:val="20"/>
                <w:color w:val="auto"/>
              </w:rPr>
            </w:pPr>
            <w:r>
              <w:rPr>
                <w:rFonts w:ascii="Arial" w:cs="Arial" w:eastAsia="Arial" w:hAnsi="Arial"/>
                <w:sz w:val="11"/>
                <w:szCs w:val="11"/>
                <w:b w:val="1"/>
                <w:bCs w:val="1"/>
                <w:color w:val="auto"/>
              </w:rPr>
              <w:t>(In millions)</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720" w:type="dxa"/>
            <w:vAlign w:val="bottom"/>
            <w:gridSpan w:val="4"/>
            <w:shd w:val="clear" w:color="auto" w:fill="CCEEFF"/>
          </w:tcPr>
          <w:p>
            <w:pPr>
              <w:jc w:val="right"/>
              <w:ind w:right="339"/>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1,297</w:t>
            </w: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280" w:type="dxa"/>
            <w:vAlign w:val="bottom"/>
          </w:tcPr>
          <w:p>
            <w:pPr>
              <w:spacing w:after="0"/>
              <w:rPr>
                <w:sz w:val="18"/>
                <w:szCs w:val="18"/>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248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249</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161</w:t>
            </w: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GSEs</w:t>
            </w:r>
          </w:p>
        </w:tc>
        <w:tc>
          <w:tcPr>
            <w:tcW w:w="280" w:type="dxa"/>
            <w:vAlign w:val="bottom"/>
          </w:tcPr>
          <w:p>
            <w:pPr>
              <w:spacing w:after="0"/>
              <w:rPr>
                <w:sz w:val="18"/>
                <w:szCs w:val="18"/>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159</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Municipal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109</w:t>
            </w: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U.S. Treasury notes</w:t>
            </w:r>
          </w:p>
        </w:tc>
        <w:tc>
          <w:tcPr>
            <w:tcW w:w="280" w:type="dxa"/>
            <w:vAlign w:val="bottom"/>
          </w:tcPr>
          <w:p>
            <w:pPr>
              <w:spacing w:after="0"/>
              <w:rPr>
                <w:sz w:val="18"/>
                <w:szCs w:val="18"/>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87</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Certificates of deposit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r>
      <w:tr>
        <w:trPr>
          <w:trHeight w:val="20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gridSpan w:val="2"/>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w:t>
            </w:r>
          </w:p>
        </w:tc>
      </w:tr>
      <w:tr>
        <w:trPr>
          <w:trHeight w:val="190"/>
        </w:trPr>
        <w:tc>
          <w:tcPr>
            <w:tcW w:w="51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Totals</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2,064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720" w:type="dxa"/>
            <w:vAlign w:val="bottom"/>
            <w:gridSpan w:val="4"/>
            <w:shd w:val="clear" w:color="auto" w:fill="CCEEFF"/>
          </w:tcPr>
          <w:p>
            <w:pPr>
              <w:jc w:val="right"/>
              <w:ind w:right="339"/>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2,070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09"/>
        </w:trPr>
        <w:tc>
          <w:tcPr>
            <w:tcW w:w="5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center"/>
              <w:ind w:left="558"/>
              <w:spacing w:after="0"/>
              <w:rPr>
                <w:sz w:val="20"/>
                <w:szCs w:val="20"/>
                <w:color w:val="auto"/>
              </w:rPr>
            </w:pPr>
            <w:r>
              <w:rPr>
                <w:rFonts w:ascii="Arial" w:cs="Arial" w:eastAsia="Arial" w:hAnsi="Arial"/>
                <w:sz w:val="11"/>
                <w:szCs w:val="11"/>
                <w:b w:val="1"/>
                <w:bCs w:val="1"/>
                <w:color w:val="auto"/>
              </w:rPr>
              <w:t>December 31, 2018</w:t>
            </w: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36"/>
        </w:trPr>
        <w:tc>
          <w:tcPr>
            <w:tcW w:w="5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gridSpan w:val="4"/>
          </w:tcPr>
          <w:p>
            <w:pPr>
              <w:jc w:val="center"/>
              <w:ind w:right="319"/>
              <w:spacing w:after="0"/>
              <w:rPr>
                <w:sz w:val="20"/>
                <w:szCs w:val="20"/>
                <w:color w:val="auto"/>
              </w:rPr>
            </w:pPr>
            <w:r>
              <w:rPr>
                <w:rFonts w:ascii="Arial" w:cs="Arial" w:eastAsia="Arial" w:hAnsi="Arial"/>
                <w:sz w:val="11"/>
                <w:szCs w:val="11"/>
                <w:b w:val="1"/>
                <w:bCs w:val="1"/>
                <w:color w:val="auto"/>
              </w:rPr>
              <w:t>Gross</w:t>
            </w: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center"/>
              <w:ind w:right="277"/>
              <w:spacing w:after="0"/>
              <w:rPr>
                <w:sz w:val="20"/>
                <w:szCs w:val="20"/>
                <w:color w:val="auto"/>
              </w:rPr>
            </w:pPr>
            <w:r>
              <w:rPr>
                <w:rFonts w:ascii="Arial" w:cs="Arial" w:eastAsia="Arial" w:hAnsi="Arial"/>
                <w:sz w:val="11"/>
                <w:szCs w:val="11"/>
                <w:b w:val="1"/>
                <w:bCs w:val="1"/>
                <w:color w:val="auto"/>
              </w:rPr>
              <w:t>Estimated</w:t>
            </w:r>
          </w:p>
        </w:tc>
      </w:tr>
      <w:tr>
        <w:trPr>
          <w:trHeight w:val="157"/>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Amortized</w:t>
            </w:r>
          </w:p>
        </w:tc>
        <w:tc>
          <w:tcPr>
            <w:tcW w:w="3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5"/>
          </w:tcPr>
          <w:p>
            <w:pPr>
              <w:jc w:val="center"/>
              <w:ind w:left="618"/>
              <w:spacing w:after="0"/>
              <w:rPr>
                <w:sz w:val="20"/>
                <w:szCs w:val="20"/>
                <w:color w:val="auto"/>
              </w:rPr>
            </w:pPr>
            <w:r>
              <w:rPr>
                <w:rFonts w:ascii="Arial" w:cs="Arial" w:eastAsia="Arial" w:hAnsi="Arial"/>
                <w:sz w:val="11"/>
                <w:szCs w:val="11"/>
                <w:b w:val="1"/>
                <w:bCs w:val="1"/>
                <w:color w:val="auto"/>
              </w:rPr>
              <w:t>Unrealized</w:t>
            </w:r>
          </w:p>
        </w:tc>
        <w:tc>
          <w:tcPr>
            <w:tcW w:w="9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center"/>
              <w:ind w:right="277"/>
              <w:spacing w:after="0"/>
              <w:rPr>
                <w:sz w:val="20"/>
                <w:szCs w:val="20"/>
                <w:color w:val="auto"/>
              </w:rPr>
            </w:pPr>
            <w:r>
              <w:rPr>
                <w:rFonts w:ascii="Arial" w:cs="Arial" w:eastAsia="Arial" w:hAnsi="Arial"/>
                <w:sz w:val="11"/>
                <w:szCs w:val="11"/>
                <w:b w:val="1"/>
                <w:bCs w:val="1"/>
                <w:color w:val="auto"/>
              </w:rPr>
              <w:t>Fair</w:t>
            </w:r>
          </w:p>
        </w:tc>
      </w:tr>
      <w:tr>
        <w:trPr>
          <w:trHeight w:val="206"/>
        </w:trPr>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1"/>
                <w:szCs w:val="11"/>
                <w:b w:val="1"/>
                <w:bCs w:val="1"/>
                <w:color w:val="auto"/>
              </w:rPr>
              <w:t>Cost</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Gains</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Losses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77"/>
              <w:spacing w:after="0"/>
              <w:rPr>
                <w:sz w:val="20"/>
                <w:szCs w:val="20"/>
                <w:color w:val="auto"/>
              </w:rPr>
            </w:pPr>
            <w:r>
              <w:rPr>
                <w:rFonts w:ascii="Arial" w:cs="Arial" w:eastAsia="Arial" w:hAnsi="Arial"/>
                <w:sz w:val="11"/>
                <w:szCs w:val="11"/>
                <w:b w:val="1"/>
                <w:bCs w:val="1"/>
                <w:color w:val="auto"/>
              </w:rPr>
              <w:t>Value</w:t>
            </w:r>
          </w:p>
        </w:tc>
      </w:tr>
      <w:tr>
        <w:trPr>
          <w:trHeight w:val="163"/>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5"/>
          </w:tcPr>
          <w:p>
            <w:pPr>
              <w:jc w:val="center"/>
              <w:ind w:left="558"/>
              <w:spacing w:after="0"/>
              <w:rPr>
                <w:sz w:val="20"/>
                <w:szCs w:val="20"/>
                <w:color w:val="auto"/>
              </w:rPr>
            </w:pPr>
            <w:r>
              <w:rPr>
                <w:rFonts w:ascii="Arial" w:cs="Arial" w:eastAsia="Arial" w:hAnsi="Arial"/>
                <w:sz w:val="11"/>
                <w:szCs w:val="11"/>
                <w:b w:val="1"/>
                <w:bCs w:val="1"/>
                <w:color w:val="auto"/>
              </w:rPr>
              <w:t>(In millions)</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4"/>
            <w:shd w:val="clear" w:color="auto" w:fill="CCEEFF"/>
          </w:tcPr>
          <w:p>
            <w:pPr>
              <w:jc w:val="right"/>
              <w:ind w:right="339"/>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1,123</w:t>
            </w: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Asset-backed securities</w:t>
            </w:r>
          </w:p>
        </w:tc>
        <w:tc>
          <w:tcPr>
            <w:tcW w:w="280" w:type="dxa"/>
            <w:vAlign w:val="bottom"/>
          </w:tcPr>
          <w:p>
            <w:pPr>
              <w:spacing w:after="0"/>
              <w:rPr>
                <w:sz w:val="18"/>
                <w:szCs w:val="18"/>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82</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GSEs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163</w:t>
            </w: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280" w:type="dxa"/>
            <w:vAlign w:val="bottom"/>
          </w:tcPr>
          <w:p>
            <w:pPr>
              <w:spacing w:after="0"/>
              <w:rPr>
                <w:sz w:val="18"/>
                <w:szCs w:val="18"/>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114</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w:t>
            </w: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Certificates of deposit</w:t>
            </w:r>
          </w:p>
        </w:tc>
        <w:tc>
          <w:tcPr>
            <w:tcW w:w="280" w:type="dxa"/>
            <w:vAlign w:val="bottom"/>
          </w:tcPr>
          <w:p>
            <w:pPr>
              <w:spacing w:after="0"/>
              <w:rPr>
                <w:sz w:val="18"/>
                <w:szCs w:val="18"/>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14</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r>
      <w:tr>
        <w:trPr>
          <w:trHeight w:val="190"/>
        </w:trPr>
        <w:tc>
          <w:tcPr>
            <w:tcW w:w="5160" w:type="dxa"/>
            <w:vAlign w:val="bottom"/>
          </w:tcPr>
          <w:p>
            <w:pPr>
              <w:ind w:left="300"/>
              <w:spacing w:after="0"/>
              <w:rPr>
                <w:sz w:val="20"/>
                <w:szCs w:val="20"/>
                <w:color w:val="auto"/>
              </w:rPr>
            </w:pPr>
            <w:r>
              <w:rPr>
                <w:rFonts w:ascii="Arial" w:cs="Arial" w:eastAsia="Arial" w:hAnsi="Arial"/>
                <w:sz w:val="13"/>
                <w:szCs w:val="13"/>
                <w:color w:val="auto"/>
              </w:rPr>
              <w:t>Total current investments</w:t>
            </w:r>
          </w:p>
        </w:tc>
        <w:tc>
          <w:tcPr>
            <w:tcW w:w="28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1,692</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6"/>
                <w:szCs w:val="16"/>
                <w:color w:val="auto"/>
              </w:rPr>
            </w:pPr>
          </w:p>
        </w:tc>
        <w:tc>
          <w:tcPr>
            <w:tcW w:w="120" w:type="dxa"/>
            <w:vAlign w:val="bottom"/>
            <w:gridSpan w:val="2"/>
          </w:tcPr>
          <w:p>
            <w:pPr>
              <w:spacing w:after="0"/>
              <w:rPr>
                <w:sz w:val="16"/>
                <w:szCs w:val="16"/>
                <w:color w:val="auto"/>
              </w:rPr>
            </w:pPr>
          </w:p>
        </w:tc>
        <w:tc>
          <w:tcPr>
            <w:tcW w:w="50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11</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1,681</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05"/>
        </w:trPr>
        <w:tc>
          <w:tcPr>
            <w:tcW w:w="7120" w:type="dxa"/>
            <w:vAlign w:val="bottom"/>
            <w:gridSpan w:val="5"/>
          </w:tcPr>
          <w:p>
            <w:pPr>
              <w:spacing w:after="0"/>
              <w:rPr>
                <w:sz w:val="20"/>
                <w:szCs w:val="20"/>
                <w:color w:val="auto"/>
              </w:rPr>
            </w:pPr>
            <w:r>
              <w:rPr>
                <w:rFonts w:ascii="Arial" w:cs="Arial" w:eastAsia="Arial" w:hAnsi="Arial"/>
                <w:sz w:val="14"/>
                <w:szCs w:val="14"/>
                <w:color w:val="auto"/>
              </w:rPr>
              <w:t>The contractual maturities of our available-for-sale investments as of June 30, 2019 are summarized below:</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center"/>
              <w:ind w:right="297"/>
              <w:spacing w:after="0"/>
              <w:rPr>
                <w:sz w:val="20"/>
                <w:szCs w:val="20"/>
                <w:color w:val="auto"/>
              </w:rPr>
            </w:pPr>
            <w:r>
              <w:rPr>
                <w:rFonts w:ascii="Arial" w:cs="Arial" w:eastAsia="Arial" w:hAnsi="Arial"/>
                <w:sz w:val="11"/>
                <w:szCs w:val="11"/>
                <w:b w:val="1"/>
                <w:bCs w:val="1"/>
                <w:color w:val="auto"/>
              </w:rPr>
              <w:t>Estimated</w:t>
            </w:r>
          </w:p>
        </w:tc>
      </w:tr>
      <w:tr>
        <w:trPr>
          <w:trHeight w:val="157"/>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5"/>
          </w:tcPr>
          <w:p>
            <w:pPr>
              <w:ind w:left="300"/>
              <w:spacing w:after="0"/>
              <w:rPr>
                <w:sz w:val="20"/>
                <w:szCs w:val="20"/>
                <w:color w:val="auto"/>
              </w:rPr>
            </w:pPr>
            <w:r>
              <w:rPr>
                <w:rFonts w:ascii="Arial" w:cs="Arial" w:eastAsia="Arial" w:hAnsi="Arial"/>
                <w:sz w:val="11"/>
                <w:szCs w:val="11"/>
                <w:b w:val="1"/>
                <w:bCs w:val="1"/>
                <w:color w:val="auto"/>
              </w:rPr>
              <w:t>Amortized Cost</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77"/>
              <w:spacing w:after="0"/>
              <w:rPr>
                <w:sz w:val="20"/>
                <w:szCs w:val="20"/>
                <w:color w:val="auto"/>
              </w:rPr>
            </w:pPr>
            <w:r>
              <w:rPr>
                <w:rFonts w:ascii="Arial" w:cs="Arial" w:eastAsia="Arial" w:hAnsi="Arial"/>
                <w:sz w:val="11"/>
                <w:szCs w:val="11"/>
                <w:b w:val="1"/>
                <w:bCs w:val="1"/>
                <w:color w:val="auto"/>
              </w:rPr>
              <w:t>Fair Value</w:t>
            </w:r>
          </w:p>
        </w:tc>
      </w:tr>
      <w:tr>
        <w:trPr>
          <w:trHeight w:val="163"/>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5"/>
          </w:tcPr>
          <w:p>
            <w:pPr>
              <w:jc w:val="right"/>
              <w:ind w:right="35"/>
              <w:spacing w:after="0"/>
              <w:rPr>
                <w:sz w:val="20"/>
                <w:szCs w:val="20"/>
                <w:color w:val="auto"/>
              </w:rPr>
            </w:pPr>
            <w:r>
              <w:rPr>
                <w:rFonts w:ascii="Arial" w:cs="Arial" w:eastAsia="Arial" w:hAnsi="Arial"/>
                <w:sz w:val="11"/>
                <w:szCs w:val="11"/>
                <w:b w:val="1"/>
                <w:bCs w:val="1"/>
                <w:color w:val="auto"/>
              </w:rPr>
              <w:t>(In millions)</w:t>
            </w:r>
          </w:p>
        </w:tc>
        <w:tc>
          <w:tcPr>
            <w:tcW w:w="1120" w:type="dxa"/>
            <w:vAlign w:val="bottom"/>
          </w:tcPr>
          <w:p>
            <w:pPr>
              <w:spacing w:after="0"/>
              <w:rPr>
                <w:sz w:val="14"/>
                <w:szCs w:val="14"/>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Due in one year or less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379"/>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821</w:t>
            </w: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Due after one year through five years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917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921</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Due after five years through ten years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125</w:t>
            </w:r>
          </w:p>
        </w:tc>
      </w:tr>
      <w:tr>
        <w:trPr>
          <w:trHeight w:val="20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Due after ten years</w:t>
            </w:r>
          </w:p>
        </w:tc>
        <w:tc>
          <w:tcPr>
            <w:tcW w:w="2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202</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203</w:t>
            </w:r>
          </w:p>
        </w:tc>
      </w:tr>
      <w:tr>
        <w:trPr>
          <w:trHeight w:val="190"/>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Totals</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20" w:type="dxa"/>
            <w:vAlign w:val="bottom"/>
            <w:gridSpan w:val="4"/>
            <w:shd w:val="clear" w:color="auto" w:fill="CCEEFF"/>
          </w:tcPr>
          <w:p>
            <w:pPr>
              <w:jc w:val="right"/>
              <w:ind w:right="379"/>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2,064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2,070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right="360"/>
        <w:spacing w:after="0" w:line="273" w:lineRule="auto"/>
        <w:rPr>
          <w:sz w:val="20"/>
          <w:szCs w:val="20"/>
          <w:color w:val="auto"/>
        </w:rPr>
      </w:pPr>
      <w:r>
        <w:rPr>
          <w:rFonts w:ascii="Arial" w:cs="Arial" w:eastAsia="Arial" w:hAnsi="Arial"/>
          <w:sz w:val="14"/>
          <w:szCs w:val="14"/>
          <w:color w:val="auto"/>
        </w:rPr>
        <w:t>Gross realized gains and losses from sales of available-for-sale securities are calculated under the specific identification method and are included in investment income. Gross realized investment gains and losses for the three and six months ended June 30, 2019 and 2018, were insignificant.</w:t>
      </w:r>
    </w:p>
    <w:p>
      <w:pPr>
        <w:spacing w:after="0" w:line="65" w:lineRule="exact"/>
        <w:rPr>
          <w:sz w:val="20"/>
          <w:szCs w:val="20"/>
          <w:color w:val="auto"/>
        </w:rPr>
      </w:pPr>
    </w:p>
    <w:p>
      <w:pPr>
        <w:ind w:right="400"/>
        <w:spacing w:after="0" w:line="265" w:lineRule="auto"/>
        <w:rPr>
          <w:sz w:val="20"/>
          <w:szCs w:val="20"/>
          <w:color w:val="auto"/>
        </w:rPr>
      </w:pPr>
      <w:r>
        <w:rPr>
          <w:rFonts w:ascii="Arial" w:cs="Arial" w:eastAsia="Arial" w:hAnsi="Arial"/>
          <w:sz w:val="14"/>
          <w:szCs w:val="14"/>
          <w:color w:val="auto"/>
        </w:rPr>
        <w:t>We have determined that unrealized losses at June 30, 2019, and December 31, 2018, are temporary in nature, because the change in market value for these securities has resulted from fluctuating interest rates, rather than a deterioration of the creditworthiness of the issuers. So long as we maintain the intent and ability to hold these securities to maturity, we are unlikely to experience losses. In the event that we dispose of these securities before maturity, we expect that realized losses, if any, will be insignificant.</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16</w:t>
      </w:r>
    </w:p>
    <w:p>
      <w:pPr>
        <w:sectPr>
          <w:pgSz w:w="11900" w:h="16838" w:orient="portrait"/>
          <w:cols w:equalWidth="0" w:num="1">
            <w:col w:w="11460"/>
          </w:cols>
          <w:pgMar w:left="220" w:top="140" w:right="21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1" w:lineRule="exact"/>
        <w:rPr>
          <w:sz w:val="20"/>
          <w:szCs w:val="20"/>
          <w:color w:val="auto"/>
        </w:rPr>
      </w:pPr>
    </w:p>
    <w:p>
      <w:pPr>
        <w:ind w:right="100"/>
        <w:spacing w:after="0" w:line="273" w:lineRule="auto"/>
        <w:rPr>
          <w:sz w:val="20"/>
          <w:szCs w:val="20"/>
          <w:color w:val="auto"/>
        </w:rPr>
      </w:pPr>
      <w:r>
        <w:rPr>
          <w:rFonts w:ascii="Arial" w:cs="Arial" w:eastAsia="Arial" w:hAnsi="Arial"/>
          <w:sz w:val="14"/>
          <w:szCs w:val="14"/>
          <w:color w:val="auto"/>
        </w:rPr>
        <w:t>The following table segregates those available-for-sale investments that have been in a continuous loss position for less than 12 months, and those that have been in a continuous loss position for 12 months or more as of June 30,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20" w:type="dxa"/>
            <w:vAlign w:val="bottom"/>
            <w:gridSpan w:val="4"/>
          </w:tcPr>
          <w:p>
            <w:pPr>
              <w:jc w:val="center"/>
              <w:spacing w:after="0"/>
              <w:rPr>
                <w:sz w:val="20"/>
                <w:szCs w:val="20"/>
                <w:color w:val="auto"/>
              </w:rPr>
            </w:pPr>
            <w:r>
              <w:rPr>
                <w:rFonts w:ascii="Arial" w:cs="Arial" w:eastAsia="Arial" w:hAnsi="Arial"/>
                <w:sz w:val="11"/>
                <w:szCs w:val="11"/>
                <w:b w:val="1"/>
                <w:bCs w:val="1"/>
                <w:color w:val="auto"/>
              </w:rPr>
              <w:t>In a Continuous Loss Position</w:t>
            </w: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00" w:type="dxa"/>
            <w:vAlign w:val="bottom"/>
            <w:gridSpan w:val="5"/>
          </w:tcPr>
          <w:p>
            <w:pPr>
              <w:jc w:val="center"/>
              <w:ind w:right="200"/>
              <w:spacing w:after="0"/>
              <w:rPr>
                <w:sz w:val="20"/>
                <w:szCs w:val="20"/>
                <w:color w:val="auto"/>
              </w:rPr>
            </w:pPr>
            <w:r>
              <w:rPr>
                <w:rFonts w:ascii="Arial" w:cs="Arial" w:eastAsia="Arial" w:hAnsi="Arial"/>
                <w:sz w:val="11"/>
                <w:szCs w:val="11"/>
                <w:b w:val="1"/>
                <w:bCs w:val="1"/>
                <w:color w:val="auto"/>
              </w:rPr>
              <w:t>In a Continuous Loss Position</w:t>
            </w:r>
          </w:p>
        </w:tc>
        <w:tc>
          <w:tcPr>
            <w:tcW w:w="1240" w:type="dxa"/>
            <w:vAlign w:val="bottom"/>
          </w:tcPr>
          <w:p>
            <w:pPr>
              <w:spacing w:after="0"/>
              <w:rPr>
                <w:sz w:val="11"/>
                <w:szCs w:val="11"/>
                <w:color w:val="auto"/>
              </w:rPr>
            </w:pPr>
          </w:p>
        </w:tc>
      </w:tr>
      <w:tr>
        <w:trPr>
          <w:trHeight w:val="157"/>
        </w:trPr>
        <w:tc>
          <w:tcPr>
            <w:tcW w:w="196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rPr>
              <w:t>for Less than 12 Months</w:t>
            </w:r>
          </w:p>
        </w:tc>
        <w:tc>
          <w:tcPr>
            <w:tcW w:w="1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1"/>
                <w:szCs w:val="11"/>
                <w:b w:val="1"/>
                <w:bCs w:val="1"/>
                <w:color w:val="auto"/>
              </w:rPr>
              <w:t>for 12 Months or More</w:t>
            </w:r>
          </w:p>
        </w:tc>
        <w:tc>
          <w:tcPr>
            <w:tcW w:w="1240" w:type="dxa"/>
            <w:vAlign w:val="bottom"/>
            <w:tcBorders>
              <w:bottom w:val="single" w:sz="8" w:color="auto"/>
            </w:tcBorders>
          </w:tcPr>
          <w:p>
            <w:pPr>
              <w:spacing w:after="0"/>
              <w:rPr>
                <w:sz w:val="13"/>
                <w:szCs w:val="13"/>
                <w:color w:val="auto"/>
              </w:rPr>
            </w:pPr>
          </w:p>
        </w:tc>
      </w:tr>
      <w:tr>
        <w:trPr>
          <w:trHeight w:val="136"/>
        </w:trPr>
        <w:tc>
          <w:tcPr>
            <w:tcW w:w="1960" w:type="dxa"/>
            <w:vAlign w:val="bottom"/>
          </w:tcPr>
          <w:p>
            <w:pPr>
              <w:spacing w:after="0"/>
              <w:rPr>
                <w:sz w:val="11"/>
                <w:szCs w:val="11"/>
                <w:color w:val="auto"/>
              </w:rPr>
            </w:pPr>
          </w:p>
        </w:tc>
        <w:tc>
          <w:tcPr>
            <w:tcW w:w="1140" w:type="dxa"/>
            <w:vAlign w:val="bottom"/>
          </w:tcPr>
          <w:p>
            <w:pPr>
              <w:jc w:val="center"/>
              <w:ind w:left="300"/>
              <w:spacing w:after="0"/>
              <w:rPr>
                <w:sz w:val="20"/>
                <w:szCs w:val="20"/>
                <w:color w:val="auto"/>
              </w:rPr>
            </w:pPr>
            <w:r>
              <w:rPr>
                <w:rFonts w:ascii="Arial" w:cs="Arial" w:eastAsia="Arial" w:hAnsi="Arial"/>
                <w:sz w:val="11"/>
                <w:szCs w:val="11"/>
                <w:b w:val="1"/>
                <w:bCs w:val="1"/>
                <w:color w:val="auto"/>
              </w:rPr>
              <w:t>Estimated</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Total</w:t>
            </w:r>
          </w:p>
        </w:tc>
        <w:tc>
          <w:tcPr>
            <w:tcW w:w="460" w:type="dxa"/>
            <w:vAlign w:val="bottom"/>
          </w:tcPr>
          <w:p>
            <w:pPr>
              <w:spacing w:after="0"/>
              <w:rPr>
                <w:sz w:val="11"/>
                <w:szCs w:val="11"/>
                <w:color w:val="auto"/>
              </w:rPr>
            </w:pPr>
          </w:p>
        </w:tc>
        <w:tc>
          <w:tcPr>
            <w:tcW w:w="1020" w:type="dxa"/>
            <w:vAlign w:val="bottom"/>
          </w:tcPr>
          <w:p>
            <w:pPr>
              <w:jc w:val="center"/>
              <w:ind w:right="399"/>
              <w:spacing w:after="0"/>
              <w:rPr>
                <w:sz w:val="20"/>
                <w:szCs w:val="20"/>
                <w:color w:val="auto"/>
              </w:rPr>
            </w:pPr>
            <w:r>
              <w:rPr>
                <w:rFonts w:ascii="Arial" w:cs="Arial" w:eastAsia="Arial" w:hAnsi="Arial"/>
                <w:sz w:val="11"/>
                <w:szCs w:val="11"/>
                <w:b w:val="1"/>
                <w:bCs w:val="1"/>
                <w:color w:val="auto"/>
              </w:rPr>
              <w:t>Estimated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ind w:right="159"/>
              <w:spacing w:after="0"/>
              <w:rPr>
                <w:sz w:val="20"/>
                <w:szCs w:val="20"/>
                <w:color w:val="auto"/>
              </w:rPr>
            </w:pPr>
            <w:r>
              <w:rPr>
                <w:rFonts w:ascii="Arial" w:cs="Arial" w:eastAsia="Arial" w:hAnsi="Arial"/>
                <w:sz w:val="11"/>
                <w:szCs w:val="11"/>
                <w:b w:val="1"/>
                <w:bCs w:val="1"/>
                <w:color w:val="auto"/>
                <w:w w:val="98"/>
              </w:rPr>
              <w:t>Total</w:t>
            </w:r>
          </w:p>
        </w:tc>
      </w:tr>
      <w:tr>
        <w:trPr>
          <w:trHeight w:val="129"/>
        </w:trPr>
        <w:tc>
          <w:tcPr>
            <w:tcW w:w="1960" w:type="dxa"/>
            <w:vAlign w:val="bottom"/>
          </w:tcPr>
          <w:p>
            <w:pPr>
              <w:spacing w:after="0"/>
              <w:rPr>
                <w:sz w:val="11"/>
                <w:szCs w:val="11"/>
                <w:color w:val="auto"/>
              </w:rPr>
            </w:pPr>
          </w:p>
        </w:tc>
        <w:tc>
          <w:tcPr>
            <w:tcW w:w="1140" w:type="dxa"/>
            <w:vAlign w:val="bottom"/>
          </w:tcPr>
          <w:p>
            <w:pPr>
              <w:jc w:val="center"/>
              <w:ind w:left="300"/>
              <w:spacing w:after="0"/>
              <w:rPr>
                <w:sz w:val="20"/>
                <w:szCs w:val="20"/>
                <w:color w:val="auto"/>
              </w:rPr>
            </w:pPr>
            <w:r>
              <w:rPr>
                <w:rFonts w:ascii="Arial" w:cs="Arial" w:eastAsia="Arial" w:hAnsi="Arial"/>
                <w:sz w:val="11"/>
                <w:szCs w:val="11"/>
                <w:b w:val="1"/>
                <w:bCs w:val="1"/>
                <w:color w:val="auto"/>
              </w:rPr>
              <w:t>Fair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Unrealized</w:t>
            </w:r>
          </w:p>
        </w:tc>
        <w:tc>
          <w:tcPr>
            <w:tcW w:w="1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Number of</w:t>
            </w:r>
          </w:p>
        </w:tc>
        <w:tc>
          <w:tcPr>
            <w:tcW w:w="460" w:type="dxa"/>
            <w:vAlign w:val="bottom"/>
          </w:tcPr>
          <w:p>
            <w:pPr>
              <w:spacing w:after="0"/>
              <w:rPr>
                <w:sz w:val="11"/>
                <w:szCs w:val="11"/>
                <w:color w:val="auto"/>
              </w:rPr>
            </w:pPr>
          </w:p>
        </w:tc>
        <w:tc>
          <w:tcPr>
            <w:tcW w:w="1020" w:type="dxa"/>
            <w:vAlign w:val="bottom"/>
          </w:tcPr>
          <w:p>
            <w:pPr>
              <w:jc w:val="center"/>
              <w:ind w:right="399"/>
              <w:spacing w:after="0"/>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3"/>
          </w:tcPr>
          <w:p>
            <w:pPr>
              <w:jc w:val="center"/>
              <w:ind w:right="460"/>
              <w:spacing w:after="0"/>
              <w:rPr>
                <w:sz w:val="20"/>
                <w:szCs w:val="20"/>
                <w:color w:val="auto"/>
              </w:rPr>
            </w:pPr>
            <w:r>
              <w:rPr>
                <w:rFonts w:ascii="Arial" w:cs="Arial" w:eastAsia="Arial" w:hAnsi="Arial"/>
                <w:sz w:val="11"/>
                <w:szCs w:val="11"/>
                <w:b w:val="1"/>
                <w:bCs w:val="1"/>
                <w:color w:val="auto"/>
              </w:rPr>
              <w:t>Unrealized</w:t>
            </w:r>
          </w:p>
        </w:tc>
        <w:tc>
          <w:tcPr>
            <w:tcW w:w="1240" w:type="dxa"/>
            <w:vAlign w:val="bottom"/>
          </w:tcPr>
          <w:p>
            <w:pPr>
              <w:jc w:val="center"/>
              <w:ind w:right="159"/>
              <w:spacing w:after="0"/>
              <w:rPr>
                <w:sz w:val="20"/>
                <w:szCs w:val="20"/>
                <w:color w:val="auto"/>
              </w:rPr>
            </w:pPr>
            <w:r>
              <w:rPr>
                <w:rFonts w:ascii="Arial" w:cs="Arial" w:eastAsia="Arial" w:hAnsi="Arial"/>
                <w:sz w:val="11"/>
                <w:szCs w:val="11"/>
                <w:b w:val="1"/>
                <w:bCs w:val="1"/>
                <w:color w:val="auto"/>
              </w:rPr>
              <w:t>Number of</w:t>
            </w:r>
          </w:p>
        </w:tc>
      </w:tr>
      <w:tr>
        <w:trPr>
          <w:trHeight w:val="157"/>
        </w:trPr>
        <w:tc>
          <w:tcPr>
            <w:tcW w:w="1960" w:type="dxa"/>
            <w:vAlign w:val="bottom"/>
          </w:tcPr>
          <w:p>
            <w:pPr>
              <w:spacing w:after="0"/>
              <w:rPr>
                <w:sz w:val="13"/>
                <w:szCs w:val="13"/>
                <w:color w:val="auto"/>
              </w:rPr>
            </w:pPr>
          </w:p>
        </w:tc>
        <w:tc>
          <w:tcPr>
            <w:tcW w:w="1140" w:type="dxa"/>
            <w:vAlign w:val="bottom"/>
            <w:tcBorders>
              <w:bottom w:val="single" w:sz="8" w:color="auto"/>
            </w:tcBorders>
          </w:tcPr>
          <w:p>
            <w:pPr>
              <w:jc w:val="center"/>
              <w:ind w:left="300"/>
              <w:spacing w:after="0"/>
              <w:rPr>
                <w:sz w:val="20"/>
                <w:szCs w:val="20"/>
                <w:color w:val="auto"/>
              </w:rPr>
            </w:pPr>
            <w:r>
              <w:rPr>
                <w:rFonts w:ascii="Arial" w:cs="Arial" w:eastAsia="Arial" w:hAnsi="Arial"/>
                <w:sz w:val="11"/>
                <w:szCs w:val="11"/>
                <w:b w:val="1"/>
                <w:bCs w:val="1"/>
                <w:color w:val="auto"/>
              </w:rPr>
              <w:t>Value</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Losses</w:t>
            </w:r>
          </w:p>
        </w:tc>
        <w:tc>
          <w:tcPr>
            <w:tcW w:w="16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rPr>
              <w:t>Positions</w:t>
            </w: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419"/>
              <w:spacing w:after="0"/>
              <w:rPr>
                <w:sz w:val="20"/>
                <w:szCs w:val="20"/>
                <w:color w:val="auto"/>
              </w:rPr>
            </w:pPr>
            <w:r>
              <w:rPr>
                <w:rFonts w:ascii="Arial" w:cs="Arial" w:eastAsia="Arial" w:hAnsi="Arial"/>
                <w:sz w:val="11"/>
                <w:szCs w:val="11"/>
                <w:b w:val="1"/>
                <w:bCs w:val="1"/>
                <w:color w:val="auto"/>
              </w:rPr>
              <w:t>Value</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1"/>
                <w:szCs w:val="11"/>
                <w:b w:val="1"/>
                <w:bCs w:val="1"/>
                <w:color w:val="auto"/>
              </w:rPr>
              <w:t>Losses</w:t>
            </w: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1"/>
                <w:szCs w:val="11"/>
                <w:b w:val="1"/>
                <w:bCs w:val="1"/>
                <w:color w:val="auto"/>
              </w:rPr>
              <w:t>Positions</w:t>
            </w:r>
          </w:p>
        </w:tc>
      </w:tr>
      <w:tr>
        <w:trPr>
          <w:trHeight w:val="163"/>
        </w:trPr>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ind w:left="1000"/>
              <w:spacing w:after="0"/>
              <w:rPr>
                <w:sz w:val="20"/>
                <w:szCs w:val="20"/>
                <w:color w:val="auto"/>
              </w:rPr>
            </w:pPr>
            <w:r>
              <w:rPr>
                <w:rFonts w:ascii="Arial" w:cs="Arial" w:eastAsia="Arial" w:hAnsi="Arial"/>
                <w:sz w:val="11"/>
                <w:szCs w:val="11"/>
                <w:b w:val="1"/>
                <w:bCs w:val="1"/>
                <w:color w:val="auto"/>
              </w:rPr>
              <w:t>(Dollars in millions)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0"/>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1140" w:type="dxa"/>
            <w:vAlign w:val="bottom"/>
            <w:shd w:val="clear" w:color="auto" w:fill="CCEEFF"/>
          </w:tcPr>
          <w:p>
            <w:pPr>
              <w:jc w:val="right"/>
              <w:ind w:right="9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1620" w:type="dxa"/>
            <w:vAlign w:val="bottom"/>
            <w:gridSpan w:val="2"/>
            <w:shd w:val="clear" w:color="auto" w:fill="CCEEFF"/>
          </w:tcPr>
          <w:p>
            <w:pPr>
              <w:ind w:left="12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263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168</w:t>
            </w:r>
          </w:p>
        </w:tc>
      </w:tr>
      <w:tr>
        <w:trPr>
          <w:trHeight w:val="208"/>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GSEs</w:t>
            </w: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1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ind w:left="12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114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67</w:t>
            </w:r>
          </w:p>
        </w:tc>
      </w:tr>
      <w:tr>
        <w:trPr>
          <w:trHeight w:val="190"/>
        </w:trPr>
        <w:tc>
          <w:tcPr>
            <w:tcW w:w="1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Totals</w:t>
            </w:r>
          </w:p>
        </w:tc>
        <w:tc>
          <w:tcPr>
            <w:tcW w:w="1140" w:type="dxa"/>
            <w:vAlign w:val="bottom"/>
            <w:shd w:val="clear" w:color="auto" w:fill="CCEEFF"/>
          </w:tcPr>
          <w:p>
            <w:pPr>
              <w:jc w:val="right"/>
              <w:ind w:right="9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1620" w:type="dxa"/>
            <w:vAlign w:val="bottom"/>
            <w:gridSpan w:val="2"/>
            <w:shd w:val="clear" w:color="auto" w:fill="CCEEFF"/>
          </w:tcPr>
          <w:p>
            <w:pPr>
              <w:ind w:left="12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377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235</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right="100"/>
        <w:spacing w:after="0" w:line="273" w:lineRule="auto"/>
        <w:rPr>
          <w:sz w:val="20"/>
          <w:szCs w:val="20"/>
          <w:color w:val="auto"/>
        </w:rPr>
      </w:pPr>
      <w:r>
        <w:rPr>
          <w:rFonts w:ascii="Arial" w:cs="Arial" w:eastAsia="Arial" w:hAnsi="Arial"/>
          <w:sz w:val="14"/>
          <w:szCs w:val="14"/>
          <w:color w:val="auto"/>
        </w:rPr>
        <w:t>The following table segregates those available-for-sale investments that have been in a continuous loss position for less than 12 months, and those that have been in a continuous loss position for 12 months or more as of December 31,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4"/>
          </w:tcPr>
          <w:p>
            <w:pPr>
              <w:jc w:val="center"/>
              <w:spacing w:after="0"/>
              <w:rPr>
                <w:sz w:val="20"/>
                <w:szCs w:val="20"/>
                <w:color w:val="auto"/>
              </w:rPr>
            </w:pPr>
            <w:r>
              <w:rPr>
                <w:rFonts w:ascii="Arial" w:cs="Arial" w:eastAsia="Arial" w:hAnsi="Arial"/>
                <w:sz w:val="11"/>
                <w:szCs w:val="11"/>
                <w:b w:val="1"/>
                <w:bCs w:val="1"/>
                <w:color w:val="auto"/>
              </w:rPr>
              <w:t>In a Continuous Loss Position</w:t>
            </w: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00" w:type="dxa"/>
            <w:vAlign w:val="bottom"/>
            <w:gridSpan w:val="5"/>
          </w:tcPr>
          <w:p>
            <w:pPr>
              <w:jc w:val="center"/>
              <w:ind w:right="200"/>
              <w:spacing w:after="0"/>
              <w:rPr>
                <w:sz w:val="20"/>
                <w:szCs w:val="20"/>
                <w:color w:val="auto"/>
              </w:rPr>
            </w:pPr>
            <w:r>
              <w:rPr>
                <w:rFonts w:ascii="Arial" w:cs="Arial" w:eastAsia="Arial" w:hAnsi="Arial"/>
                <w:sz w:val="11"/>
                <w:szCs w:val="11"/>
                <w:b w:val="1"/>
                <w:bCs w:val="1"/>
                <w:color w:val="auto"/>
              </w:rPr>
              <w:t>In a Continuous Loss Position</w:t>
            </w:r>
          </w:p>
        </w:tc>
        <w:tc>
          <w:tcPr>
            <w:tcW w:w="1240" w:type="dxa"/>
            <w:vAlign w:val="bottom"/>
          </w:tcPr>
          <w:p>
            <w:pPr>
              <w:spacing w:after="0"/>
              <w:rPr>
                <w:sz w:val="11"/>
                <w:szCs w:val="11"/>
                <w:color w:val="auto"/>
              </w:rPr>
            </w:pPr>
          </w:p>
        </w:tc>
      </w:tr>
      <w:tr>
        <w:trPr>
          <w:trHeight w:val="157"/>
        </w:trPr>
        <w:tc>
          <w:tcPr>
            <w:tcW w:w="196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rPr>
              <w:t>for Less than 12 Months</w:t>
            </w:r>
          </w:p>
        </w:tc>
        <w:tc>
          <w:tcPr>
            <w:tcW w:w="1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1"/>
                <w:szCs w:val="11"/>
                <w:b w:val="1"/>
                <w:bCs w:val="1"/>
                <w:color w:val="auto"/>
              </w:rPr>
              <w:t>for 12 Months or More</w:t>
            </w:r>
          </w:p>
        </w:tc>
        <w:tc>
          <w:tcPr>
            <w:tcW w:w="1240" w:type="dxa"/>
            <w:vAlign w:val="bottom"/>
            <w:tcBorders>
              <w:bottom w:val="single" w:sz="8" w:color="auto"/>
            </w:tcBorders>
          </w:tcPr>
          <w:p>
            <w:pPr>
              <w:spacing w:after="0"/>
              <w:rPr>
                <w:sz w:val="13"/>
                <w:szCs w:val="13"/>
                <w:color w:val="auto"/>
              </w:rPr>
            </w:pPr>
          </w:p>
        </w:tc>
      </w:tr>
      <w:tr>
        <w:trPr>
          <w:trHeight w:val="136"/>
        </w:trPr>
        <w:tc>
          <w:tcPr>
            <w:tcW w:w="1960" w:type="dxa"/>
            <w:vAlign w:val="bottom"/>
          </w:tcPr>
          <w:p>
            <w:pPr>
              <w:spacing w:after="0"/>
              <w:rPr>
                <w:sz w:val="11"/>
                <w:szCs w:val="11"/>
                <w:color w:val="auto"/>
              </w:rPr>
            </w:pPr>
          </w:p>
        </w:tc>
        <w:tc>
          <w:tcPr>
            <w:tcW w:w="1100" w:type="dxa"/>
            <w:vAlign w:val="bottom"/>
          </w:tcPr>
          <w:p>
            <w:pPr>
              <w:jc w:val="center"/>
              <w:ind w:left="340"/>
              <w:spacing w:after="0"/>
              <w:rPr>
                <w:sz w:val="20"/>
                <w:szCs w:val="20"/>
                <w:color w:val="auto"/>
              </w:rPr>
            </w:pPr>
            <w:r>
              <w:rPr>
                <w:rFonts w:ascii="Arial" w:cs="Arial" w:eastAsia="Arial" w:hAnsi="Arial"/>
                <w:sz w:val="11"/>
                <w:szCs w:val="11"/>
                <w:b w:val="1"/>
                <w:bCs w:val="1"/>
                <w:color w:val="auto"/>
              </w:rPr>
              <w:t>Estimated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Total</w:t>
            </w:r>
          </w:p>
        </w:tc>
        <w:tc>
          <w:tcPr>
            <w:tcW w:w="460" w:type="dxa"/>
            <w:vAlign w:val="bottom"/>
          </w:tcPr>
          <w:p>
            <w:pPr>
              <w:spacing w:after="0"/>
              <w:rPr>
                <w:sz w:val="11"/>
                <w:szCs w:val="11"/>
                <w:color w:val="auto"/>
              </w:rPr>
            </w:pPr>
          </w:p>
        </w:tc>
        <w:tc>
          <w:tcPr>
            <w:tcW w:w="1020" w:type="dxa"/>
            <w:vAlign w:val="bottom"/>
          </w:tcPr>
          <w:p>
            <w:pPr>
              <w:jc w:val="center"/>
              <w:ind w:right="398"/>
              <w:spacing w:after="0"/>
              <w:rPr>
                <w:sz w:val="20"/>
                <w:szCs w:val="20"/>
                <w:color w:val="auto"/>
              </w:rPr>
            </w:pPr>
            <w:r>
              <w:rPr>
                <w:rFonts w:ascii="Arial" w:cs="Arial" w:eastAsia="Arial" w:hAnsi="Arial"/>
                <w:sz w:val="11"/>
                <w:szCs w:val="11"/>
                <w:b w:val="1"/>
                <w:bCs w:val="1"/>
                <w:color w:val="auto"/>
              </w:rPr>
              <w:t>Estimated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ind w:right="158"/>
              <w:spacing w:after="0"/>
              <w:rPr>
                <w:sz w:val="20"/>
                <w:szCs w:val="20"/>
                <w:color w:val="auto"/>
              </w:rPr>
            </w:pPr>
            <w:r>
              <w:rPr>
                <w:rFonts w:ascii="Arial" w:cs="Arial" w:eastAsia="Arial" w:hAnsi="Arial"/>
                <w:sz w:val="11"/>
                <w:szCs w:val="11"/>
                <w:b w:val="1"/>
                <w:bCs w:val="1"/>
                <w:color w:val="auto"/>
                <w:w w:val="98"/>
              </w:rPr>
              <w:t>Total</w:t>
            </w:r>
          </w:p>
        </w:tc>
      </w:tr>
      <w:tr>
        <w:trPr>
          <w:trHeight w:val="129"/>
        </w:trPr>
        <w:tc>
          <w:tcPr>
            <w:tcW w:w="1960" w:type="dxa"/>
            <w:vAlign w:val="bottom"/>
          </w:tcPr>
          <w:p>
            <w:pPr>
              <w:spacing w:after="0"/>
              <w:rPr>
                <w:sz w:val="11"/>
                <w:szCs w:val="11"/>
                <w:color w:val="auto"/>
              </w:rPr>
            </w:pPr>
          </w:p>
        </w:tc>
        <w:tc>
          <w:tcPr>
            <w:tcW w:w="1100" w:type="dxa"/>
            <w:vAlign w:val="bottom"/>
          </w:tcPr>
          <w:p>
            <w:pPr>
              <w:jc w:val="center"/>
              <w:ind w:left="340"/>
              <w:spacing w:after="0"/>
              <w:rPr>
                <w:sz w:val="20"/>
                <w:szCs w:val="20"/>
                <w:color w:val="auto"/>
              </w:rPr>
            </w:pPr>
            <w:r>
              <w:rPr>
                <w:rFonts w:ascii="Arial" w:cs="Arial" w:eastAsia="Arial" w:hAnsi="Arial"/>
                <w:sz w:val="11"/>
                <w:szCs w:val="11"/>
                <w:b w:val="1"/>
                <w:bCs w:val="1"/>
                <w:color w:val="auto"/>
              </w:rPr>
              <w:t>Fair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Unrealized</w:t>
            </w:r>
          </w:p>
        </w:tc>
        <w:tc>
          <w:tcPr>
            <w:tcW w:w="1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Number of</w:t>
            </w:r>
          </w:p>
        </w:tc>
        <w:tc>
          <w:tcPr>
            <w:tcW w:w="460" w:type="dxa"/>
            <w:vAlign w:val="bottom"/>
          </w:tcPr>
          <w:p>
            <w:pPr>
              <w:spacing w:after="0"/>
              <w:rPr>
                <w:sz w:val="11"/>
                <w:szCs w:val="11"/>
                <w:color w:val="auto"/>
              </w:rPr>
            </w:pPr>
          </w:p>
        </w:tc>
        <w:tc>
          <w:tcPr>
            <w:tcW w:w="1020" w:type="dxa"/>
            <w:vAlign w:val="bottom"/>
          </w:tcPr>
          <w:p>
            <w:pPr>
              <w:jc w:val="center"/>
              <w:ind w:right="398"/>
              <w:spacing w:after="0"/>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3"/>
          </w:tcPr>
          <w:p>
            <w:pPr>
              <w:jc w:val="center"/>
              <w:ind w:right="460"/>
              <w:spacing w:after="0"/>
              <w:rPr>
                <w:sz w:val="20"/>
                <w:szCs w:val="20"/>
                <w:color w:val="auto"/>
              </w:rPr>
            </w:pPr>
            <w:r>
              <w:rPr>
                <w:rFonts w:ascii="Arial" w:cs="Arial" w:eastAsia="Arial" w:hAnsi="Arial"/>
                <w:sz w:val="11"/>
                <w:szCs w:val="11"/>
                <w:b w:val="1"/>
                <w:bCs w:val="1"/>
                <w:color w:val="auto"/>
              </w:rPr>
              <w:t>Unrealized</w:t>
            </w:r>
          </w:p>
        </w:tc>
        <w:tc>
          <w:tcPr>
            <w:tcW w:w="1240" w:type="dxa"/>
            <w:vAlign w:val="bottom"/>
          </w:tcPr>
          <w:p>
            <w:pPr>
              <w:jc w:val="center"/>
              <w:ind w:right="158"/>
              <w:spacing w:after="0"/>
              <w:rPr>
                <w:sz w:val="20"/>
                <w:szCs w:val="20"/>
                <w:color w:val="auto"/>
              </w:rPr>
            </w:pPr>
            <w:r>
              <w:rPr>
                <w:rFonts w:ascii="Arial" w:cs="Arial" w:eastAsia="Arial" w:hAnsi="Arial"/>
                <w:sz w:val="11"/>
                <w:szCs w:val="11"/>
                <w:b w:val="1"/>
                <w:bCs w:val="1"/>
                <w:color w:val="auto"/>
              </w:rPr>
              <w:t>Number of</w:t>
            </w:r>
          </w:p>
        </w:tc>
      </w:tr>
      <w:tr>
        <w:trPr>
          <w:trHeight w:val="157"/>
        </w:trPr>
        <w:tc>
          <w:tcPr>
            <w:tcW w:w="1960" w:type="dxa"/>
            <w:vAlign w:val="bottom"/>
          </w:tcPr>
          <w:p>
            <w:pPr>
              <w:spacing w:after="0"/>
              <w:rPr>
                <w:sz w:val="13"/>
                <w:szCs w:val="13"/>
                <w:color w:val="auto"/>
              </w:rPr>
            </w:pPr>
          </w:p>
        </w:tc>
        <w:tc>
          <w:tcPr>
            <w:tcW w:w="1100" w:type="dxa"/>
            <w:vAlign w:val="bottom"/>
            <w:tcBorders>
              <w:bottom w:val="single" w:sz="8" w:color="auto"/>
            </w:tcBorders>
          </w:tcPr>
          <w:p>
            <w:pPr>
              <w:jc w:val="center"/>
              <w:ind w:left="340"/>
              <w:spacing w:after="0"/>
              <w:rPr>
                <w:sz w:val="20"/>
                <w:szCs w:val="20"/>
                <w:color w:val="auto"/>
              </w:rPr>
            </w:pPr>
            <w:r>
              <w:rPr>
                <w:rFonts w:ascii="Arial" w:cs="Arial" w:eastAsia="Arial" w:hAnsi="Arial"/>
                <w:sz w:val="11"/>
                <w:szCs w:val="11"/>
                <w:b w:val="1"/>
                <w:bCs w:val="1"/>
                <w:color w:val="auto"/>
              </w:rPr>
              <w:t>Value</w:t>
            </w: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Losses</w:t>
            </w:r>
          </w:p>
        </w:tc>
        <w:tc>
          <w:tcPr>
            <w:tcW w:w="16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rPr>
              <w:t>Positions</w:t>
            </w: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418"/>
              <w:spacing w:after="0"/>
              <w:rPr>
                <w:sz w:val="20"/>
                <w:szCs w:val="20"/>
                <w:color w:val="auto"/>
              </w:rPr>
            </w:pPr>
            <w:r>
              <w:rPr>
                <w:rFonts w:ascii="Arial" w:cs="Arial" w:eastAsia="Arial" w:hAnsi="Arial"/>
                <w:sz w:val="11"/>
                <w:szCs w:val="11"/>
                <w:b w:val="1"/>
                <w:bCs w:val="1"/>
                <w:color w:val="auto"/>
              </w:rPr>
              <w:t>Value</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1"/>
                <w:szCs w:val="11"/>
                <w:b w:val="1"/>
                <w:bCs w:val="1"/>
                <w:color w:val="auto"/>
              </w:rPr>
              <w:t>Losses</w:t>
            </w:r>
          </w:p>
        </w:tc>
        <w:tc>
          <w:tcPr>
            <w:tcW w:w="1240" w:type="dxa"/>
            <w:vAlign w:val="bottom"/>
            <w:tcBorders>
              <w:bottom w:val="single" w:sz="8" w:color="auto"/>
            </w:tcBorders>
          </w:tcPr>
          <w:p>
            <w:pPr>
              <w:jc w:val="center"/>
              <w:ind w:right="158"/>
              <w:spacing w:after="0"/>
              <w:rPr>
                <w:sz w:val="20"/>
                <w:szCs w:val="20"/>
                <w:color w:val="auto"/>
              </w:rPr>
            </w:pPr>
            <w:r>
              <w:rPr>
                <w:rFonts w:ascii="Arial" w:cs="Arial" w:eastAsia="Arial" w:hAnsi="Arial"/>
                <w:sz w:val="11"/>
                <w:szCs w:val="11"/>
                <w:b w:val="1"/>
                <w:bCs w:val="1"/>
                <w:color w:val="auto"/>
              </w:rPr>
              <w:t>Positions</w:t>
            </w:r>
          </w:p>
        </w:tc>
      </w:tr>
      <w:tr>
        <w:trPr>
          <w:trHeight w:val="163"/>
        </w:trPr>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Arial" w:cs="Arial" w:eastAsia="Arial" w:hAnsi="Arial"/>
                <w:sz w:val="11"/>
                <w:szCs w:val="11"/>
                <w:b w:val="1"/>
                <w:bCs w:val="1"/>
                <w:color w:val="auto"/>
              </w:rPr>
              <w:t>(Dollars in millions)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0"/>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1100" w:type="dxa"/>
            <w:vAlign w:val="bottom"/>
            <w:shd w:val="clear" w:color="auto" w:fill="CCEEFF"/>
          </w:tcPr>
          <w:p>
            <w:pPr>
              <w:jc w:val="right"/>
              <w:ind w:right="9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509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285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412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298</w:t>
            </w:r>
          </w:p>
        </w:tc>
      </w:tr>
      <w:tr>
        <w:trPr>
          <w:trHeight w:val="208"/>
        </w:trPr>
        <w:tc>
          <w:tcPr>
            <w:tcW w:w="1960" w:type="dxa"/>
            <w:vAlign w:val="bottom"/>
          </w:tcPr>
          <w:p>
            <w:pPr>
              <w:ind w:left="20"/>
              <w:spacing w:after="0"/>
              <w:rPr>
                <w:sz w:val="20"/>
                <w:szCs w:val="20"/>
                <w:color w:val="auto"/>
              </w:rPr>
            </w:pPr>
            <w:r>
              <w:rPr>
                <w:rFonts w:ascii="Arial" w:cs="Arial" w:eastAsia="Arial" w:hAnsi="Arial"/>
                <w:sz w:val="13"/>
                <w:szCs w:val="13"/>
                <w:color w:val="auto"/>
              </w:rPr>
              <w:t>Asset-backed securities</w:t>
            </w:r>
          </w:p>
        </w:tc>
        <w:tc>
          <w:tcPr>
            <w:tcW w:w="1100" w:type="dxa"/>
            <w:vAlign w:val="bottom"/>
          </w:tcPr>
          <w:p>
            <w:pPr>
              <w:spacing w:after="0"/>
              <w:rPr>
                <w:sz w:val="18"/>
                <w:szCs w:val="18"/>
                <w:color w:val="auto"/>
              </w:rPr>
            </w:pPr>
          </w:p>
        </w:tc>
        <w:tc>
          <w:tcPr>
            <w:tcW w:w="4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8"/>
                <w:szCs w:val="18"/>
                <w:color w:val="auto"/>
              </w:rPr>
            </w:pPr>
          </w:p>
        </w:tc>
        <w:tc>
          <w:tcPr>
            <w:tcW w:w="1020" w:type="dxa"/>
            <w:vAlign w:val="bottom"/>
          </w:tcPr>
          <w:p>
            <w:pPr>
              <w:jc w:val="right"/>
              <w:ind w:right="58"/>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38"/>
              <w:spacing w:after="0"/>
              <w:rPr>
                <w:sz w:val="20"/>
                <w:szCs w:val="20"/>
                <w:color w:val="auto"/>
              </w:rPr>
            </w:pPr>
            <w:r>
              <w:rPr>
                <w:rFonts w:ascii="Arial" w:cs="Arial" w:eastAsia="Arial" w:hAnsi="Arial"/>
                <w:sz w:val="13"/>
                <w:szCs w:val="13"/>
                <w:color w:val="auto"/>
              </w:rPr>
              <w:t>52</w:t>
            </w:r>
          </w:p>
        </w:tc>
      </w:tr>
      <w:tr>
        <w:trPr>
          <w:trHeight w:val="223"/>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GSEs</w:t>
            </w: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76</w:t>
            </w:r>
          </w:p>
        </w:tc>
      </w:tr>
      <w:tr>
        <w:trPr>
          <w:trHeight w:val="208"/>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Municipal securities</w:t>
            </w:r>
          </w:p>
        </w:tc>
        <w:tc>
          <w:tcPr>
            <w:tcW w:w="1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87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90</w:t>
            </w:r>
          </w:p>
        </w:tc>
      </w:tr>
      <w:tr>
        <w:trPr>
          <w:trHeight w:val="190"/>
        </w:trPr>
        <w:tc>
          <w:tcPr>
            <w:tcW w:w="1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Totals</w:t>
            </w:r>
          </w:p>
        </w:tc>
        <w:tc>
          <w:tcPr>
            <w:tcW w:w="1100" w:type="dxa"/>
            <w:vAlign w:val="bottom"/>
            <w:shd w:val="clear" w:color="auto" w:fill="CCEEFF"/>
          </w:tcPr>
          <w:p>
            <w:pPr>
              <w:jc w:val="right"/>
              <w:ind w:right="9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509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285</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694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516</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Held-to-Maturity Investments</w:t>
      </w:r>
    </w:p>
    <w:p>
      <w:pPr>
        <w:spacing w:after="0" w:line="114"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Pursuant to the regulations governing our Health Plans segment subsidiaries, we maintain statutory deposits and deposits required by government authorities primarily in certificates of deposit and U.S. Treasury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non-current “Restricted investments” in the accompanying consolidated balance sheets. We have the ability to hold these restricted investments until maturity, and as a result, we would not expect the value of these investments to decline significantly due to a sudden change in market interest rates.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The contractual maturities of our held-to-maturity restricted investments are carried at amortized cost, which approximates fair value, as of June 30, 2019, are summarized below:</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29"/>
        </w:trPr>
        <w:tc>
          <w:tcPr>
            <w:tcW w:w="8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ind w:right="398"/>
              <w:spacing w:after="0"/>
              <w:rPr>
                <w:sz w:val="20"/>
                <w:szCs w:val="20"/>
                <w:color w:val="auto"/>
              </w:rPr>
            </w:pPr>
            <w:r>
              <w:rPr>
                <w:rFonts w:ascii="Arial" w:cs="Arial" w:eastAsia="Arial" w:hAnsi="Arial"/>
                <w:sz w:val="11"/>
                <w:szCs w:val="11"/>
                <w:b w:val="1"/>
                <w:bCs w:val="1"/>
                <w:color w:val="auto"/>
              </w:rPr>
              <w:t>Estimated</w:t>
            </w:r>
          </w:p>
        </w:tc>
      </w:tr>
      <w:tr>
        <w:trPr>
          <w:trHeight w:val="157"/>
        </w:trPr>
        <w:tc>
          <w:tcPr>
            <w:tcW w:w="8320" w:type="dxa"/>
            <w:vAlign w:val="bottom"/>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Amortized Cost</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Fair Value</w:t>
            </w:r>
          </w:p>
        </w:tc>
      </w:tr>
      <w:tr>
        <w:trPr>
          <w:trHeight w:val="163"/>
        </w:trPr>
        <w:tc>
          <w:tcPr>
            <w:tcW w:w="8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gridSpan w:val="3"/>
          </w:tcPr>
          <w:p>
            <w:pPr>
              <w:jc w:val="right"/>
              <w:ind w:right="15"/>
              <w:spacing w:after="0"/>
              <w:rPr>
                <w:sz w:val="20"/>
                <w:szCs w:val="20"/>
                <w:color w:val="auto"/>
              </w:rPr>
            </w:pPr>
            <w:r>
              <w:rPr>
                <w:rFonts w:ascii="Arial" w:cs="Arial" w:eastAsia="Arial" w:hAnsi="Arial"/>
                <w:sz w:val="11"/>
                <w:szCs w:val="11"/>
                <w:b w:val="1"/>
                <w:bCs w:val="1"/>
                <w:color w:val="auto"/>
              </w:rPr>
              <w:t>(In millions)</w:t>
            </w:r>
          </w:p>
        </w:tc>
        <w:tc>
          <w:tcPr>
            <w:tcW w:w="1120" w:type="dxa"/>
            <w:vAlign w:val="bottom"/>
          </w:tcPr>
          <w:p>
            <w:pPr>
              <w:spacing w:after="0"/>
              <w:rPr>
                <w:sz w:val="14"/>
                <w:szCs w:val="14"/>
                <w:color w:val="auto"/>
              </w:rPr>
            </w:pPr>
          </w:p>
        </w:tc>
      </w:tr>
      <w:tr>
        <w:trPr>
          <w:trHeight w:val="22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Due in one year or less</w:t>
            </w:r>
          </w:p>
        </w:tc>
        <w:tc>
          <w:tcPr>
            <w:tcW w:w="1200" w:type="dxa"/>
            <w:vAlign w:val="bottom"/>
            <w:shd w:val="clear" w:color="auto" w:fill="CCEEFF"/>
          </w:tcPr>
          <w:p>
            <w:pPr>
              <w:jc w:val="right"/>
              <w:ind w:right="1038"/>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92</w:t>
            </w:r>
          </w:p>
        </w:tc>
      </w:tr>
      <w:tr>
        <w:trPr>
          <w:trHeight w:val="208"/>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Due after one year through five years</w:t>
            </w:r>
          </w:p>
        </w:tc>
        <w:tc>
          <w:tcPr>
            <w:tcW w:w="1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6</w:t>
            </w:r>
          </w:p>
        </w:tc>
      </w:tr>
      <w:tr>
        <w:trPr>
          <w:trHeight w:val="190"/>
        </w:trPr>
        <w:tc>
          <w:tcPr>
            <w:tcW w:w="8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Totals</w:t>
            </w:r>
          </w:p>
        </w:tc>
        <w:tc>
          <w:tcPr>
            <w:tcW w:w="1200" w:type="dxa"/>
            <w:vAlign w:val="bottom"/>
            <w:tcBorders>
              <w:bottom w:val="single" w:sz="8" w:color="auto"/>
            </w:tcBorders>
            <w:shd w:val="clear" w:color="auto" w:fill="CCEEFF"/>
          </w:tcPr>
          <w:p>
            <w:pPr>
              <w:jc w:val="right"/>
              <w:ind w:right="1038"/>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98</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98</w:t>
            </w:r>
          </w:p>
        </w:tc>
      </w:tr>
      <w:tr>
        <w:trPr>
          <w:trHeight w:val="20"/>
        </w:trPr>
        <w:tc>
          <w:tcPr>
            <w:tcW w:w="8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17</w:t>
      </w:r>
    </w:p>
    <w:p>
      <w:pPr>
        <w:sectPr>
          <w:pgSz w:w="11900" w:h="16838" w:orient="portrait"/>
          <w:cols w:equalWidth="0" w:num="1">
            <w:col w:w="11460"/>
          </w:cols>
          <w:pgMar w:left="220" w:top="140" w:right="21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828282"/>
        </w:rPr>
        <w:t>6. Medical Claims and Benefits Payable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the details of our medical claims and benefits payable as of the dates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3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June 30,</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ind w:right="297"/>
              <w:spacing w:after="0"/>
              <w:rPr>
                <w:sz w:val="20"/>
                <w:szCs w:val="20"/>
                <w:color w:val="auto"/>
              </w:rPr>
            </w:pPr>
            <w:r>
              <w:rPr>
                <w:rFonts w:ascii="Arial" w:cs="Arial" w:eastAsia="Arial" w:hAnsi="Arial"/>
                <w:sz w:val="11"/>
                <w:szCs w:val="11"/>
                <w:b w:val="1"/>
                <w:bCs w:val="1"/>
                <w:color w:val="auto"/>
              </w:rPr>
              <w:t>December 31,</w:t>
            </w:r>
          </w:p>
        </w:tc>
      </w:tr>
      <w:tr>
        <w:trPr>
          <w:trHeight w:val="157"/>
        </w:trPr>
        <w:tc>
          <w:tcPr>
            <w:tcW w:w="8360" w:type="dxa"/>
            <w:vAlign w:val="bottom"/>
          </w:tcPr>
          <w:p>
            <w:pPr>
              <w:spacing w:after="0"/>
              <w:rPr>
                <w:sz w:val="13"/>
                <w:szCs w:val="13"/>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2019</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2018</w:t>
            </w:r>
          </w:p>
        </w:tc>
      </w:tr>
      <w:tr>
        <w:trPr>
          <w:trHeight w:val="163"/>
        </w:trPr>
        <w:tc>
          <w:tcPr>
            <w:tcW w:w="8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160" w:type="dxa"/>
            <w:vAlign w:val="bottom"/>
          </w:tcPr>
          <w:p>
            <w:pPr>
              <w:spacing w:after="0"/>
              <w:rPr>
                <w:sz w:val="14"/>
                <w:szCs w:val="14"/>
                <w:color w:val="auto"/>
              </w:rPr>
            </w:pPr>
          </w:p>
        </w:tc>
      </w:tr>
      <w:tr>
        <w:trPr>
          <w:trHeight w:val="220"/>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Fee-for-service claims incurred but not paid (“IBNP”)</w:t>
            </w:r>
          </w:p>
        </w:tc>
        <w:tc>
          <w:tcPr>
            <w:tcW w:w="1020" w:type="dxa"/>
            <w:vAlign w:val="bottom"/>
            <w:shd w:val="clear" w:color="auto" w:fill="CCEEFF"/>
          </w:tcPr>
          <w:p>
            <w:pPr>
              <w:jc w:val="right"/>
              <w:ind w:right="859"/>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1,562</w:t>
            </w:r>
          </w:p>
        </w:tc>
      </w:tr>
      <w:tr>
        <w:trPr>
          <w:trHeight w:val="208"/>
        </w:trPr>
        <w:tc>
          <w:tcPr>
            <w:tcW w:w="8360" w:type="dxa"/>
            <w:vAlign w:val="bottom"/>
          </w:tcPr>
          <w:p>
            <w:pPr>
              <w:ind w:left="20"/>
              <w:spacing w:after="0"/>
              <w:rPr>
                <w:sz w:val="20"/>
                <w:szCs w:val="20"/>
                <w:color w:val="auto"/>
              </w:rPr>
            </w:pPr>
            <w:r>
              <w:rPr>
                <w:rFonts w:ascii="Arial" w:cs="Arial" w:eastAsia="Arial" w:hAnsi="Arial"/>
                <w:sz w:val="13"/>
                <w:szCs w:val="13"/>
                <w:color w:val="auto"/>
              </w:rPr>
              <w:t>Pharmacy payable</w:t>
            </w:r>
          </w:p>
        </w:tc>
        <w:tc>
          <w:tcPr>
            <w:tcW w:w="1020" w:type="dxa"/>
            <w:vAlign w:val="bottom"/>
          </w:tcPr>
          <w:p>
            <w:pPr>
              <w:spacing w:after="0"/>
              <w:rPr>
                <w:sz w:val="18"/>
                <w:szCs w:val="18"/>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115</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Capitation payable</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w:t>
            </w:r>
          </w:p>
        </w:tc>
      </w:tr>
      <w:tr>
        <w:trPr>
          <w:trHeight w:val="20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241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232</w:t>
            </w:r>
          </w:p>
        </w:tc>
      </w:tr>
      <w:tr>
        <w:trPr>
          <w:trHeight w:val="185"/>
        </w:trPr>
        <w:tc>
          <w:tcPr>
            <w:tcW w:w="83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1,767</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1,961</w:t>
            </w:r>
          </w:p>
        </w:tc>
      </w:tr>
      <w:tr>
        <w:trPr>
          <w:trHeight w:val="20"/>
        </w:trPr>
        <w:tc>
          <w:tcPr>
            <w:tcW w:w="8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“Other” medical claims and benefits payable includes amounts payable to certain providers for which we act as an intermediary on behalf of various government agencies without assuming financial risk. Such receipts and payments do not impact our consolidated statements of income. Non-risk provider payables amounted to $112 million and $107 million as of June 30, 2019, and December 31, 2018, respectively.</w:t>
      </w:r>
    </w:p>
    <w:p>
      <w:pPr>
        <w:spacing w:after="0" w:line="70"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The following table presents the components of the change in our medical claims and benefits payable for the periods indicated. The amounts presented for “Components of medical care costs related to: Prior periods” represent the amounts by which our original estimate of medical claims and benefits payable at the beginning of the period were more than the actual amount of the liability, based on information (principally the payment of claims) developed since that liability was first reported.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360" w:type="dxa"/>
            <w:vAlign w:val="bottom"/>
          </w:tcPr>
          <w:p>
            <w:pPr>
              <w:spacing w:after="0"/>
              <w:rPr>
                <w:sz w:val="13"/>
                <w:szCs w:val="13"/>
                <w:color w:val="auto"/>
              </w:rPr>
            </w:pPr>
          </w:p>
        </w:tc>
        <w:tc>
          <w:tcPr>
            <w:tcW w:w="2580" w:type="dxa"/>
            <w:vAlign w:val="bottom"/>
            <w:tcBorders>
              <w:bottom w:val="single" w:sz="8" w:color="auto"/>
            </w:tcBorders>
            <w:gridSpan w:val="4"/>
          </w:tcPr>
          <w:p>
            <w:pPr>
              <w:jc w:val="right"/>
              <w:ind w:right="218"/>
              <w:spacing w:after="0"/>
              <w:rPr>
                <w:sz w:val="20"/>
                <w:szCs w:val="20"/>
                <w:color w:val="auto"/>
              </w:rPr>
            </w:pPr>
            <w:r>
              <w:rPr>
                <w:rFonts w:ascii="Arial" w:cs="Arial" w:eastAsia="Arial" w:hAnsi="Arial"/>
                <w:sz w:val="11"/>
                <w:szCs w:val="11"/>
                <w:b w:val="1"/>
                <w:bCs w:val="1"/>
                <w:color w:val="auto"/>
              </w:rPr>
              <w:t>Six Months Ended June 30,</w:t>
            </w:r>
          </w:p>
        </w:tc>
        <w:tc>
          <w:tcPr>
            <w:tcW w:w="520" w:type="dxa"/>
            <w:vAlign w:val="bottom"/>
            <w:tcBorders>
              <w:bottom w:val="single" w:sz="8" w:color="auto"/>
            </w:tcBorders>
          </w:tcPr>
          <w:p>
            <w:pPr>
              <w:spacing w:after="0"/>
              <w:rPr>
                <w:sz w:val="13"/>
                <w:szCs w:val="13"/>
                <w:color w:val="auto"/>
              </w:rPr>
            </w:pPr>
          </w:p>
        </w:tc>
      </w:tr>
      <w:tr>
        <w:trPr>
          <w:trHeight w:val="206"/>
        </w:trPr>
        <w:tc>
          <w:tcPr>
            <w:tcW w:w="8360" w:type="dxa"/>
            <w:vAlign w:val="bottom"/>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1"/>
                <w:szCs w:val="11"/>
                <w:b w:val="1"/>
                <w:bCs w:val="1"/>
                <w:color w:val="auto"/>
              </w:rPr>
              <w:t>2018</w:t>
            </w:r>
          </w:p>
        </w:tc>
        <w:tc>
          <w:tcPr>
            <w:tcW w:w="520" w:type="dxa"/>
            <w:vAlign w:val="bottom"/>
            <w:tcBorders>
              <w:bottom w:val="single" w:sz="8" w:color="auto"/>
            </w:tcBorders>
          </w:tcPr>
          <w:p>
            <w:pPr>
              <w:spacing w:after="0"/>
              <w:rPr>
                <w:sz w:val="17"/>
                <w:szCs w:val="17"/>
                <w:color w:val="auto"/>
              </w:rPr>
            </w:pPr>
          </w:p>
        </w:tc>
      </w:tr>
      <w:tr>
        <w:trPr>
          <w:trHeight w:val="163"/>
        </w:trPr>
        <w:tc>
          <w:tcPr>
            <w:tcW w:w="8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0" w:type="dxa"/>
            <w:vAlign w:val="bottom"/>
            <w:gridSpan w:val="3"/>
          </w:tcPr>
          <w:p>
            <w:pPr>
              <w:jc w:val="right"/>
              <w:ind w:right="638"/>
              <w:spacing w:after="0"/>
              <w:rPr>
                <w:sz w:val="20"/>
                <w:szCs w:val="20"/>
                <w:color w:val="auto"/>
              </w:rPr>
            </w:pPr>
            <w:r>
              <w:rPr>
                <w:rFonts w:ascii="Arial" w:cs="Arial" w:eastAsia="Arial" w:hAnsi="Arial"/>
                <w:sz w:val="11"/>
                <w:szCs w:val="11"/>
                <w:b w:val="1"/>
                <w:bCs w:val="1"/>
                <w:color w:val="auto"/>
              </w:rPr>
              <w:t>(In millions)</w:t>
            </w:r>
          </w:p>
        </w:tc>
        <w:tc>
          <w:tcPr>
            <w:tcW w:w="520" w:type="dxa"/>
            <w:vAlign w:val="bottom"/>
          </w:tcPr>
          <w:p>
            <w:pPr>
              <w:spacing w:after="0"/>
              <w:rPr>
                <w:sz w:val="14"/>
                <w:szCs w:val="14"/>
                <w:color w:val="auto"/>
              </w:rPr>
            </w:pPr>
          </w:p>
        </w:tc>
      </w:tr>
      <w:tr>
        <w:trPr>
          <w:trHeight w:val="220"/>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Medical claims and benefits payable, beginning balance</w:t>
            </w:r>
          </w:p>
        </w:tc>
        <w:tc>
          <w:tcPr>
            <w:tcW w:w="98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1,961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98"/>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2,192</w:t>
            </w:r>
          </w:p>
        </w:tc>
      </w:tr>
      <w:tr>
        <w:trPr>
          <w:trHeight w:val="208"/>
        </w:trPr>
        <w:tc>
          <w:tcPr>
            <w:tcW w:w="8360" w:type="dxa"/>
            <w:vAlign w:val="bottom"/>
          </w:tcPr>
          <w:p>
            <w:pPr>
              <w:ind w:left="20"/>
              <w:spacing w:after="0"/>
              <w:rPr>
                <w:sz w:val="20"/>
                <w:szCs w:val="20"/>
                <w:color w:val="auto"/>
              </w:rPr>
            </w:pPr>
            <w:r>
              <w:rPr>
                <w:rFonts w:ascii="Arial" w:cs="Arial" w:eastAsia="Arial" w:hAnsi="Arial"/>
                <w:sz w:val="13"/>
                <w:szCs w:val="13"/>
                <w:color w:val="auto"/>
              </w:rPr>
              <w:t>Components of medical care costs related to:</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3"/>
        </w:trPr>
        <w:tc>
          <w:tcPr>
            <w:tcW w:w="83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Current period</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7,069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7,870</w:t>
            </w:r>
          </w:p>
        </w:tc>
      </w:tr>
      <w:tr>
        <w:trPr>
          <w:trHeight w:val="216"/>
        </w:trPr>
        <w:tc>
          <w:tcPr>
            <w:tcW w:w="836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 xml:space="preserve">Prior periods </w:t>
            </w:r>
            <w:r>
              <w:rPr>
                <w:rFonts w:ascii="Arial" w:cs="Arial" w:eastAsia="Arial" w:hAnsi="Arial"/>
                <w:sz w:val="17"/>
                <w:szCs w:val="17"/>
                <w:color w:val="auto"/>
                <w:vertAlign w:val="superscript"/>
              </w:rPr>
              <w:t>(1)</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w:t>
            </w:r>
          </w:p>
        </w:tc>
      </w:tr>
      <w:tr>
        <w:trPr>
          <w:trHeight w:val="188"/>
        </w:trPr>
        <w:tc>
          <w:tcPr>
            <w:tcW w:w="83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medical care costs</w:t>
            </w:r>
          </w:p>
        </w:tc>
        <w:tc>
          <w:tcPr>
            <w:tcW w:w="9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6,837</w:t>
            </w:r>
          </w:p>
        </w:tc>
        <w:tc>
          <w:tcPr>
            <w:tcW w:w="12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7,572</w:t>
            </w:r>
          </w:p>
        </w:tc>
      </w:tr>
      <w:tr>
        <w:trPr>
          <w:trHeight w:val="196"/>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Change in non-risk and other provider payables</w:t>
            </w: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56</w:t>
            </w:r>
          </w:p>
        </w:tc>
      </w:tr>
      <w:tr>
        <w:trPr>
          <w:trHeight w:val="214"/>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for medical care costs related to:</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8"/>
        </w:trPr>
        <w:tc>
          <w:tcPr>
            <w:tcW w:w="8360" w:type="dxa"/>
            <w:vAlign w:val="bottom"/>
          </w:tcPr>
          <w:p>
            <w:pPr>
              <w:ind w:left="300"/>
              <w:spacing w:after="0"/>
              <w:rPr>
                <w:sz w:val="20"/>
                <w:szCs w:val="20"/>
                <w:color w:val="auto"/>
              </w:rPr>
            </w:pPr>
            <w:r>
              <w:rPr>
                <w:rFonts w:ascii="Arial" w:cs="Arial" w:eastAsia="Arial" w:hAnsi="Arial"/>
                <w:sz w:val="13"/>
                <w:szCs w:val="13"/>
                <w:color w:val="auto"/>
              </w:rPr>
              <w:t>Current period</w:t>
            </w:r>
          </w:p>
        </w:tc>
        <w:tc>
          <w:tcPr>
            <w:tcW w:w="980" w:type="dxa"/>
            <w:vAlign w:val="bottom"/>
          </w:tcPr>
          <w:p>
            <w:pPr>
              <w:spacing w:after="0"/>
              <w:rPr>
                <w:sz w:val="18"/>
                <w:szCs w:val="18"/>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5,585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6,248</w:t>
            </w:r>
          </w:p>
        </w:tc>
      </w:tr>
      <w:tr>
        <w:trPr>
          <w:trHeight w:val="216"/>
        </w:trPr>
        <w:tc>
          <w:tcPr>
            <w:tcW w:w="83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Prior periods</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1,450</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1,652</w:t>
            </w:r>
          </w:p>
        </w:tc>
      </w:tr>
      <w:tr>
        <w:trPr>
          <w:trHeight w:val="196"/>
        </w:trPr>
        <w:tc>
          <w:tcPr>
            <w:tcW w:w="836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Total paid</w:t>
            </w: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7,035</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7,900</w:t>
            </w:r>
          </w:p>
        </w:tc>
      </w:tr>
      <w:tr>
        <w:trPr>
          <w:trHeight w:val="19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Medical claims and benefits payable, ending balance</w:t>
            </w:r>
          </w:p>
        </w:tc>
        <w:tc>
          <w:tcPr>
            <w:tcW w:w="98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1,767</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798"/>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1,920</w:t>
            </w:r>
          </w:p>
        </w:tc>
      </w:tr>
      <w:tr>
        <w:trPr>
          <w:trHeight w:val="20"/>
        </w:trPr>
        <w:tc>
          <w:tcPr>
            <w:tcW w:w="8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(1)  The June 30, 2018, amount includes the 2018 benefit of the 2017 Marketplace CSR reimbursement of $76 million.</w:t>
      </w:r>
    </w:p>
    <w:p>
      <w:pPr>
        <w:spacing w:after="0" w:line="85"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Our estimates of medical claims and benefits payable recorded at December 31, 2018, and 2017 developed favorably by approximately $232 million and $298 million as of June 30, 2019, and 2018, respectively.</w:t>
      </w:r>
    </w:p>
    <w:p>
      <w:pPr>
        <w:spacing w:after="0" w:line="65"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The favorable prior year development recognized in the six months ended June 30, 2019, was primarily due to lower than expected utilization of medical services by our Medicaid members, and improved operating performance. Consequently, the ultimate costs recognized in 2019, as claims payments were processed, was lower than our original estimates in 2018.</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18</w:t>
      </w:r>
    </w:p>
    <w:p>
      <w:pPr>
        <w:sectPr>
          <w:pgSz w:w="11900" w:h="16838" w:orient="portrait"/>
          <w:cols w:equalWidth="0" w:num="1">
            <w:col w:w="11460"/>
          </w:cols>
          <w:pgMar w:left="220" w:top="140" w:right="21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828282"/>
        </w:rPr>
        <w:t>7. Debt</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2019, contractual maturities of debt were as follows. All amounts represent the principal amounts of the debt instruments outstanding.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96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w:t>
            </w: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2021</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2022</w:t>
            </w: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2023</w:t>
            </w: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b w:val="1"/>
                <w:bCs w:val="1"/>
                <w:color w:val="auto"/>
              </w:rPr>
              <w:t>Thereafter</w:t>
            </w:r>
          </w:p>
        </w:tc>
      </w:tr>
      <w:tr>
        <w:trPr>
          <w:trHeight w:val="196"/>
        </w:trPr>
        <w:tc>
          <w:tcPr>
            <w:tcW w:w="1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ind w:left="100"/>
              <w:spacing w:after="0"/>
              <w:rPr>
                <w:sz w:val="20"/>
                <w:szCs w:val="20"/>
                <w:color w:val="auto"/>
              </w:rPr>
            </w:pPr>
            <w:r>
              <w:rPr>
                <w:rFonts w:ascii="Arial" w:cs="Arial" w:eastAsia="Arial" w:hAnsi="Arial"/>
                <w:sz w:val="11"/>
                <w:szCs w:val="11"/>
                <w:b w:val="1"/>
                <w:bCs w:val="1"/>
                <w:color w:val="auto"/>
              </w:rPr>
              <w:t>(In millions)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0"/>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5.375% Notes</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700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08"/>
        </w:trPr>
        <w:tc>
          <w:tcPr>
            <w:tcW w:w="1960" w:type="dxa"/>
            <w:vAlign w:val="bottom"/>
          </w:tcPr>
          <w:p>
            <w:pPr>
              <w:ind w:left="20"/>
              <w:spacing w:after="0"/>
              <w:rPr>
                <w:sz w:val="20"/>
                <w:szCs w:val="20"/>
                <w:color w:val="auto"/>
              </w:rPr>
            </w:pPr>
            <w:r>
              <w:rPr>
                <w:rFonts w:ascii="Arial" w:cs="Arial" w:eastAsia="Arial" w:hAnsi="Arial"/>
                <w:sz w:val="13"/>
                <w:szCs w:val="13"/>
                <w:color w:val="auto"/>
              </w:rPr>
              <w:t>4.875% Notes</w:t>
            </w:r>
          </w:p>
        </w:tc>
        <w:tc>
          <w:tcPr>
            <w:tcW w:w="800" w:type="dxa"/>
            <w:vAlign w:val="bottom"/>
          </w:tcPr>
          <w:p>
            <w:pPr>
              <w:spacing w:after="0"/>
              <w:rPr>
                <w:sz w:val="18"/>
                <w:szCs w:val="18"/>
                <w:color w:val="auto"/>
              </w:rPr>
            </w:pPr>
          </w:p>
        </w:tc>
        <w:tc>
          <w:tcPr>
            <w:tcW w:w="460" w:type="dxa"/>
            <w:vAlign w:val="bottom"/>
          </w:tcPr>
          <w:p>
            <w:pPr>
              <w:jc w:val="right"/>
              <w:ind w:right="55"/>
              <w:spacing w:after="0"/>
              <w:rPr>
                <w:sz w:val="20"/>
                <w:szCs w:val="20"/>
                <w:color w:val="auto"/>
              </w:rPr>
            </w:pPr>
            <w:r>
              <w:rPr>
                <w:rFonts w:ascii="Arial" w:cs="Arial" w:eastAsia="Arial" w:hAnsi="Arial"/>
                <w:sz w:val="13"/>
                <w:szCs w:val="13"/>
                <w:color w:val="auto"/>
              </w:rPr>
              <w:t>330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330</w:t>
            </w:r>
          </w:p>
        </w:tc>
      </w:tr>
      <w:tr>
        <w:trPr>
          <w:trHeight w:val="223"/>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Term Loan Facility</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08"/>
        </w:trPr>
        <w:tc>
          <w:tcPr>
            <w:tcW w:w="1960" w:type="dxa"/>
            <w:vAlign w:val="bottom"/>
          </w:tcPr>
          <w:p>
            <w:pPr>
              <w:ind w:left="20"/>
              <w:spacing w:after="0"/>
              <w:rPr>
                <w:sz w:val="20"/>
                <w:szCs w:val="20"/>
                <w:color w:val="auto"/>
              </w:rPr>
            </w:pPr>
            <w:r>
              <w:rPr>
                <w:rFonts w:ascii="Arial" w:cs="Arial" w:eastAsia="Arial" w:hAnsi="Arial"/>
                <w:sz w:val="13"/>
                <w:szCs w:val="13"/>
                <w:color w:val="auto"/>
              </w:rPr>
              <w:t>1.125% Convertible Notes</w:t>
            </w:r>
          </w:p>
        </w:tc>
        <w:tc>
          <w:tcPr>
            <w:tcW w:w="800" w:type="dxa"/>
            <w:vAlign w:val="bottom"/>
          </w:tcPr>
          <w:p>
            <w:pPr>
              <w:spacing w:after="0"/>
              <w:rPr>
                <w:sz w:val="18"/>
                <w:szCs w:val="18"/>
                <w:color w:val="auto"/>
              </w:rPr>
            </w:pPr>
          </w:p>
        </w:tc>
        <w:tc>
          <w:tcPr>
            <w:tcW w:w="460" w:type="dxa"/>
            <w:vAlign w:val="bottom"/>
          </w:tcPr>
          <w:p>
            <w:pPr>
              <w:jc w:val="right"/>
              <w:ind w:right="55"/>
              <w:spacing w:after="0"/>
              <w:rPr>
                <w:sz w:val="20"/>
                <w:szCs w:val="20"/>
                <w:color w:val="auto"/>
              </w:rPr>
            </w:pPr>
            <w:r>
              <w:rPr>
                <w:rFonts w:ascii="Arial" w:cs="Arial" w:eastAsia="Arial" w:hAnsi="Arial"/>
                <w:sz w:val="13"/>
                <w:szCs w:val="13"/>
                <w:color w:val="auto"/>
              </w:rPr>
              <w:t>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90"/>
        </w:trPr>
        <w:tc>
          <w:tcPr>
            <w:tcW w:w="196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Totals</w:t>
            </w:r>
          </w:p>
        </w:tc>
        <w:tc>
          <w:tcPr>
            <w:tcW w:w="800" w:type="dxa"/>
            <w:vAlign w:val="bottom"/>
            <w:tcBorders>
              <w:top w:val="single" w:sz="8" w:color="auto"/>
              <w:bottom w:val="single" w:sz="8" w:color="auto"/>
            </w:tcBorders>
            <w:shd w:val="clear" w:color="auto" w:fill="CCEEFF"/>
          </w:tcPr>
          <w:p>
            <w:pPr>
              <w:jc w:val="right"/>
              <w:ind w:right="638"/>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1,317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722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154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330</w:t>
            </w:r>
          </w:p>
        </w:tc>
      </w:tr>
      <w:tr>
        <w:trPr>
          <w:trHeight w:val="20"/>
        </w:trPr>
        <w:tc>
          <w:tcPr>
            <w:tcW w:w="1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right="440"/>
        <w:spacing w:after="0" w:line="273" w:lineRule="auto"/>
        <w:rPr>
          <w:sz w:val="20"/>
          <w:szCs w:val="20"/>
          <w:color w:val="auto"/>
        </w:rPr>
      </w:pPr>
      <w:r>
        <w:rPr>
          <w:rFonts w:ascii="Arial" w:cs="Arial" w:eastAsia="Arial" w:hAnsi="Arial"/>
          <w:sz w:val="14"/>
          <w:szCs w:val="14"/>
          <w:color w:val="auto"/>
        </w:rPr>
        <w:t>All of our debt is held at the parent, which is reported, for segment purposes, in the Other segment. The following table summarizes our outstanding debt obligations and their classification in the accompanying consolidated balance sheets: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0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June 30,</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ind w:right="297"/>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57"/>
        </w:trPr>
        <w:tc>
          <w:tcPr>
            <w:tcW w:w="600" w:type="dxa"/>
            <w:vAlign w:val="bottom"/>
          </w:tcPr>
          <w:p>
            <w:pPr>
              <w:spacing w:after="0"/>
              <w:rPr>
                <w:sz w:val="13"/>
                <w:szCs w:val="13"/>
                <w:color w:val="auto"/>
              </w:rPr>
            </w:pPr>
          </w:p>
        </w:tc>
        <w:tc>
          <w:tcPr>
            <w:tcW w:w="7760" w:type="dxa"/>
            <w:vAlign w:val="bottom"/>
          </w:tcPr>
          <w:p>
            <w:pPr>
              <w:spacing w:after="0"/>
              <w:rPr>
                <w:sz w:val="13"/>
                <w:szCs w:val="13"/>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1"/>
                <w:szCs w:val="11"/>
                <w:b w:val="1"/>
                <w:bCs w:val="1"/>
                <w:color w:val="auto"/>
              </w:rPr>
              <w:t>2019</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Current portion of long-term debt:</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00" w:type="dxa"/>
            <w:vAlign w:val="bottom"/>
          </w:tcPr>
          <w:p>
            <w:pPr>
              <w:ind w:left="140"/>
              <w:spacing w:after="0"/>
              <w:rPr>
                <w:sz w:val="20"/>
                <w:szCs w:val="20"/>
                <w:color w:val="auto"/>
              </w:rPr>
            </w:pPr>
            <w:r>
              <w:rPr>
                <w:rFonts w:ascii="Arial" w:cs="Arial" w:eastAsia="Arial" w:hAnsi="Arial"/>
                <w:sz w:val="13"/>
                <w:szCs w:val="13"/>
                <w:color w:val="auto"/>
                <w:w w:val="99"/>
              </w:rPr>
              <w:t>1.125%</w:t>
            </w:r>
          </w:p>
        </w:tc>
        <w:tc>
          <w:tcPr>
            <w:tcW w:w="7760" w:type="dxa"/>
            <w:vAlign w:val="bottom"/>
          </w:tcPr>
          <w:p>
            <w:pPr>
              <w:ind w:left="20"/>
              <w:spacing w:after="0"/>
              <w:rPr>
                <w:sz w:val="20"/>
                <w:szCs w:val="20"/>
                <w:color w:val="auto"/>
              </w:rPr>
            </w:pPr>
            <w:r>
              <w:rPr>
                <w:rFonts w:ascii="Arial" w:cs="Arial" w:eastAsia="Arial" w:hAnsi="Arial"/>
                <w:sz w:val="13"/>
                <w:szCs w:val="13"/>
                <w:color w:val="auto"/>
              </w:rPr>
              <w:t>Convertible Notes, net of unamortized discount</w:t>
            </w:r>
          </w:p>
        </w:tc>
        <w:tc>
          <w:tcPr>
            <w:tcW w:w="1020" w:type="dxa"/>
            <w:vAlign w:val="bottom"/>
          </w:tcPr>
          <w:p>
            <w:pPr>
              <w:jc w:val="right"/>
              <w:ind w:right="858"/>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56"/>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8"/>
                <w:szCs w:val="18"/>
                <w:color w:val="auto"/>
              </w:rPr>
            </w:pPr>
          </w:p>
        </w:tc>
        <w:tc>
          <w:tcPr>
            <w:tcW w:w="32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241</w:t>
            </w:r>
          </w:p>
        </w:tc>
        <w:tc>
          <w:tcPr>
            <w:tcW w:w="0" w:type="dxa"/>
            <w:vAlign w:val="bottom"/>
          </w:tcPr>
          <w:p>
            <w:pPr>
              <w:spacing w:after="0"/>
              <w:rPr>
                <w:sz w:val="1"/>
                <w:szCs w:val="1"/>
                <w:color w:val="auto"/>
              </w:rPr>
            </w:pPr>
          </w:p>
        </w:tc>
      </w:tr>
      <w:tr>
        <w:trPr>
          <w:trHeight w:val="223"/>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Lease financing obligations</w:t>
            </w:r>
          </w:p>
        </w:tc>
        <w:tc>
          <w:tcPr>
            <w:tcW w:w="10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8"/>
        </w:trPr>
        <w:tc>
          <w:tcPr>
            <w:tcW w:w="8360" w:type="dxa"/>
            <w:vAlign w:val="bottom"/>
            <w:gridSpan w:val="2"/>
          </w:tcPr>
          <w:p>
            <w:pPr>
              <w:ind w:left="140"/>
              <w:spacing w:after="0"/>
              <w:rPr>
                <w:sz w:val="20"/>
                <w:szCs w:val="20"/>
                <w:color w:val="auto"/>
              </w:rPr>
            </w:pPr>
            <w:r>
              <w:rPr>
                <w:rFonts w:ascii="Arial" w:cs="Arial" w:eastAsia="Arial" w:hAnsi="Arial"/>
                <w:sz w:val="13"/>
                <w:szCs w:val="13"/>
                <w:color w:val="auto"/>
              </w:rPr>
              <w:t>Debt issuance costs</w:t>
            </w:r>
          </w:p>
        </w:tc>
        <w:tc>
          <w:tcPr>
            <w:tcW w:w="102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5"/>
        </w:trPr>
        <w:tc>
          <w:tcPr>
            <w:tcW w:w="600" w:type="dxa"/>
            <w:vAlign w:val="bottom"/>
            <w:tcBorders>
              <w:top w:val="single" w:sz="8" w:color="CCEEFF"/>
              <w:bottom w:val="single" w:sz="8" w:color="CCEEFF"/>
            </w:tcBorders>
            <w:shd w:val="clear" w:color="auto" w:fill="CCEEFF"/>
          </w:tcPr>
          <w:p>
            <w:pPr>
              <w:spacing w:after="0"/>
              <w:rPr>
                <w:sz w:val="16"/>
                <w:szCs w:val="16"/>
                <w:color w:val="auto"/>
              </w:rPr>
            </w:pPr>
          </w:p>
        </w:tc>
        <w:tc>
          <w:tcPr>
            <w:tcW w:w="776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ind w:right="858"/>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65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241</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Non-current portion of long-term debt:</w:t>
            </w: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360" w:type="dxa"/>
            <w:vAlign w:val="bottom"/>
            <w:gridSpan w:val="2"/>
            <w:vMerge w:val="continue"/>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9"/>
              </w:rPr>
              <w:t>5.375%</w:t>
            </w:r>
          </w:p>
        </w:tc>
        <w:tc>
          <w:tcPr>
            <w:tcW w:w="7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Notes</w:t>
            </w:r>
          </w:p>
        </w:tc>
        <w:tc>
          <w:tcPr>
            <w:tcW w:w="1020" w:type="dxa"/>
            <w:vAlign w:val="bottom"/>
            <w:shd w:val="clear" w:color="auto" w:fill="CCEEFF"/>
          </w:tcPr>
          <w:p>
            <w:pPr>
              <w:jc w:val="right"/>
              <w:ind w:right="858"/>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700</w:t>
            </w:r>
          </w:p>
        </w:tc>
        <w:tc>
          <w:tcPr>
            <w:tcW w:w="0" w:type="dxa"/>
            <w:vAlign w:val="bottom"/>
          </w:tcPr>
          <w:p>
            <w:pPr>
              <w:spacing w:after="0"/>
              <w:rPr>
                <w:sz w:val="1"/>
                <w:szCs w:val="1"/>
                <w:color w:val="auto"/>
              </w:rPr>
            </w:pPr>
          </w:p>
        </w:tc>
      </w:tr>
      <w:tr>
        <w:trPr>
          <w:trHeight w:val="208"/>
        </w:trPr>
        <w:tc>
          <w:tcPr>
            <w:tcW w:w="600" w:type="dxa"/>
            <w:vAlign w:val="bottom"/>
          </w:tcPr>
          <w:p>
            <w:pPr>
              <w:ind w:left="140"/>
              <w:spacing w:after="0"/>
              <w:rPr>
                <w:sz w:val="20"/>
                <w:szCs w:val="20"/>
                <w:color w:val="auto"/>
              </w:rPr>
            </w:pPr>
            <w:r>
              <w:rPr>
                <w:rFonts w:ascii="Arial" w:cs="Arial" w:eastAsia="Arial" w:hAnsi="Arial"/>
                <w:sz w:val="13"/>
                <w:szCs w:val="13"/>
                <w:color w:val="auto"/>
                <w:w w:val="99"/>
              </w:rPr>
              <w:t>4.875%</w:t>
            </w:r>
          </w:p>
        </w:tc>
        <w:tc>
          <w:tcPr>
            <w:tcW w:w="7760" w:type="dxa"/>
            <w:vAlign w:val="bottom"/>
          </w:tcPr>
          <w:p>
            <w:pPr>
              <w:ind w:left="20"/>
              <w:spacing w:after="0"/>
              <w:rPr>
                <w:sz w:val="20"/>
                <w:szCs w:val="20"/>
                <w:color w:val="auto"/>
              </w:rPr>
            </w:pPr>
            <w:r>
              <w:rPr>
                <w:rFonts w:ascii="Arial" w:cs="Arial" w:eastAsia="Arial" w:hAnsi="Arial"/>
                <w:sz w:val="13"/>
                <w:szCs w:val="13"/>
                <w:color w:val="auto"/>
              </w:rPr>
              <w:t>Notes</w:t>
            </w:r>
          </w:p>
        </w:tc>
        <w:tc>
          <w:tcPr>
            <w:tcW w:w="1020" w:type="dxa"/>
            <w:vAlign w:val="bottom"/>
          </w:tcPr>
          <w:p>
            <w:pPr>
              <w:spacing w:after="0"/>
              <w:rPr>
                <w:sz w:val="18"/>
                <w:szCs w:val="18"/>
                <w:color w:val="auto"/>
              </w:rPr>
            </w:pPr>
          </w:p>
        </w:tc>
        <w:tc>
          <w:tcPr>
            <w:tcW w:w="480" w:type="dxa"/>
            <w:vAlign w:val="bottom"/>
          </w:tcPr>
          <w:p>
            <w:pPr>
              <w:jc w:val="right"/>
              <w:ind w:right="56"/>
              <w:spacing w:after="0"/>
              <w:rPr>
                <w:sz w:val="20"/>
                <w:szCs w:val="20"/>
                <w:color w:val="auto"/>
              </w:rPr>
            </w:pPr>
            <w:r>
              <w:rPr>
                <w:rFonts w:ascii="Arial" w:cs="Arial" w:eastAsia="Arial" w:hAnsi="Arial"/>
                <w:sz w:val="13"/>
                <w:szCs w:val="13"/>
                <w:color w:val="auto"/>
              </w:rPr>
              <w:t>330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330</w:t>
            </w:r>
          </w:p>
        </w:tc>
        <w:tc>
          <w:tcPr>
            <w:tcW w:w="0" w:type="dxa"/>
            <w:vAlign w:val="bottom"/>
          </w:tcPr>
          <w:p>
            <w:pPr>
              <w:spacing w:after="0"/>
              <w:rPr>
                <w:sz w:val="1"/>
                <w:szCs w:val="1"/>
                <w:color w:val="auto"/>
              </w:rPr>
            </w:pPr>
          </w:p>
        </w:tc>
      </w:tr>
      <w:tr>
        <w:trPr>
          <w:trHeight w:val="223"/>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Term Loan Facility</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8"/>
        </w:trPr>
        <w:tc>
          <w:tcPr>
            <w:tcW w:w="836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Debt issuance costs</w:t>
            </w: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3"/>
                <w:szCs w:val="13"/>
                <w:color w:val="auto"/>
              </w:rPr>
              <w:t>Totals</w:t>
            </w:r>
          </w:p>
        </w:tc>
        <w:tc>
          <w:tcPr>
            <w:tcW w:w="1020" w:type="dxa"/>
            <w:vAlign w:val="bottom"/>
            <w:tcBorders>
              <w:bottom w:val="single" w:sz="8" w:color="auto"/>
            </w:tcBorders>
            <w:shd w:val="clear" w:color="auto" w:fill="CCEEFF"/>
          </w:tcPr>
          <w:p>
            <w:pPr>
              <w:jc w:val="right"/>
              <w:ind w:right="858"/>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1,241</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1,020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Interest cost recognized relating to our convertible senior notes for the periods presented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16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238"/>
              <w:spacing w:after="0"/>
              <w:rPr>
                <w:sz w:val="20"/>
                <w:szCs w:val="20"/>
                <w:color w:val="auto"/>
              </w:rPr>
            </w:pPr>
            <w:r>
              <w:rPr>
                <w:rFonts w:ascii="Arial" w:cs="Arial" w:eastAsia="Arial" w:hAnsi="Arial"/>
                <w:sz w:val="11"/>
                <w:szCs w:val="11"/>
                <w:b w:val="1"/>
                <w:bCs w:val="1"/>
                <w:color w:val="auto"/>
              </w:rPr>
              <w:t>Three Months Ended June 30,</w:t>
            </w: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298"/>
              <w:spacing w:after="0"/>
              <w:rPr>
                <w:sz w:val="20"/>
                <w:szCs w:val="20"/>
                <w:color w:val="auto"/>
              </w:rPr>
            </w:pPr>
            <w:r>
              <w:rPr>
                <w:rFonts w:ascii="Arial" w:cs="Arial" w:eastAsia="Arial" w:hAnsi="Arial"/>
                <w:sz w:val="11"/>
                <w:szCs w:val="11"/>
                <w:b w:val="1"/>
                <w:bCs w:val="1"/>
                <w:color w:val="auto"/>
              </w:rPr>
              <w:t>Six Months Ended June 30,</w:t>
            </w:r>
          </w:p>
        </w:tc>
        <w:tc>
          <w:tcPr>
            <w:tcW w:w="420" w:type="dxa"/>
            <w:vAlign w:val="bottom"/>
            <w:tcBorders>
              <w:bottom w:val="single" w:sz="8" w:color="auto"/>
            </w:tcBorders>
          </w:tcPr>
          <w:p>
            <w:pPr>
              <w:spacing w:after="0"/>
              <w:rPr>
                <w:sz w:val="13"/>
                <w:szCs w:val="13"/>
                <w:color w:val="auto"/>
              </w:rPr>
            </w:pPr>
          </w:p>
        </w:tc>
      </w:tr>
      <w:tr>
        <w:trPr>
          <w:trHeight w:val="206"/>
        </w:trPr>
        <w:tc>
          <w:tcPr>
            <w:tcW w:w="5160" w:type="dxa"/>
            <w:vAlign w:val="bottom"/>
          </w:tcPr>
          <w:p>
            <w:pPr>
              <w:spacing w:after="0"/>
              <w:rPr>
                <w:sz w:val="17"/>
                <w:szCs w:val="17"/>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1"/>
                <w:szCs w:val="11"/>
                <w:b w:val="1"/>
                <w:bCs w:val="1"/>
                <w:color w:val="auto"/>
              </w:rPr>
              <w:t>2019</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8"/>
              <w:spacing w:after="0"/>
              <w:rPr>
                <w:sz w:val="20"/>
                <w:szCs w:val="20"/>
                <w:color w:val="auto"/>
              </w:rPr>
            </w:pPr>
            <w:r>
              <w:rPr>
                <w:rFonts w:ascii="Arial" w:cs="Arial" w:eastAsia="Arial" w:hAnsi="Arial"/>
                <w:sz w:val="11"/>
                <w:szCs w:val="11"/>
                <w:b w:val="1"/>
                <w:bCs w:val="1"/>
                <w:color w:val="auto"/>
              </w:rPr>
              <w:t>2018</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2019</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8"/>
              <w:spacing w:after="0"/>
              <w:rPr>
                <w:sz w:val="20"/>
                <w:szCs w:val="20"/>
                <w:color w:val="auto"/>
              </w:rPr>
            </w:pPr>
            <w:r>
              <w:rPr>
                <w:rFonts w:ascii="Arial" w:cs="Arial" w:eastAsia="Arial" w:hAnsi="Arial"/>
                <w:sz w:val="11"/>
                <w:szCs w:val="11"/>
                <w:b w:val="1"/>
                <w:bCs w:val="1"/>
                <w:color w:val="auto"/>
              </w:rPr>
              <w:t>2018</w:t>
            </w:r>
          </w:p>
        </w:tc>
        <w:tc>
          <w:tcPr>
            <w:tcW w:w="420" w:type="dxa"/>
            <w:vAlign w:val="bottom"/>
            <w:tcBorders>
              <w:bottom w:val="single" w:sz="8" w:color="auto"/>
            </w:tcBorders>
          </w:tcPr>
          <w:p>
            <w:pPr>
              <w:spacing w:after="0"/>
              <w:rPr>
                <w:sz w:val="17"/>
                <w:szCs w:val="17"/>
                <w:color w:val="auto"/>
              </w:rPr>
            </w:pPr>
          </w:p>
        </w:tc>
      </w:tr>
      <w:tr>
        <w:trPr>
          <w:trHeight w:val="196"/>
        </w:trPr>
        <w:tc>
          <w:tcPr>
            <w:tcW w:w="5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gridSpan w:val="3"/>
          </w:tcPr>
          <w:p>
            <w:pPr>
              <w:jc w:val="right"/>
              <w:ind w:right="799"/>
              <w:spacing w:after="0"/>
              <w:rPr>
                <w:sz w:val="20"/>
                <w:szCs w:val="20"/>
                <w:color w:val="auto"/>
              </w:rPr>
            </w:pPr>
            <w:r>
              <w:rPr>
                <w:rFonts w:ascii="Arial" w:cs="Arial" w:eastAsia="Arial" w:hAnsi="Arial"/>
                <w:sz w:val="11"/>
                <w:szCs w:val="11"/>
                <w:b w:val="1"/>
                <w:bCs w:val="1"/>
                <w:color w:val="auto"/>
              </w:rPr>
              <w:t>(In millions)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Contractual interest at coupon rate</w:t>
            </w:r>
          </w:p>
        </w:tc>
        <w:tc>
          <w:tcPr>
            <w:tcW w:w="1080" w:type="dxa"/>
            <w:vAlign w:val="bottom"/>
            <w:shd w:val="clear" w:color="auto" w:fill="CCEEFF"/>
          </w:tcPr>
          <w:p>
            <w:pPr>
              <w:jc w:val="right"/>
              <w:ind w:right="919"/>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898"/>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9"/>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98"/>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w:t>
            </w:r>
          </w:p>
        </w:tc>
      </w:tr>
      <w:tr>
        <w:trPr>
          <w:trHeight w:val="20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Amortization of the discount</w:t>
            </w: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13</w:t>
            </w:r>
          </w:p>
        </w:tc>
      </w:tr>
      <w:tr>
        <w:trPr>
          <w:trHeight w:val="185"/>
        </w:trPr>
        <w:tc>
          <w:tcPr>
            <w:tcW w:w="5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Totals</w:t>
            </w:r>
          </w:p>
        </w:tc>
        <w:tc>
          <w:tcPr>
            <w:tcW w:w="108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98"/>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98"/>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17</w:t>
            </w: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Agreement</w:t>
      </w:r>
    </w:p>
    <w:p>
      <w:pPr>
        <w:spacing w:after="0" w:line="200" w:lineRule="exact"/>
        <w:rPr>
          <w:sz w:val="20"/>
          <w:szCs w:val="20"/>
          <w:color w:val="auto"/>
        </w:rPr>
      </w:pPr>
    </w:p>
    <w:p>
      <w:pPr>
        <w:ind w:right="400"/>
        <w:spacing w:after="0" w:line="262" w:lineRule="auto"/>
        <w:rPr>
          <w:sz w:val="20"/>
          <w:szCs w:val="20"/>
          <w:color w:val="auto"/>
        </w:rPr>
      </w:pPr>
      <w:r>
        <w:rPr>
          <w:rFonts w:ascii="Arial" w:cs="Arial" w:eastAsia="Arial" w:hAnsi="Arial"/>
          <w:sz w:val="14"/>
          <w:szCs w:val="14"/>
          <w:color w:val="auto"/>
        </w:rPr>
        <w:t>We are party to a Credit Agreement, which provides for an unsecured delayed draw term loan facility (the “Term Loan Facility”), and an unsecured $500 million revolving credit facility (the “Credit Facility”). Borrowings under our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w:t>
      </w:r>
    </w:p>
    <w:p>
      <w:pPr>
        <w:spacing w:after="0" w:line="159" w:lineRule="exact"/>
        <w:rPr>
          <w:sz w:val="20"/>
          <w:szCs w:val="20"/>
          <w:color w:val="auto"/>
        </w:rPr>
      </w:pPr>
    </w:p>
    <w:p>
      <w:pPr>
        <w:ind w:right="380"/>
        <w:spacing w:after="0" w:line="265" w:lineRule="auto"/>
        <w:rPr>
          <w:sz w:val="20"/>
          <w:szCs w:val="20"/>
          <w:color w:val="auto"/>
        </w:rPr>
      </w:pPr>
      <w:r>
        <w:rPr>
          <w:rFonts w:ascii="Arial" w:cs="Arial" w:eastAsia="Arial" w:hAnsi="Arial"/>
          <w:sz w:val="14"/>
          <w:szCs w:val="14"/>
          <w:color w:val="auto"/>
        </w:rPr>
        <w:t>The Credit Agreement contains customary non-financial and financial covenants, including a net leverage ratio and an interest coverage ratio. As of June 30, 2019, we were in compliance with all financial and non-financial covenants under the Credit Agreement and other long-term debt. Effective as of the date of the Sixth Amendment to the Credit Agreement described below, there are no guarantors as parties to the Credit Agreement.</w:t>
      </w:r>
    </w:p>
    <w:p>
      <w:pPr>
        <w:spacing w:after="0" w:line="56" w:lineRule="exact"/>
        <w:rPr>
          <w:sz w:val="20"/>
          <w:szCs w:val="20"/>
          <w:color w:val="auto"/>
        </w:rPr>
      </w:pPr>
    </w:p>
    <w:p>
      <w:pPr>
        <w:ind w:right="300"/>
        <w:spacing w:after="0" w:line="294" w:lineRule="auto"/>
        <w:rPr>
          <w:sz w:val="20"/>
          <w:szCs w:val="20"/>
          <w:color w:val="auto"/>
        </w:rPr>
      </w:pPr>
      <w:r>
        <w:rPr>
          <w:rFonts w:ascii="Arial" w:cs="Arial" w:eastAsia="Arial" w:hAnsi="Arial"/>
          <w:sz w:val="14"/>
          <w:szCs w:val="14"/>
          <w:i w:val="1"/>
          <w:iCs w:val="1"/>
          <w:color w:val="auto"/>
        </w:rPr>
        <w:t>Term Loan Facility</w:t>
      </w:r>
      <w:r>
        <w:rPr>
          <w:rFonts w:ascii="Arial" w:cs="Arial" w:eastAsia="Arial" w:hAnsi="Arial"/>
          <w:sz w:val="14"/>
          <w:szCs w:val="14"/>
          <w:color w:val="auto"/>
        </w:rPr>
        <w:t>. In January 2019, we entered into a Sixth Amendment to the Credit Agreement that provided for a delayed draw Term Loan Facility in the aggregate principal</w:t>
      </w:r>
      <w:r>
        <w:rPr>
          <w:rFonts w:ascii="Arial" w:cs="Arial" w:eastAsia="Arial" w:hAnsi="Arial"/>
          <w:sz w:val="14"/>
          <w:szCs w:val="14"/>
          <w:i w:val="1"/>
          <w:iCs w:val="1"/>
          <w:color w:val="auto"/>
        </w:rPr>
        <w:t xml:space="preserve"> </w:t>
      </w:r>
      <w:r>
        <w:rPr>
          <w:rFonts w:ascii="Arial" w:cs="Arial" w:eastAsia="Arial" w:hAnsi="Arial"/>
          <w:sz w:val="14"/>
          <w:szCs w:val="14"/>
          <w:color w:val="auto"/>
        </w:rPr>
        <w:t>amount of $600 million, under which we may request up to ten advances, each in a minimum principal amount of $50 million, until July 31, 2020. The Term Loan Facility</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19</w:t>
      </w:r>
    </w:p>
    <w:p>
      <w:pPr>
        <w:sectPr>
          <w:pgSz w:w="11900" w:h="16838" w:orient="portrait"/>
          <w:cols w:equalWidth="0" w:num="1">
            <w:col w:w="11460"/>
          </w:cols>
          <w:pgMar w:left="220" w:top="140" w:right="21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1"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will amortize in quarterly installments, commencing on September 30, 2020, equal to the principal amount of the Term Loan Facility outstanding multiplied by rates ranging from 1.25% to 2.50% (depending on the applicable fiscal quarter) for each fiscal quarter. The Term Loan Facility expires on January 31, 2024; any remaining outstanding balance under the Term Loan Facility will be due and payable on that date. As of June 30, 2019, $220 million was outstanding under the Term Loan Facility, including a $120 million draw-down in the second quarter of 2019. Each advance under the Term Loan Facility results in a permanent reduction to its borrowing capacity; therefore, our borrowing capacity under the Term Loan Facility as of June 30, 2019, was $380 million.</w:t>
      </w:r>
    </w:p>
    <w:p>
      <w:pPr>
        <w:spacing w:after="0" w:line="59" w:lineRule="exact"/>
        <w:rPr>
          <w:sz w:val="20"/>
          <w:szCs w:val="20"/>
          <w:color w:val="auto"/>
        </w:rPr>
      </w:pPr>
    </w:p>
    <w:p>
      <w:pPr>
        <w:jc w:val="both"/>
        <w:ind w:right="260"/>
        <w:spacing w:after="0" w:line="275" w:lineRule="auto"/>
        <w:rPr>
          <w:sz w:val="20"/>
          <w:szCs w:val="20"/>
          <w:color w:val="auto"/>
        </w:rPr>
      </w:pPr>
      <w:r>
        <w:rPr>
          <w:rFonts w:ascii="Arial" w:cs="Arial" w:eastAsia="Arial" w:hAnsi="Arial"/>
          <w:sz w:val="14"/>
          <w:szCs w:val="14"/>
          <w:i w:val="1"/>
          <w:iCs w:val="1"/>
          <w:color w:val="auto"/>
        </w:rPr>
        <w:t>Credit Facility</w:t>
      </w:r>
      <w:r>
        <w:rPr>
          <w:rFonts w:ascii="Arial" w:cs="Arial" w:eastAsia="Arial" w:hAnsi="Arial"/>
          <w:sz w:val="14"/>
          <w:szCs w:val="14"/>
          <w:color w:val="auto"/>
        </w:rPr>
        <w:t>. The Credit Facility expires on January 31, 2022; therefore, any amounts outstanding under the Credit Facility will be due and payable on that date. As of June 30,</w:t>
      </w:r>
      <w:r>
        <w:rPr>
          <w:rFonts w:ascii="Arial" w:cs="Arial" w:eastAsia="Arial" w:hAnsi="Arial"/>
          <w:sz w:val="14"/>
          <w:szCs w:val="14"/>
          <w:i w:val="1"/>
          <w:iCs w:val="1"/>
          <w:color w:val="auto"/>
        </w:rPr>
        <w:t xml:space="preserve"> </w:t>
      </w:r>
      <w:r>
        <w:rPr>
          <w:rFonts w:ascii="Arial" w:cs="Arial" w:eastAsia="Arial" w:hAnsi="Arial"/>
          <w:sz w:val="14"/>
          <w:szCs w:val="14"/>
          <w:color w:val="auto"/>
        </w:rPr>
        <w:t>2019, no amounts were outstanding under the Credit Facility, and outstanding letters of credit amounting to $2 million reduced our borrowing capacity under the Credit Facility to $498 million.</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5.375% Notes due 2022</w:t>
      </w:r>
    </w:p>
    <w:p>
      <w:pPr>
        <w:spacing w:after="0" w:line="11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had $700 million aggregate principal amount of senior notes (the “5.375% Notes”) outstanding as of June 30, 2019, which are due November 15, 2022, unless earlier redeemed. Interest, at a rate of 5.375% per annum, is payable semiannually in arrears on May 15 and November 15. The 5.375% Notes contain customary non-financial covenants and change in control provisions.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4.875% Notes due 2025</w:t>
      </w:r>
    </w:p>
    <w:p>
      <w:pPr>
        <w:spacing w:after="0" w:line="114" w:lineRule="exact"/>
        <w:rPr>
          <w:sz w:val="20"/>
          <w:szCs w:val="20"/>
          <w:color w:val="auto"/>
        </w:rPr>
      </w:pPr>
    </w:p>
    <w:p>
      <w:pPr>
        <w:ind w:right="360"/>
        <w:spacing w:after="0" w:line="265" w:lineRule="auto"/>
        <w:rPr>
          <w:sz w:val="20"/>
          <w:szCs w:val="20"/>
          <w:color w:val="auto"/>
        </w:rPr>
      </w:pPr>
      <w:r>
        <w:rPr>
          <w:rFonts w:ascii="Arial" w:cs="Arial" w:eastAsia="Arial" w:hAnsi="Arial"/>
          <w:sz w:val="14"/>
          <w:szCs w:val="14"/>
          <w:color w:val="auto"/>
        </w:rPr>
        <w:t>We had $330 million aggregate principal amount of senior notes (the “4.875% Notes”) outstanding as of June 30, 2019, which are due June 15, 2025, unless earlier redeemed. Interest, at a rate of 4.875% per annum, is payable semiannually in arrears on June 15 and December 15. The 4.875% Notes contain customary non-financial covenants and change of control provisions.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1.125% Cash Convertible Senior Notes due 2020</w:t>
      </w:r>
    </w:p>
    <w:p>
      <w:pPr>
        <w:spacing w:after="0" w:line="200" w:lineRule="exact"/>
        <w:rPr>
          <w:sz w:val="20"/>
          <w:szCs w:val="20"/>
          <w:color w:val="auto"/>
        </w:rPr>
      </w:pPr>
    </w:p>
    <w:p>
      <w:pPr>
        <w:ind w:right="220"/>
        <w:spacing w:after="0" w:line="273" w:lineRule="auto"/>
        <w:rPr>
          <w:sz w:val="20"/>
          <w:szCs w:val="20"/>
          <w:color w:val="auto"/>
        </w:rPr>
      </w:pPr>
      <w:r>
        <w:rPr>
          <w:rFonts w:ascii="Arial" w:cs="Arial" w:eastAsia="Arial" w:hAnsi="Arial"/>
          <w:sz w:val="14"/>
          <w:szCs w:val="14"/>
          <w:color w:val="auto"/>
        </w:rPr>
        <w:t>In the first half of 2019, we entered into privately negotiated note purchase agreements with certain holders of our outstanding 1.125% cash convertible senior notes due January 15, 2020 (the “1.125% Convertible Notes”).</w:t>
      </w:r>
    </w:p>
    <w:p>
      <w:pPr>
        <w:spacing w:after="0" w:line="151"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In the second quarter of 2019, we repaid $139 million aggregate principal amount, or $134 million aggregate carrying amount, of the 1.125% Convertible Notes. In addition, we paid $358 million to settle the 1.125% Convertible Notes’ embedded cash conversion option feature at fair value (which is a derivative liability we refer to as the “1.125% Conversion Option”).</w:t>
      </w:r>
    </w:p>
    <w:p>
      <w:pPr>
        <w:spacing w:after="0" w:line="70"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In the first quarter of 2019, we repaid $46 million aggregate principal amount, or $44 million aggregate carrying amount, of the 1.125% Convertible Notes. In addition, we paid $115 million to settle the 1.125% Convertible Notes’ embedded cash conversion option feature at fair value.</w:t>
      </w:r>
    </w:p>
    <w:p>
      <w:pPr>
        <w:spacing w:after="0" w:line="151" w:lineRule="exact"/>
        <w:rPr>
          <w:sz w:val="20"/>
          <w:szCs w:val="20"/>
          <w:color w:val="auto"/>
        </w:rPr>
      </w:pPr>
    </w:p>
    <w:p>
      <w:pPr>
        <w:ind w:right="300"/>
        <w:spacing w:after="0" w:line="262" w:lineRule="auto"/>
        <w:rPr>
          <w:sz w:val="20"/>
          <w:szCs w:val="20"/>
          <w:color w:val="auto"/>
        </w:rPr>
      </w:pPr>
      <w:r>
        <w:rPr>
          <w:rFonts w:ascii="Arial" w:cs="Arial" w:eastAsia="Arial" w:hAnsi="Arial"/>
          <w:sz w:val="14"/>
          <w:szCs w:val="14"/>
          <w:color w:val="auto"/>
        </w:rPr>
        <w:t>In the three and six months ended June 30, 2019, we recorded gains on debt extinguishment of $14 million and $17 million, respectively, for the 1.125% Convertible Notes repayments (net of accelerated original issuance discount amortization), primarily relating to a favorable mark to market valuations on the partial terminations of the Call Spread Overlay executed in connection with the related debt repayments. These gains are reported in “Other (income) expenses, net” in the accompanying consolidated statements of income. No common shares were issued in connection with the transaction.</w:t>
      </w:r>
    </w:p>
    <w:p>
      <w:pPr>
        <w:spacing w:after="0" w:line="159"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In connection with the 1.125% Convertible Notes purchases, we also entered into privately negotiated agreements in the first and second quarters of 2019, to partially terminate the Call Spread Overlay, defined and further discussed in Note 8, “Derivatives,” and Note 9, “Stockholders' Equity.” The net cash proceeds from the Call Spread Overlay partial termination transactions partially offset the cash paid to settle the 1.125% Convertible Notes.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Following the transactions described above, $67 million aggregate principal amount of the 1.125% Convertible Notes were outstanding at June 30, 2019. Interest at a rate of</w:t>
      </w:r>
    </w:p>
    <w:p>
      <w:pPr>
        <w:spacing w:after="0" w:line="11"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1.125% per annum is payable semiannually in arrears on January 15 and July 15. The 1.125% Convertible Notes are convertible only into cash, and not into shares of our common stock or any other securities. The initial conversion rate is 24.5277 shares of our common stock per $1,000 principal amount, or approximately $40.77 per share of our common stock. Upon conversion, in lieu of receiving shares of our common stock, a holder will receive an amount in cash, per $1,000 principal amount, equal to the settlement amount, determined in the manner set forth in the indenture. We may not redeem the 1.125% Convertible Notes prior to the maturity date. The 1.125% Convertible Notes mature on January 15, 2020; therefore, they are reported in current portion of long-term debt.</w:t>
      </w:r>
    </w:p>
    <w:p>
      <w:pPr>
        <w:spacing w:after="0" w:line="73" w:lineRule="exact"/>
        <w:rPr>
          <w:sz w:val="20"/>
          <w:szCs w:val="20"/>
          <w:color w:val="auto"/>
        </w:rPr>
      </w:pPr>
    </w:p>
    <w:p>
      <w:pPr>
        <w:ind w:right="500"/>
        <w:spacing w:after="0" w:line="273" w:lineRule="auto"/>
        <w:rPr>
          <w:sz w:val="20"/>
          <w:szCs w:val="20"/>
          <w:color w:val="auto"/>
        </w:rPr>
      </w:pPr>
      <w:r>
        <w:rPr>
          <w:rFonts w:ascii="Arial" w:cs="Arial" w:eastAsia="Arial" w:hAnsi="Arial"/>
          <w:sz w:val="14"/>
          <w:szCs w:val="14"/>
          <w:color w:val="auto"/>
        </w:rPr>
        <w:t>Concurrent with the issuance of the 1.125% Convertible Notes in 2013, the 1.125% Conversion Option was separated from the 1.125% Convertible Notes and accounted for separately as a derivative liability, with changes in</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20</w:t>
      </w:r>
    </w:p>
    <w:p>
      <w:pPr>
        <w:sectPr>
          <w:pgSz w:w="11900" w:h="16838" w:orient="portrait"/>
          <w:cols w:equalWidth="0" w:num="1">
            <w:col w:w="11460"/>
          </w:cols>
          <w:pgMar w:left="220" w:top="140" w:right="21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1"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fair value reported in our consolidated statements of income until the 1.125% Conversion Option fully settles or expires. This initial liability simultaneously reduced the carrying value of the 1.125% Convertible Notes’ principal amount (effectively an original issuance discount), which is amortized to the principal amount through the recognition of non-cash interest expense over the expected life of the debt. The effective interest rate of 6% approximates the interest rate we would have incurred had we issued nonconvertible debt with otherwise similar terms. As of June 30, 2019, the 1.125% Convertible Notes had a remaining amortization period of less than one year, and their ‘if-converted’ value exceeded their principal amount by approximately $157 million and $581 million as of June 30, 2019 and December 31, 2018,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Cross-Default Provisions</w:t>
      </w:r>
    </w:p>
    <w:p>
      <w:pPr>
        <w:spacing w:after="0" w:line="114" w:lineRule="exact"/>
        <w:rPr>
          <w:sz w:val="20"/>
          <w:szCs w:val="20"/>
          <w:color w:val="auto"/>
        </w:rPr>
      </w:pPr>
    </w:p>
    <w:p>
      <w:pPr>
        <w:ind w:right="200"/>
        <w:spacing w:after="0" w:line="273" w:lineRule="auto"/>
        <w:rPr>
          <w:sz w:val="20"/>
          <w:szCs w:val="20"/>
          <w:color w:val="auto"/>
        </w:rPr>
      </w:pPr>
      <w:r>
        <w:rPr>
          <w:rFonts w:ascii="Arial" w:cs="Arial" w:eastAsia="Arial" w:hAnsi="Arial"/>
          <w:sz w:val="14"/>
          <w:szCs w:val="14"/>
          <w:color w:val="auto"/>
        </w:rPr>
        <w:t>The indentures governing the 4.875% Notes, the 5.375% Notes and the 1.125% Convertible Notes contain cross-default provisions that are triggered upon default by us or any of our subsidiaries on any indebtedness in excess of the amount specified in the applicable indenture.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828282"/>
        </w:rPr>
        <w:t>8. Derivatives</w:t>
      </w:r>
    </w:p>
    <w:p>
      <w:pPr>
        <w:spacing w:after="0" w:line="135" w:lineRule="exact"/>
        <w:rPr>
          <w:sz w:val="20"/>
          <w:szCs w:val="20"/>
          <w:color w:val="auto"/>
        </w:rPr>
      </w:pPr>
    </w:p>
    <w:p>
      <w:pPr>
        <w:ind w:right="660"/>
        <w:spacing w:after="0" w:line="273" w:lineRule="auto"/>
        <w:rPr>
          <w:sz w:val="20"/>
          <w:szCs w:val="20"/>
          <w:color w:val="auto"/>
        </w:rPr>
      </w:pPr>
      <w:r>
        <w:rPr>
          <w:rFonts w:ascii="Arial" w:cs="Arial" w:eastAsia="Arial" w:hAnsi="Arial"/>
          <w:sz w:val="14"/>
          <w:szCs w:val="14"/>
          <w:color w:val="auto"/>
        </w:rPr>
        <w:t>The following table summarizes the fair values and the presentation of our derivative financial instruments (defined and discussed individually below) in the accompanying consolidated balance sheets: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414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39"/>
              <w:spacing w:after="0"/>
              <w:rPr>
                <w:sz w:val="20"/>
                <w:szCs w:val="20"/>
                <w:color w:val="auto"/>
              </w:rPr>
            </w:pPr>
            <w:r>
              <w:rPr>
                <w:rFonts w:ascii="Arial" w:cs="Arial" w:eastAsia="Arial" w:hAnsi="Arial"/>
                <w:sz w:val="11"/>
                <w:szCs w:val="11"/>
                <w:b w:val="1"/>
                <w:bCs w:val="1"/>
                <w:color w:val="auto"/>
              </w:rPr>
              <w:t>June 30,</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ind w:right="299"/>
              <w:spacing w:after="0"/>
              <w:rPr>
                <w:sz w:val="20"/>
                <w:szCs w:val="20"/>
                <w:color w:val="auto"/>
              </w:rPr>
            </w:pPr>
            <w:r>
              <w:rPr>
                <w:rFonts w:ascii="Arial" w:cs="Arial" w:eastAsia="Arial" w:hAnsi="Arial"/>
                <w:sz w:val="11"/>
                <w:szCs w:val="11"/>
                <w:b w:val="1"/>
                <w:bCs w:val="1"/>
                <w:color w:val="auto"/>
              </w:rPr>
              <w:t>December 31,</w:t>
            </w:r>
          </w:p>
        </w:tc>
      </w:tr>
      <w:tr>
        <w:trPr>
          <w:trHeight w:val="157"/>
        </w:trPr>
        <w:tc>
          <w:tcPr>
            <w:tcW w:w="4140" w:type="dxa"/>
            <w:vAlign w:val="bottom"/>
          </w:tcPr>
          <w:p>
            <w:pPr>
              <w:spacing w:after="0"/>
              <w:rPr>
                <w:sz w:val="13"/>
                <w:szCs w:val="13"/>
                <w:color w:val="auto"/>
              </w:rPr>
            </w:pPr>
          </w:p>
        </w:tc>
        <w:tc>
          <w:tcPr>
            <w:tcW w:w="4240" w:type="dxa"/>
            <w:vAlign w:val="bottom"/>
            <w:gridSpan w:val="2"/>
          </w:tcPr>
          <w:p>
            <w:pPr>
              <w:ind w:left="1400"/>
              <w:spacing w:after="0"/>
              <w:rPr>
                <w:sz w:val="20"/>
                <w:szCs w:val="20"/>
                <w:color w:val="auto"/>
              </w:rPr>
            </w:pPr>
            <w:r>
              <w:rPr>
                <w:rFonts w:ascii="Arial" w:cs="Arial" w:eastAsia="Arial" w:hAnsi="Arial"/>
                <w:sz w:val="11"/>
                <w:szCs w:val="11"/>
                <w:b w:val="1"/>
                <w:bCs w:val="1"/>
                <w:color w:val="auto"/>
              </w:rPr>
              <w:t>Balance Sheet Location</w:t>
            </w:r>
          </w:p>
        </w:tc>
        <w:tc>
          <w:tcPr>
            <w:tcW w:w="1060" w:type="dxa"/>
            <w:vAlign w:val="bottom"/>
          </w:tcPr>
          <w:p>
            <w:pPr>
              <w:jc w:val="right"/>
              <w:ind w:right="119"/>
              <w:spacing w:after="0"/>
              <w:rPr>
                <w:sz w:val="20"/>
                <w:szCs w:val="20"/>
                <w:color w:val="auto"/>
              </w:rPr>
            </w:pPr>
            <w:r>
              <w:rPr>
                <w:rFonts w:ascii="Arial" w:cs="Arial" w:eastAsia="Arial" w:hAnsi="Arial"/>
                <w:sz w:val="11"/>
                <w:szCs w:val="11"/>
                <w:b w:val="1"/>
                <w:bCs w:val="1"/>
                <w:color w:val="auto"/>
              </w:rPr>
              <w:t>2019</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ind w:right="539"/>
              <w:spacing w:after="0"/>
              <w:rPr>
                <w:sz w:val="20"/>
                <w:szCs w:val="20"/>
                <w:color w:val="auto"/>
              </w:rPr>
            </w:pPr>
            <w:r>
              <w:rPr>
                <w:rFonts w:ascii="Arial" w:cs="Arial" w:eastAsia="Arial" w:hAnsi="Arial"/>
                <w:sz w:val="11"/>
                <w:szCs w:val="11"/>
                <w:b w:val="1"/>
                <w:bCs w:val="1"/>
                <w:color w:val="auto"/>
              </w:rPr>
              <w:t>2018</w:t>
            </w:r>
          </w:p>
        </w:tc>
      </w:tr>
      <w:tr>
        <w:trPr>
          <w:trHeight w:val="206"/>
        </w:trPr>
        <w:tc>
          <w:tcPr>
            <w:tcW w:w="4140" w:type="dxa"/>
            <w:vAlign w:val="bottom"/>
          </w:tcPr>
          <w:p>
            <w:pPr>
              <w:spacing w:after="0"/>
              <w:rPr>
                <w:sz w:val="17"/>
                <w:szCs w:val="17"/>
                <w:color w:val="auto"/>
              </w:rPr>
            </w:pPr>
          </w:p>
        </w:tc>
        <w:tc>
          <w:tcPr>
            <w:tcW w:w="4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160" w:type="dxa"/>
            <w:vAlign w:val="bottom"/>
            <w:tcBorders>
              <w:top w:val="single" w:sz="8" w:color="auto"/>
            </w:tcBorders>
          </w:tcPr>
          <w:p>
            <w:pPr>
              <w:spacing w:after="0"/>
              <w:rPr>
                <w:sz w:val="17"/>
                <w:szCs w:val="17"/>
                <w:color w:val="auto"/>
              </w:rPr>
            </w:pPr>
          </w:p>
        </w:tc>
      </w:tr>
      <w:tr>
        <w:trPr>
          <w:trHeight w:val="220"/>
        </w:trPr>
        <w:tc>
          <w:tcPr>
            <w:tcW w:w="4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Derivative asset:</w:t>
            </w:r>
          </w:p>
        </w:tc>
        <w:tc>
          <w:tcPr>
            <w:tcW w:w="4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2"/>
        </w:trPr>
        <w:tc>
          <w:tcPr>
            <w:tcW w:w="414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1.125% Call Option</w:t>
            </w:r>
          </w:p>
        </w:tc>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Current assets: Derivative asset</w:t>
            </w:r>
          </w:p>
        </w:tc>
        <w:tc>
          <w:tcPr>
            <w:tcW w:w="1060" w:type="dxa"/>
            <w:vAlign w:val="bottom"/>
            <w:tcBorders>
              <w:bottom w:val="single" w:sz="8" w:color="auto"/>
            </w:tcBorders>
          </w:tcPr>
          <w:p>
            <w:pPr>
              <w:jc w:val="right"/>
              <w:ind w:right="899"/>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169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476</w:t>
            </w:r>
          </w:p>
        </w:tc>
      </w:tr>
      <w:tr>
        <w:trPr>
          <w:trHeight w:val="190"/>
        </w:trPr>
        <w:tc>
          <w:tcPr>
            <w:tcW w:w="4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Derivative liability:</w:t>
            </w:r>
          </w:p>
        </w:tc>
        <w:tc>
          <w:tcPr>
            <w:tcW w:w="4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02"/>
        </w:trPr>
        <w:tc>
          <w:tcPr>
            <w:tcW w:w="4140" w:type="dxa"/>
            <w:vAlign w:val="bottom"/>
          </w:tcPr>
          <w:p>
            <w:pPr>
              <w:ind w:left="300"/>
              <w:spacing w:after="0"/>
              <w:rPr>
                <w:sz w:val="20"/>
                <w:szCs w:val="20"/>
                <w:color w:val="auto"/>
              </w:rPr>
            </w:pPr>
            <w:r>
              <w:rPr>
                <w:rFonts w:ascii="Arial" w:cs="Arial" w:eastAsia="Arial" w:hAnsi="Arial"/>
                <w:sz w:val="13"/>
                <w:szCs w:val="13"/>
                <w:color w:val="auto"/>
              </w:rPr>
              <w:t>1.125% Conversion Option</w:t>
            </w:r>
          </w:p>
        </w:tc>
        <w:tc>
          <w:tcPr>
            <w:tcW w:w="4240" w:type="dxa"/>
            <w:vAlign w:val="bottom"/>
            <w:gridSpan w:val="2"/>
          </w:tcPr>
          <w:p>
            <w:pPr>
              <w:ind w:left="20"/>
              <w:spacing w:after="0"/>
              <w:rPr>
                <w:sz w:val="20"/>
                <w:szCs w:val="20"/>
                <w:color w:val="auto"/>
              </w:rPr>
            </w:pPr>
            <w:r>
              <w:rPr>
                <w:rFonts w:ascii="Arial" w:cs="Arial" w:eastAsia="Arial" w:hAnsi="Arial"/>
                <w:sz w:val="13"/>
                <w:szCs w:val="13"/>
                <w:color w:val="auto"/>
              </w:rPr>
              <w:t>Current liabilities: Derivative liability</w:t>
            </w:r>
          </w:p>
        </w:tc>
        <w:tc>
          <w:tcPr>
            <w:tcW w:w="1060" w:type="dxa"/>
            <w:vAlign w:val="bottom"/>
            <w:tcBorders>
              <w:bottom w:val="single" w:sz="8" w:color="auto"/>
            </w:tcBorders>
          </w:tcPr>
          <w:p>
            <w:pPr>
              <w:jc w:val="right"/>
              <w:ind w:right="899"/>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169</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476</w:t>
            </w:r>
          </w:p>
        </w:tc>
      </w:tr>
      <w:tr>
        <w:trPr>
          <w:trHeight w:val="20"/>
        </w:trPr>
        <w:tc>
          <w:tcPr>
            <w:tcW w:w="4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right="340"/>
        <w:spacing w:after="0" w:line="265" w:lineRule="auto"/>
        <w:rPr>
          <w:sz w:val="20"/>
          <w:szCs w:val="20"/>
          <w:color w:val="auto"/>
        </w:rPr>
      </w:pPr>
      <w:r>
        <w:rPr>
          <w:rFonts w:ascii="Arial" w:cs="Arial" w:eastAsia="Arial" w:hAnsi="Arial"/>
          <w:sz w:val="14"/>
          <w:szCs w:val="14"/>
          <w:color w:val="auto"/>
        </w:rPr>
        <w:t>Our derivative financial instruments do not qualify for hedge treatment; therefore, the change in fair value of these instruments is recognized immediately in our consolidated statements of income, and reported in “Other (income) expenses, net.” Gains and losses for our derivative financial instruments are presented individually in the accompanying consolidated statements of cash flows, “Supplemental cash flow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1.125% Convertible Notes Call Spread Overlay</w:t>
      </w:r>
    </w:p>
    <w:p>
      <w:pPr>
        <w:spacing w:after="0" w:line="200"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Concurrent with the issuance of the 1.125% Convertible Notes in 2013, we entered into privately negotiated hedge transactions (collectively, the 1.125% Call Option) and warrant transactions (collectively, the 1.125% Warrants), with certain of the initial purchasers of the 1.125% Convertible Notes (the Counterparties). We refer to these transactions collectively as the Call Spread Overlay. Under the Call Spread Overlay, the cost of the 1.125% Call Option we purchased to cover the cash outlay upon conversion of the 1.125% Convertible Notes was reduced by proceeds from the sale of the 1.125% Warrants. Assuming full performance by the Counterparties (and 1.125% Warrants strike prices in excess of the conversion price of the 1.125% Convertible Notes), these transactions are intended to offset cash payments in excess of the principal amount of the 1.125% Convertible Notes due upon any conversion of such notes.</w:t>
      </w:r>
    </w:p>
    <w:p>
      <w:pPr>
        <w:spacing w:after="0" w:line="161"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In the first and second quarters of 2019, in connection with the 1.125% Convertible Notes purchases (described in Note 7, “Debt”), we entered into privately negotiated termination agreements with each of the Counterparties to partially terminate the Call Spread Overlay, in notional amounts corresponding to the aggregate principal amount of the 1.125% Convertible Notes purchased. In the second quarter of 2019, this resulted in our receipt of $358 million for the settlement of the 1.125% Call Option (which is a derivative asset), and the payment of $321 million for the partial termination of the 1.125% Warrants, for an aggregate net cash receipt of $37 million from the Counterparties.</w:t>
      </w:r>
    </w:p>
    <w:p>
      <w:pPr>
        <w:spacing w:after="0" w:line="159"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In the first quarter of 2019, this resulted in our receipt of $115 million for the settlement of the 1.125% Call Option, and the payment of $103 million for the partial termination of the 1.125% Warrants, for an aggregate net cash receipt of $12 million from the Counterparties.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1.125% Call Option</w:t>
      </w:r>
    </w:p>
    <w:p>
      <w:pPr>
        <w:spacing w:after="0" w:line="200" w:lineRule="exact"/>
        <w:rPr>
          <w:sz w:val="20"/>
          <w:szCs w:val="20"/>
          <w:color w:val="auto"/>
        </w:rPr>
      </w:pPr>
    </w:p>
    <w:p>
      <w:pPr>
        <w:ind w:right="260"/>
        <w:spacing w:after="0" w:line="273" w:lineRule="auto"/>
        <w:rPr>
          <w:sz w:val="20"/>
          <w:szCs w:val="20"/>
          <w:color w:val="auto"/>
        </w:rPr>
      </w:pPr>
      <w:r>
        <w:rPr>
          <w:rFonts w:ascii="Arial" w:cs="Arial" w:eastAsia="Arial" w:hAnsi="Arial"/>
          <w:sz w:val="14"/>
          <w:szCs w:val="14"/>
          <w:color w:val="auto"/>
        </w:rPr>
        <w:t>The 1.125% Call Option, which is indexed to our common stock, is a derivative asset that requires mark-to-market accounting treatment due to cash settlement features until the 1.125% Call Option settles or expires. For further</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21</w:t>
      </w:r>
    </w:p>
    <w:p>
      <w:pPr>
        <w:sectPr>
          <w:pgSz w:w="11900" w:h="16838" w:orient="portrait"/>
          <w:cols w:equalWidth="0" w:num="1">
            <w:col w:w="11460"/>
          </w:cols>
          <w:pgMar w:left="220" w:top="140" w:right="21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discussion of the inputs used to determine the fair value of the 1.125% Call Option, refer to Note 4, “Fair Value Measurements.”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1.125% Conversion Option</w:t>
      </w:r>
    </w:p>
    <w:p>
      <w:pPr>
        <w:spacing w:after="0" w:line="200"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The embedded cash conversion option within the 1.125% Convertible Notes is accounted for separately as a derivative liability, with changes in fair value reported in our consolidated statements of income until the cash conversion option settles or expires. For further discussion of the inputs used to determine the fair value of the 1.125% Conversion Option, refer to Note 4, “Fair Value Measurements.”</w:t>
      </w:r>
    </w:p>
    <w:p>
      <w:pPr>
        <w:spacing w:after="0" w:line="156" w:lineRule="exact"/>
        <w:rPr>
          <w:sz w:val="20"/>
          <w:szCs w:val="20"/>
          <w:color w:val="auto"/>
        </w:rPr>
      </w:pPr>
    </w:p>
    <w:p>
      <w:pPr>
        <w:ind w:right="740"/>
        <w:spacing w:after="0" w:line="273" w:lineRule="auto"/>
        <w:rPr>
          <w:sz w:val="20"/>
          <w:szCs w:val="20"/>
          <w:color w:val="auto"/>
        </w:rPr>
      </w:pPr>
      <w:r>
        <w:rPr>
          <w:rFonts w:ascii="Arial" w:cs="Arial" w:eastAsia="Arial" w:hAnsi="Arial"/>
          <w:sz w:val="14"/>
          <w:szCs w:val="14"/>
          <w:color w:val="auto"/>
        </w:rPr>
        <w:t>As of June 30, 2019, the 1.125% Call Option and the 1.125% Conversion Option were classified as a current asset and current liability, respectively, because the 1.125% Convertible Notes mature on January 15, 2020, as described in Note 7, “Debt.”</w:t>
      </w: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color w:val="828282"/>
        </w:rPr>
        <w:t>9. Stockholders' Equity</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1.125% Warrants</w:t>
      </w:r>
    </w:p>
    <w:p>
      <w:pPr>
        <w:spacing w:after="0" w:line="200"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In connection with the Call Spread Overlay transaction described in Note 8, “Derivatives,” in 2013, we issued 13.5 million warrants with a strike price of $53.8475 per share. Under certain circumstances, beginning in April 2020, if the price of our common stock exceeds the strike price of the 1.125% Warrants, we will be obligated to issue shares of our common stock subject to a share delivery cap. The 1.125% Warrants could separately have a dilutive effect to the extent that the market value per share of our common stock exceeds the applicable strike price of the 1.125% Warrants. Refer to Note 3, “Net Income per Share,” for dilution information for the periods presented. We will not receive any additional proceeds if the 1.125% Warrants are exercised. Following the transactions described below, 1.7 million of the 1.125% Warrants remain outstanding.</w:t>
      </w:r>
    </w:p>
    <w:p>
      <w:pPr>
        <w:spacing w:after="0" w:line="73"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As described in Note 8, “Derivatives,” in the first half of 2019, we entered into privately negotiated termination agreements with each of the Counterparties to partially terminate the Call Spread Overlay, in notional amounts corresponding to the aggregate principal amount of the 1.125% Convertible Notes purchased.</w:t>
      </w:r>
    </w:p>
    <w:p>
      <w:pPr>
        <w:spacing w:after="0" w:line="65" w:lineRule="exact"/>
        <w:rPr>
          <w:sz w:val="20"/>
          <w:szCs w:val="20"/>
          <w:color w:val="auto"/>
        </w:rPr>
      </w:pPr>
    </w:p>
    <w:p>
      <w:pPr>
        <w:ind w:right="380"/>
        <w:spacing w:after="0" w:line="273" w:lineRule="auto"/>
        <w:rPr>
          <w:sz w:val="20"/>
          <w:szCs w:val="20"/>
          <w:color w:val="auto"/>
        </w:rPr>
      </w:pPr>
      <w:r>
        <w:rPr>
          <w:rFonts w:ascii="Arial" w:cs="Arial" w:eastAsia="Arial" w:hAnsi="Arial"/>
          <w:sz w:val="14"/>
          <w:szCs w:val="14"/>
          <w:color w:val="auto"/>
        </w:rPr>
        <w:t>In the second quarter of 2019, we paid $321 million to the Counterparties for the termination of 3.4 million of the 1.125% Warrants outstanding, which resulted in a reduction of additional paid-in-capital for the same amount.</w:t>
      </w:r>
    </w:p>
    <w:p>
      <w:pPr>
        <w:spacing w:after="0" w:line="65" w:lineRule="exact"/>
        <w:rPr>
          <w:sz w:val="20"/>
          <w:szCs w:val="20"/>
          <w:color w:val="auto"/>
        </w:rPr>
      </w:pPr>
    </w:p>
    <w:p>
      <w:pPr>
        <w:ind w:right="620"/>
        <w:spacing w:after="0" w:line="273" w:lineRule="auto"/>
        <w:rPr>
          <w:sz w:val="20"/>
          <w:szCs w:val="20"/>
          <w:color w:val="auto"/>
        </w:rPr>
      </w:pPr>
      <w:r>
        <w:rPr>
          <w:rFonts w:ascii="Arial" w:cs="Arial" w:eastAsia="Arial" w:hAnsi="Arial"/>
          <w:sz w:val="14"/>
          <w:szCs w:val="14"/>
          <w:color w:val="auto"/>
        </w:rPr>
        <w:t>In the first quarter of 2019, we paid $103 million to the Counterparties for the termination of 1.1 million of the 1.125% Warrants outstanding, which resulted in a reduction of additional paid-in-capital for the same amount.</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Share-Based Compensation</w:t>
      </w:r>
    </w:p>
    <w:p>
      <w:pPr>
        <w:spacing w:after="0" w:line="200" w:lineRule="exact"/>
        <w:rPr>
          <w:sz w:val="20"/>
          <w:szCs w:val="20"/>
          <w:color w:val="auto"/>
        </w:rPr>
      </w:pPr>
    </w:p>
    <w:p>
      <w:pPr>
        <w:ind w:right="500"/>
        <w:spacing w:after="0" w:line="273" w:lineRule="auto"/>
        <w:rPr>
          <w:sz w:val="20"/>
          <w:szCs w:val="20"/>
          <w:color w:val="auto"/>
        </w:rPr>
      </w:pPr>
      <w:r>
        <w:rPr>
          <w:rFonts w:ascii="Arial" w:cs="Arial" w:eastAsia="Arial" w:hAnsi="Arial"/>
          <w:sz w:val="14"/>
          <w:szCs w:val="14"/>
          <w:color w:val="auto"/>
        </w:rPr>
        <w:t>In connection with our employee stock plans, approximately 180,000 shares of common stock vested or were purchased, net of shares used to settle employees’ income tax obligations, during the six months ended June 30, 2019.</w:t>
      </w:r>
    </w:p>
    <w:p>
      <w:pPr>
        <w:spacing w:after="0" w:line="151" w:lineRule="exact"/>
        <w:rPr>
          <w:sz w:val="20"/>
          <w:szCs w:val="20"/>
          <w:color w:val="auto"/>
        </w:rPr>
      </w:pPr>
    </w:p>
    <w:p>
      <w:pPr>
        <w:ind w:right="400"/>
        <w:spacing w:after="0" w:line="265" w:lineRule="auto"/>
        <w:rPr>
          <w:sz w:val="20"/>
          <w:szCs w:val="20"/>
          <w:color w:val="auto"/>
        </w:rPr>
      </w:pPr>
      <w:r>
        <w:rPr>
          <w:rFonts w:ascii="Arial" w:cs="Arial" w:eastAsia="Arial" w:hAnsi="Arial"/>
          <w:sz w:val="14"/>
          <w:szCs w:val="14"/>
          <w:color w:val="auto"/>
        </w:rPr>
        <w:t>Share-based compensation is recorded to “General and administrative expenses” in the accompanying consolidated statements of income. Total share-based compensation expense amounted to $10 million and $7 million, respectively, in the three months ended June 30, 2019 and 2018. Total share-based compensation expense amounted to $19 million and $13 million, respectively, in the six months ended June 30, 2019 and 2018.</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Equity Incentive Plan</w:t>
      </w:r>
    </w:p>
    <w:p>
      <w:pPr>
        <w:spacing w:after="0" w:line="184" w:lineRule="exact"/>
        <w:rPr>
          <w:sz w:val="20"/>
          <w:szCs w:val="20"/>
          <w:color w:val="auto"/>
        </w:rPr>
      </w:pPr>
    </w:p>
    <w:p>
      <w:pPr>
        <w:ind w:right="180"/>
        <w:spacing w:after="0" w:line="261" w:lineRule="auto"/>
        <w:rPr>
          <w:sz w:val="20"/>
          <w:szCs w:val="20"/>
          <w:color w:val="auto"/>
        </w:rPr>
      </w:pPr>
      <w:r>
        <w:rPr>
          <w:rFonts w:ascii="Arial" w:cs="Arial" w:eastAsia="Arial" w:hAnsi="Arial"/>
          <w:sz w:val="14"/>
          <w:szCs w:val="14"/>
          <w:color w:val="auto"/>
        </w:rPr>
        <w:t>In the second quarter of 2019, stockholders approved the Molina Healthcare, Inc. 2019 Equity Incentive Plan (the “2019 EIP”). The 2019 EIP provides for awards, in the form of restricted stock awards, performance units, stock options, and other stock– or cash–based awards, to eligible persons who perform services for us. The 2019 EIP will continue in effect until its termination by the board of directors; provided, however, that all awards will be granted no later than May 8, 2029. Concurrent with the adoption of the 2019 EIP, the Molina Healthcare, Inc. 2011 Equity Incentive Plan was amended, restated and merged into the 2019 EIP. A maximum of 2.9 million shares of our common stock may be issued under the 2019 EIP.</w:t>
      </w:r>
    </w:p>
    <w:p>
      <w:pPr>
        <w:spacing w:after="0" w:line="73" w:lineRule="exact"/>
        <w:rPr>
          <w:sz w:val="20"/>
          <w:szCs w:val="20"/>
          <w:color w:val="auto"/>
        </w:rPr>
      </w:pPr>
    </w:p>
    <w:p>
      <w:pPr>
        <w:ind w:right="420"/>
        <w:spacing w:after="0" w:line="265" w:lineRule="auto"/>
        <w:rPr>
          <w:sz w:val="20"/>
          <w:szCs w:val="20"/>
          <w:color w:val="auto"/>
        </w:rPr>
      </w:pPr>
      <w:r>
        <w:rPr>
          <w:rFonts w:ascii="Arial" w:cs="Arial" w:eastAsia="Arial" w:hAnsi="Arial"/>
          <w:sz w:val="14"/>
          <w:szCs w:val="14"/>
          <w:color w:val="auto"/>
        </w:rPr>
        <w:t>As of June 30, 2019, there was $62 million of total unrecognized compensation expense related to unvested restricted stock awards (“RSAs”), and performance stock units (“PSUs”), which we expect to recognize over remaining weighted-average periods of 2.7 years and 2.1 years, respectively. This unrecognized compensation cost assumes an estimated forfeiture rate of 15.2% for non-executive employees as of June 30, 2019.</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22</w:t>
      </w:r>
    </w:p>
    <w:p>
      <w:pPr>
        <w:sectPr>
          <w:pgSz w:w="11900" w:h="16838" w:orient="portrait"/>
          <w:cols w:equalWidth="0" w:num="1">
            <w:col w:w="11460"/>
          </w:cols>
          <w:pgMar w:left="220" w:top="140" w:right="21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1" w:lineRule="exact"/>
        <w:rPr>
          <w:sz w:val="20"/>
          <w:szCs w:val="20"/>
          <w:color w:val="auto"/>
        </w:rPr>
      </w:pPr>
    </w:p>
    <w:p>
      <w:pPr>
        <w:ind w:right="440"/>
        <w:spacing w:after="0" w:line="273" w:lineRule="auto"/>
        <w:rPr>
          <w:sz w:val="20"/>
          <w:szCs w:val="20"/>
          <w:color w:val="auto"/>
        </w:rPr>
      </w:pPr>
      <w:r>
        <w:rPr>
          <w:rFonts w:ascii="Arial" w:cs="Arial" w:eastAsia="Arial" w:hAnsi="Arial"/>
          <w:sz w:val="14"/>
          <w:szCs w:val="14"/>
          <w:color w:val="auto"/>
        </w:rPr>
        <w:t>Also as of June 30, 2019, there was $7 million of total unrecognized compensation expense related to unvested stock options, which we expect to recognize over a weighted-average period of 1.3 years. No stock options were granted or exercised in the six months ended June 30, 2019.</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Activity for RSAs, performance stock awards (“PSAs”) and PSUs is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5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center"/>
              <w:ind w:right="277"/>
              <w:spacing w:after="0"/>
              <w:rPr>
                <w:sz w:val="20"/>
                <w:szCs w:val="20"/>
                <w:color w:val="auto"/>
              </w:rPr>
            </w:pPr>
            <w:r>
              <w:rPr>
                <w:rFonts w:ascii="Arial" w:cs="Arial" w:eastAsia="Arial" w:hAnsi="Arial"/>
                <w:sz w:val="11"/>
                <w:szCs w:val="11"/>
                <w:b w:val="1"/>
                <w:bCs w:val="1"/>
                <w:color w:val="auto"/>
              </w:rPr>
              <w:t>Weighted</w:t>
            </w:r>
          </w:p>
        </w:tc>
      </w:tr>
      <w:tr>
        <w:trPr>
          <w:trHeight w:val="129"/>
        </w:trPr>
        <w:tc>
          <w:tcPr>
            <w:tcW w:w="35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center"/>
              <w:ind w:right="277"/>
              <w:spacing w:after="0"/>
              <w:rPr>
                <w:sz w:val="20"/>
                <w:szCs w:val="20"/>
                <w:color w:val="auto"/>
              </w:rPr>
            </w:pPr>
            <w:r>
              <w:rPr>
                <w:rFonts w:ascii="Arial" w:cs="Arial" w:eastAsia="Arial" w:hAnsi="Arial"/>
                <w:sz w:val="11"/>
                <w:szCs w:val="11"/>
                <w:b w:val="1"/>
                <w:bCs w:val="1"/>
                <w:color w:val="auto"/>
              </w:rPr>
              <w:t>Average</w:t>
            </w:r>
          </w:p>
        </w:tc>
      </w:tr>
      <w:tr>
        <w:trPr>
          <w:trHeight w:val="129"/>
        </w:trPr>
        <w:tc>
          <w:tcPr>
            <w:tcW w:w="35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center"/>
              <w:ind w:right="277"/>
              <w:spacing w:after="0"/>
              <w:rPr>
                <w:sz w:val="20"/>
                <w:szCs w:val="20"/>
                <w:color w:val="auto"/>
              </w:rPr>
            </w:pPr>
            <w:r>
              <w:rPr>
                <w:rFonts w:ascii="Arial" w:cs="Arial" w:eastAsia="Arial" w:hAnsi="Arial"/>
                <w:sz w:val="11"/>
                <w:szCs w:val="11"/>
                <w:b w:val="1"/>
                <w:bCs w:val="1"/>
                <w:color w:val="auto"/>
              </w:rPr>
              <w:t>Grant Date</w:t>
            </w:r>
          </w:p>
        </w:tc>
      </w:tr>
      <w:tr>
        <w:trPr>
          <w:trHeight w:val="157"/>
        </w:trPr>
        <w:tc>
          <w:tcPr>
            <w:tcW w:w="356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RSAs</w:t>
            </w:r>
          </w:p>
        </w:tc>
        <w:tc>
          <w:tcPr>
            <w:tcW w:w="12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PSAs</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PSUs</w:t>
            </w:r>
          </w:p>
        </w:tc>
        <w:tc>
          <w:tcPr>
            <w:tcW w:w="120" w:type="dxa"/>
            <w:vAlign w:val="bottom"/>
            <w:tcBorders>
              <w:bottom w:val="single" w:sz="8" w:color="CCEEFF"/>
            </w:tcBorders>
            <w:gridSpan w:val="2"/>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300"/>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77"/>
              <w:spacing w:after="0"/>
              <w:rPr>
                <w:sz w:val="20"/>
                <w:szCs w:val="20"/>
                <w:color w:val="auto"/>
              </w:rPr>
            </w:pPr>
            <w:r>
              <w:rPr>
                <w:rFonts w:ascii="Arial" w:cs="Arial" w:eastAsia="Arial" w:hAnsi="Arial"/>
                <w:sz w:val="11"/>
                <w:szCs w:val="11"/>
                <w:b w:val="1"/>
                <w:bCs w:val="1"/>
                <w:color w:val="auto"/>
              </w:rPr>
              <w:t>Fair Value</w:t>
            </w:r>
          </w:p>
        </w:tc>
      </w:tr>
      <w:tr>
        <w:trPr>
          <w:trHeight w:val="200"/>
        </w:trPr>
        <w:tc>
          <w:tcPr>
            <w:tcW w:w="3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Unvested balance, December 31, 2018</w:t>
            </w: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399,795</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3,132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201,383</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604,310</w:t>
            </w:r>
          </w:p>
        </w:tc>
        <w:tc>
          <w:tcPr>
            <w:tcW w:w="2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71.50</w:t>
            </w:r>
          </w:p>
        </w:tc>
      </w:tr>
      <w:tr>
        <w:trPr>
          <w:trHeight w:val="208"/>
        </w:trPr>
        <w:tc>
          <w:tcPr>
            <w:tcW w:w="3560" w:type="dxa"/>
            <w:vAlign w:val="bottom"/>
          </w:tcPr>
          <w:p>
            <w:pPr>
              <w:ind w:left="20"/>
              <w:spacing w:after="0"/>
              <w:rPr>
                <w:sz w:val="20"/>
                <w:szCs w:val="20"/>
                <w:color w:val="auto"/>
              </w:rPr>
            </w:pPr>
            <w:r>
              <w:rPr>
                <w:rFonts w:ascii="Arial" w:cs="Arial" w:eastAsia="Arial" w:hAnsi="Arial"/>
                <w:sz w:val="13"/>
                <w:szCs w:val="13"/>
                <w:color w:val="auto"/>
              </w:rPr>
              <w:t>Granted</w:t>
            </w:r>
          </w:p>
        </w:tc>
        <w:tc>
          <w:tcPr>
            <w:tcW w:w="1500" w:type="dxa"/>
            <w:vAlign w:val="bottom"/>
          </w:tcPr>
          <w:p>
            <w:pPr>
              <w:jc w:val="right"/>
              <w:ind w:right="57"/>
              <w:spacing w:after="0"/>
              <w:rPr>
                <w:sz w:val="20"/>
                <w:szCs w:val="20"/>
                <w:color w:val="auto"/>
              </w:rPr>
            </w:pPr>
            <w:r>
              <w:rPr>
                <w:rFonts w:ascii="Arial" w:cs="Arial" w:eastAsia="Arial" w:hAnsi="Arial"/>
                <w:sz w:val="13"/>
                <w:szCs w:val="13"/>
                <w:color w:val="auto"/>
              </w:rPr>
              <w:t>218,245</w:t>
            </w:r>
          </w:p>
        </w:tc>
        <w:tc>
          <w:tcPr>
            <w:tcW w:w="120" w:type="dxa"/>
            <w:vAlign w:val="bottom"/>
          </w:tcPr>
          <w:p>
            <w:pPr>
              <w:spacing w:after="0"/>
              <w:rPr>
                <w:sz w:val="18"/>
                <w:szCs w:val="18"/>
                <w:color w:val="auto"/>
              </w:rPr>
            </w:pPr>
          </w:p>
        </w:tc>
        <w:tc>
          <w:tcPr>
            <w:tcW w:w="1960" w:type="dxa"/>
            <w:vAlign w:val="bottom"/>
            <w:gridSpan w:val="3"/>
          </w:tcPr>
          <w:p>
            <w:pPr>
              <w:jc w:val="right"/>
              <w:ind w:right="580"/>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56"/>
              <w:spacing w:after="0"/>
              <w:rPr>
                <w:sz w:val="20"/>
                <w:szCs w:val="20"/>
                <w:color w:val="auto"/>
              </w:rPr>
            </w:pPr>
            <w:r>
              <w:rPr>
                <w:rFonts w:ascii="Arial" w:cs="Arial" w:eastAsia="Arial" w:hAnsi="Arial"/>
                <w:sz w:val="13"/>
                <w:szCs w:val="13"/>
                <w:color w:val="auto"/>
              </w:rPr>
              <w:t>138,994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357,239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137.42</w:t>
            </w:r>
          </w:p>
        </w:tc>
      </w:tr>
      <w:tr>
        <w:trPr>
          <w:trHeight w:val="223"/>
        </w:trPr>
        <w:tc>
          <w:tcPr>
            <w:tcW w:w="3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Vested</w:t>
            </w:r>
          </w:p>
        </w:tc>
        <w:tc>
          <w:tcPr>
            <w:tcW w:w="1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(129,526)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(10,528)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(143,186)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70.57</w:t>
            </w:r>
          </w:p>
        </w:tc>
      </w:tr>
      <w:tr>
        <w:trPr>
          <w:trHeight w:val="208"/>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Forfeited</w:t>
            </w:r>
          </w:p>
        </w:tc>
        <w:tc>
          <w:tcPr>
            <w:tcW w:w="15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(29,597)</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(5,010)</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(34,607)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color w:val="auto"/>
              </w:rPr>
              <w:t>83.05</w:t>
            </w:r>
          </w:p>
        </w:tc>
      </w:tr>
      <w:tr>
        <w:trPr>
          <w:trHeight w:val="19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Unvested balance, June 30, 2019</w:t>
            </w:r>
          </w:p>
        </w:tc>
        <w:tc>
          <w:tcPr>
            <w:tcW w:w="15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458,917</w:t>
            </w: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324,839</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783,756</w:t>
            </w:r>
          </w:p>
        </w:tc>
        <w:tc>
          <w:tcPr>
            <w:tcW w:w="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101.20</w:t>
            </w:r>
          </w:p>
        </w:tc>
      </w:tr>
      <w:tr>
        <w:trPr>
          <w:trHeight w:val="20"/>
        </w:trPr>
        <w:tc>
          <w:tcPr>
            <w:tcW w:w="35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2"/>
        </w:trPr>
        <w:tc>
          <w:tcPr>
            <w:tcW w:w="7140" w:type="dxa"/>
            <w:vAlign w:val="bottom"/>
            <w:gridSpan w:val="6"/>
          </w:tcPr>
          <w:p>
            <w:pPr>
              <w:spacing w:after="0"/>
              <w:rPr>
                <w:sz w:val="20"/>
                <w:szCs w:val="20"/>
                <w:color w:val="auto"/>
              </w:rPr>
            </w:pPr>
            <w:r>
              <w:rPr>
                <w:rFonts w:ascii="Arial" w:cs="Arial" w:eastAsia="Arial" w:hAnsi="Arial"/>
                <w:sz w:val="14"/>
                <w:szCs w:val="14"/>
                <w:color w:val="auto"/>
              </w:rPr>
              <w:t>The aggregate fair values of RSAs, PSUs and PSAs granted and vested are presented in the following table:</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06"/>
        </w:trPr>
        <w:tc>
          <w:tcPr>
            <w:tcW w:w="3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737"/>
              <w:spacing w:after="0"/>
              <w:rPr>
                <w:sz w:val="20"/>
                <w:szCs w:val="20"/>
                <w:color w:val="auto"/>
              </w:rPr>
            </w:pPr>
            <w:r>
              <w:rPr>
                <w:rFonts w:ascii="Arial" w:cs="Arial" w:eastAsia="Arial" w:hAnsi="Arial"/>
                <w:sz w:val="11"/>
                <w:szCs w:val="11"/>
                <w:b w:val="1"/>
                <w:bCs w:val="1"/>
                <w:color w:val="auto"/>
              </w:rPr>
              <w:t>Six Months Ended June 30,</w:t>
            </w:r>
          </w:p>
        </w:tc>
      </w:tr>
      <w:tr>
        <w:trPr>
          <w:trHeight w:val="206"/>
        </w:trPr>
        <w:tc>
          <w:tcPr>
            <w:tcW w:w="3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2019</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77"/>
              <w:spacing w:after="0"/>
              <w:rPr>
                <w:sz w:val="20"/>
                <w:szCs w:val="20"/>
                <w:color w:val="auto"/>
              </w:rPr>
            </w:pPr>
            <w:r>
              <w:rPr>
                <w:rFonts w:ascii="Arial" w:cs="Arial" w:eastAsia="Arial" w:hAnsi="Arial"/>
                <w:sz w:val="11"/>
                <w:szCs w:val="11"/>
                <w:b w:val="1"/>
                <w:bCs w:val="1"/>
                <w:color w:val="auto"/>
              </w:rPr>
              <w:t>2018</w:t>
            </w:r>
          </w:p>
        </w:tc>
      </w:tr>
      <w:tr>
        <w:trPr>
          <w:trHeight w:val="196"/>
        </w:trPr>
        <w:tc>
          <w:tcPr>
            <w:tcW w:w="3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5"/>
          </w:tcPr>
          <w:p>
            <w:pPr>
              <w:jc w:val="right"/>
              <w:ind w:right="100"/>
              <w:spacing w:after="0"/>
              <w:rPr>
                <w:sz w:val="20"/>
                <w:szCs w:val="20"/>
                <w:color w:val="auto"/>
              </w:rPr>
            </w:pPr>
            <w:r>
              <w:rPr>
                <w:rFonts w:ascii="Arial" w:cs="Arial" w:eastAsia="Arial" w:hAnsi="Arial"/>
                <w:sz w:val="11"/>
                <w:szCs w:val="11"/>
                <w:b w:val="1"/>
                <w:bCs w:val="1"/>
                <w:color w:val="auto"/>
              </w:rPr>
              <w:t>(In millions)</w:t>
            </w:r>
          </w:p>
        </w:tc>
        <w:tc>
          <w:tcPr>
            <w:tcW w:w="1120" w:type="dxa"/>
            <w:vAlign w:val="bottom"/>
          </w:tcPr>
          <w:p>
            <w:pPr>
              <w:spacing w:after="0"/>
              <w:rPr>
                <w:sz w:val="17"/>
                <w:szCs w:val="17"/>
                <w:color w:val="auto"/>
              </w:rPr>
            </w:pPr>
          </w:p>
        </w:tc>
      </w:tr>
      <w:tr>
        <w:trPr>
          <w:trHeight w:val="220"/>
        </w:trPr>
        <w:tc>
          <w:tcPr>
            <w:tcW w:w="3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Granted:</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8"/>
        </w:trPr>
        <w:tc>
          <w:tcPr>
            <w:tcW w:w="3560" w:type="dxa"/>
            <w:vAlign w:val="bottom"/>
          </w:tcPr>
          <w:p>
            <w:pPr>
              <w:ind w:left="140"/>
              <w:spacing w:after="0"/>
              <w:rPr>
                <w:sz w:val="20"/>
                <w:szCs w:val="20"/>
                <w:color w:val="auto"/>
              </w:rPr>
            </w:pPr>
            <w:r>
              <w:rPr>
                <w:rFonts w:ascii="Arial" w:cs="Arial" w:eastAsia="Arial" w:hAnsi="Arial"/>
                <w:sz w:val="13"/>
                <w:szCs w:val="13"/>
                <w:color w:val="auto"/>
              </w:rPr>
              <w:t>RSAs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4"/>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30</w:t>
            </w:r>
          </w:p>
        </w:tc>
        <w:tc>
          <w:tcPr>
            <w:tcW w:w="20" w:type="dxa"/>
            <w:vAlign w:val="bottom"/>
          </w:tcPr>
          <w:p>
            <w:pPr>
              <w:spacing w:after="0"/>
              <w:rPr>
                <w:sz w:val="18"/>
                <w:szCs w:val="18"/>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25</w:t>
            </w:r>
          </w:p>
        </w:tc>
      </w:tr>
      <w:tr>
        <w:trPr>
          <w:trHeight w:val="216"/>
        </w:trPr>
        <w:tc>
          <w:tcPr>
            <w:tcW w:w="3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PSUs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r>
      <w:tr>
        <w:trPr>
          <w:trHeight w:val="230"/>
        </w:trPr>
        <w:tc>
          <w:tcPr>
            <w:tcW w:w="3560" w:type="dxa"/>
            <w:vAlign w:val="bottom"/>
          </w:tcPr>
          <w:p>
            <w:pPr>
              <w:ind w:left="300"/>
              <w:spacing w:after="0"/>
              <w:rPr>
                <w:sz w:val="20"/>
                <w:szCs w:val="20"/>
                <w:color w:val="auto"/>
              </w:rPr>
            </w:pPr>
            <w:r>
              <w:rPr>
                <w:rFonts w:ascii="Arial" w:cs="Arial" w:eastAsia="Arial" w:hAnsi="Arial"/>
                <w:sz w:val="13"/>
                <w:szCs w:val="13"/>
                <w:color w:val="auto"/>
              </w:rPr>
              <w:t>Total granted</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gridSpan w:val="4"/>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49</w:t>
            </w:r>
          </w:p>
        </w:tc>
        <w:tc>
          <w:tcPr>
            <w:tcW w:w="20" w:type="dxa"/>
            <w:vAlign w:val="bottom"/>
          </w:tcPr>
          <w:p>
            <w:pPr>
              <w:spacing w:after="0"/>
              <w:rPr>
                <w:sz w:val="20"/>
                <w:szCs w:val="20"/>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41</w:t>
            </w:r>
          </w:p>
        </w:tc>
      </w:tr>
      <w:tr>
        <w:trPr>
          <w:trHeight w:val="190"/>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Vested:</w:t>
            </w:r>
          </w:p>
        </w:tc>
        <w:tc>
          <w:tcPr>
            <w:tcW w:w="15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208"/>
        </w:trPr>
        <w:tc>
          <w:tcPr>
            <w:tcW w:w="3560" w:type="dxa"/>
            <w:vAlign w:val="bottom"/>
          </w:tcPr>
          <w:p>
            <w:pPr>
              <w:ind w:left="140"/>
              <w:spacing w:after="0"/>
              <w:rPr>
                <w:sz w:val="20"/>
                <w:szCs w:val="20"/>
                <w:color w:val="auto"/>
              </w:rPr>
            </w:pPr>
            <w:r>
              <w:rPr>
                <w:rFonts w:ascii="Arial" w:cs="Arial" w:eastAsia="Arial" w:hAnsi="Arial"/>
                <w:sz w:val="13"/>
                <w:szCs w:val="13"/>
                <w:color w:val="auto"/>
              </w:rPr>
              <w:t>RSAs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4"/>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18"/>
                <w:szCs w:val="18"/>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14</w:t>
            </w:r>
          </w:p>
        </w:tc>
      </w:tr>
      <w:tr>
        <w:trPr>
          <w:trHeight w:val="223"/>
        </w:trPr>
        <w:tc>
          <w:tcPr>
            <w:tcW w:w="3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PSUs</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08"/>
        </w:trPr>
        <w:tc>
          <w:tcPr>
            <w:tcW w:w="35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PSAs</w:t>
            </w: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w:t>
            </w:r>
          </w:p>
        </w:tc>
      </w:tr>
      <w:tr>
        <w:trPr>
          <w:trHeight w:val="190"/>
        </w:trPr>
        <w:tc>
          <w:tcPr>
            <w:tcW w:w="35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Total vested</w:t>
            </w: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8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w:t>
            </w:r>
          </w:p>
        </w:tc>
        <w:tc>
          <w:tcPr>
            <w:tcW w:w="2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Employee Stock Purchase Plan</w:t>
      </w:r>
    </w:p>
    <w:p>
      <w:pPr>
        <w:spacing w:after="0" w:line="98"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In May 2019, stockholders approved the 2019 Employee Stock Purchase Plan (the “2019 ESPP”), which superseded the 2011 ESPP. A maximum of 3.0 million shares of our common stock may be issued under the 2019 ESPP, the terms of which are substantially similar to the Molina Healthcare, Inc. Employee Stock Purchase Plan (the “2011 ESPP”). The 2019 ESPP will continue until the earliest of: termination of the 2019 ESPP by the board of directors (which may occur at any time); issuance of all of the shares reserved for issuance under the 2019 ESPP; or May 9, 2029.</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828282"/>
        </w:rPr>
        <w:t>10. Restructuring Costs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Restructuring costs are reported by the same name in the accompanying consolidated statements of income.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IT Restructuring Plan</w:t>
      </w:r>
    </w:p>
    <w:p>
      <w:pPr>
        <w:spacing w:after="0" w:line="200" w:lineRule="exact"/>
        <w:rPr>
          <w:sz w:val="20"/>
          <w:szCs w:val="20"/>
          <w:color w:val="auto"/>
        </w:rPr>
      </w:pPr>
    </w:p>
    <w:p>
      <w:pPr>
        <w:ind w:right="380"/>
        <w:spacing w:after="0" w:line="265" w:lineRule="auto"/>
        <w:rPr>
          <w:sz w:val="20"/>
          <w:szCs w:val="20"/>
          <w:color w:val="auto"/>
        </w:rPr>
      </w:pPr>
      <w:r>
        <w:rPr>
          <w:rFonts w:ascii="Arial" w:cs="Arial" w:eastAsia="Arial" w:hAnsi="Arial"/>
          <w:sz w:val="14"/>
          <w:szCs w:val="14"/>
          <w:color w:val="auto"/>
        </w:rPr>
        <w:t>Management is focused on a margin recovery plan that includes identification and implementation of various profit improvement initiatives. To that end, we began a plan to restructure our information technology department (the “IT Restructuring Plan”) in 2018. In early 2019, we entered into services agreements with our outsourcing vendor under which they manage certain of our information technology services.</w:t>
      </w:r>
    </w:p>
    <w:p>
      <w:pPr>
        <w:spacing w:after="0" w:line="70"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We expect to complete the IT Restructuring Plan by the end of 2019, incurring cumulative total costs of approximately $15 million in the Other segment. This estimate of cumulative total costs is lower than the $20 million reported in our Annual Report on Form 10-K for the year ended December 31, 2018, because more of our IT employees transitioned to our outsourcing vendor than originally contemplated. Once employed by our outsourcing vendor, such employees are no longer included in the IT Restructuring Plan, which therefore resulted in lower one-time termination costs.</w:t>
      </w:r>
    </w:p>
    <w:p>
      <w:pPr>
        <w:spacing w:after="0" w:line="159" w:lineRule="exact"/>
        <w:rPr>
          <w:sz w:val="20"/>
          <w:szCs w:val="20"/>
          <w:color w:val="auto"/>
        </w:rPr>
      </w:pPr>
    </w:p>
    <w:p>
      <w:pPr>
        <w:ind w:right="220"/>
        <w:spacing w:after="0" w:line="273" w:lineRule="auto"/>
        <w:rPr>
          <w:sz w:val="20"/>
          <w:szCs w:val="20"/>
          <w:color w:val="auto"/>
        </w:rPr>
      </w:pPr>
      <w:r>
        <w:rPr>
          <w:rFonts w:ascii="Arial" w:cs="Arial" w:eastAsia="Arial" w:hAnsi="Arial"/>
          <w:sz w:val="14"/>
          <w:szCs w:val="14"/>
          <w:color w:val="auto"/>
        </w:rPr>
        <w:t>As of December 31, 2018, there was $6 million accrued under the IT Restructuring Plan, primarily for one-time termination benefits that require cash settlement. In the first half of 2019, we incurred $2 million of other</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23</w:t>
      </w:r>
    </w:p>
    <w:p>
      <w:pPr>
        <w:sectPr>
          <w:pgSz w:w="11900" w:h="16838" w:orient="portrait"/>
          <w:cols w:equalWidth="0" w:num="1">
            <w:col w:w="11460"/>
          </w:cols>
          <w:pgMar w:left="220" w:top="140" w:right="21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1" w:lineRule="exact"/>
        <w:rPr>
          <w:sz w:val="20"/>
          <w:szCs w:val="20"/>
          <w:color w:val="auto"/>
        </w:rPr>
      </w:pPr>
    </w:p>
    <w:p>
      <w:pPr>
        <w:ind w:right="260"/>
        <w:spacing w:after="0" w:line="273" w:lineRule="auto"/>
        <w:rPr>
          <w:sz w:val="20"/>
          <w:szCs w:val="20"/>
          <w:color w:val="auto"/>
        </w:rPr>
      </w:pPr>
      <w:r>
        <w:rPr>
          <w:rFonts w:ascii="Arial" w:cs="Arial" w:eastAsia="Arial" w:hAnsi="Arial"/>
          <w:sz w:val="14"/>
          <w:szCs w:val="14"/>
          <w:color w:val="auto"/>
        </w:rPr>
        <w:t>restructuring costs, and paid $5 million to settle one-time termination benefits and $2 million to settle other restructuring costs. As of June 30, 2019, there was $1 million accrued under the IT Restructuring Plan.</w:t>
      </w:r>
    </w:p>
    <w:p>
      <w:pPr>
        <w:spacing w:after="0" w:line="151" w:lineRule="exact"/>
        <w:rPr>
          <w:sz w:val="20"/>
          <w:szCs w:val="20"/>
          <w:color w:val="auto"/>
        </w:rPr>
      </w:pPr>
    </w:p>
    <w:p>
      <w:pPr>
        <w:ind w:right="380"/>
        <w:spacing w:after="0" w:line="273" w:lineRule="auto"/>
        <w:rPr>
          <w:sz w:val="20"/>
          <w:szCs w:val="20"/>
          <w:color w:val="auto"/>
        </w:rPr>
      </w:pPr>
      <w:r>
        <w:rPr>
          <w:rFonts w:ascii="Arial" w:cs="Arial" w:eastAsia="Arial" w:hAnsi="Arial"/>
          <w:sz w:val="14"/>
          <w:szCs w:val="14"/>
          <w:color w:val="auto"/>
        </w:rPr>
        <w:t>As of June 30, 2019, we had incurred cumulative restructuring costs under the IT Restructuring Plan of $11 million, including $7 million of one-time termination benefits and $4 million of other restructuring costs (primarily consulting fees).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2017 Restructuring Plan</w:t>
      </w:r>
    </w:p>
    <w:p>
      <w:pPr>
        <w:spacing w:after="0" w:line="200"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As of December 31, 2018, accrued liabilities of $18 million remained for the restructuring and profitability improvement plan approved by the board of directors in June 2017 (the “2017 Restructuring Plan”). In the first half of 2019, we incurred $3 million of restructuring costs for adjustments to previously recorded lease contract termination costs, and paid $4 million to settle one-time termination and lease contract termination costs. As of June 30, 2019, accrued liabilities of $17 million remained for lease contract termination costs under the 2017 Restructuring Plan. We expect to continue to settle these liabilities through 2025, unless the leases are terminated sooner.</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828282"/>
        </w:rPr>
        <w:t>11. Segments</w:t>
      </w:r>
    </w:p>
    <w:p>
      <w:pPr>
        <w:spacing w:after="0" w:line="91"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We currently have two reportable segments: our Health Plans segment and our Other segment. Our reportable segments are consistent with how we currently manage the business and view the markets we serve.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Description of Earnings Measures for Reportable Segments</w:t>
      </w:r>
    </w:p>
    <w:p>
      <w:pPr>
        <w:spacing w:after="0" w:line="200" w:lineRule="exact"/>
        <w:rPr>
          <w:sz w:val="20"/>
          <w:szCs w:val="20"/>
          <w:color w:val="auto"/>
        </w:rPr>
      </w:pPr>
    </w:p>
    <w:p>
      <w:pPr>
        <w:ind w:right="240"/>
        <w:spacing w:after="0" w:line="273" w:lineRule="auto"/>
        <w:rPr>
          <w:sz w:val="20"/>
          <w:szCs w:val="20"/>
          <w:color w:val="auto"/>
        </w:rPr>
      </w:pPr>
      <w:r>
        <w:rPr>
          <w:rFonts w:ascii="Arial" w:cs="Arial" w:eastAsia="Arial" w:hAnsi="Arial"/>
          <w:sz w:val="14"/>
          <w:szCs w:val="14"/>
          <w:color w:val="auto"/>
        </w:rPr>
        <w:t>Margin is the appropriate earnings measure for our reportable segments, based on how our chief operating decision maker currently reviews results, assesses performance, and allocates resources.</w:t>
      </w:r>
    </w:p>
    <w:p>
      <w:pPr>
        <w:spacing w:after="0" w:line="65"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Margin for our Health Plans segment is referred to as “Medical Margin,” which represents the amount earned after medical costs are deducted from premium revenue. The medical care ratio represents the amount of medical care costs as a percentage of premium revenue, and is one of the key metrics used to assess the performance of the segments. Therefore, the underlying Medical Margin is the most important measure of earnings reviewed by the chief operating decision maker.</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total revenue by segment. Inter-segment revenue was insignificant for all periods presented.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160" w:type="dxa"/>
            <w:vAlign w:val="bottom"/>
          </w:tcPr>
          <w:p>
            <w:pPr>
              <w:spacing w:after="0"/>
              <w:rPr>
                <w:sz w:val="13"/>
                <w:szCs w:val="13"/>
                <w:color w:val="auto"/>
              </w:rPr>
            </w:pPr>
          </w:p>
        </w:tc>
        <w:tc>
          <w:tcPr>
            <w:tcW w:w="2600" w:type="dxa"/>
            <w:vAlign w:val="bottom"/>
            <w:tcBorders>
              <w:bottom w:val="single" w:sz="8" w:color="auto"/>
            </w:tcBorders>
            <w:gridSpan w:val="4"/>
          </w:tcPr>
          <w:p>
            <w:pPr>
              <w:jc w:val="right"/>
              <w:ind w:right="158"/>
              <w:spacing w:after="0"/>
              <w:rPr>
                <w:sz w:val="20"/>
                <w:szCs w:val="20"/>
                <w:color w:val="auto"/>
              </w:rPr>
            </w:pPr>
            <w:r>
              <w:rPr>
                <w:rFonts w:ascii="Arial" w:cs="Arial" w:eastAsia="Arial" w:hAnsi="Arial"/>
                <w:sz w:val="11"/>
                <w:szCs w:val="11"/>
                <w:b w:val="1"/>
                <w:bCs w:val="1"/>
                <w:color w:val="auto"/>
              </w:rPr>
              <w:t>Three Months Ended June 30,</w:t>
            </w: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717"/>
              <w:spacing w:after="0"/>
              <w:rPr>
                <w:sz w:val="20"/>
                <w:szCs w:val="20"/>
                <w:color w:val="auto"/>
              </w:rPr>
            </w:pPr>
            <w:r>
              <w:rPr>
                <w:rFonts w:ascii="Arial" w:cs="Arial" w:eastAsia="Arial" w:hAnsi="Arial"/>
                <w:sz w:val="11"/>
                <w:szCs w:val="11"/>
                <w:b w:val="1"/>
                <w:bCs w:val="1"/>
                <w:color w:val="auto"/>
              </w:rPr>
              <w:t>Six Months Ended June 30,</w:t>
            </w:r>
          </w:p>
        </w:tc>
      </w:tr>
      <w:tr>
        <w:trPr>
          <w:trHeight w:val="206"/>
        </w:trPr>
        <w:tc>
          <w:tcPr>
            <w:tcW w:w="5160" w:type="dxa"/>
            <w:vAlign w:val="bottom"/>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2018</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2018</w:t>
            </w:r>
          </w:p>
        </w:tc>
      </w:tr>
      <w:tr>
        <w:trPr>
          <w:trHeight w:val="196"/>
        </w:trPr>
        <w:tc>
          <w:tcPr>
            <w:tcW w:w="5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gridSpan w:val="3"/>
          </w:tcPr>
          <w:p>
            <w:pPr>
              <w:jc w:val="right"/>
              <w:ind w:right="135"/>
              <w:spacing w:after="0"/>
              <w:rPr>
                <w:sz w:val="20"/>
                <w:szCs w:val="20"/>
                <w:color w:val="auto"/>
              </w:rPr>
            </w:pPr>
            <w:r>
              <w:rPr>
                <w:rFonts w:ascii="Arial" w:cs="Arial" w:eastAsia="Arial" w:hAnsi="Arial"/>
                <w:sz w:val="11"/>
                <w:szCs w:val="11"/>
                <w:b w:val="1"/>
                <w:bCs w:val="1"/>
                <w:color w:val="auto"/>
              </w:rPr>
              <w:t>(In millions)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revenue:</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8"/>
        </w:trPr>
        <w:tc>
          <w:tcPr>
            <w:tcW w:w="5160" w:type="dxa"/>
            <w:vAlign w:val="bottom"/>
          </w:tcPr>
          <w:p>
            <w:pPr>
              <w:ind w:left="220"/>
              <w:spacing w:after="0"/>
              <w:rPr>
                <w:sz w:val="20"/>
                <w:szCs w:val="20"/>
                <w:color w:val="auto"/>
              </w:rPr>
            </w:pPr>
            <w:r>
              <w:rPr>
                <w:rFonts w:ascii="Arial" w:cs="Arial" w:eastAsia="Arial" w:hAnsi="Arial"/>
                <w:sz w:val="13"/>
                <w:szCs w:val="13"/>
                <w:color w:val="auto"/>
              </w:rPr>
              <w:t>Health Plans</w:t>
            </w:r>
          </w:p>
        </w:tc>
        <w:tc>
          <w:tcPr>
            <w:tcW w:w="980" w:type="dxa"/>
            <w:vAlign w:val="bottom"/>
          </w:tcPr>
          <w:p>
            <w:pPr>
              <w:jc w:val="right"/>
              <w:ind w:right="819"/>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4,190</w:t>
            </w:r>
          </w:p>
        </w:tc>
        <w:tc>
          <w:tcPr>
            <w:tcW w:w="120" w:type="dxa"/>
            <w:vAlign w:val="bottom"/>
          </w:tcPr>
          <w:p>
            <w:pPr>
              <w:spacing w:after="0"/>
              <w:rPr>
                <w:sz w:val="18"/>
                <w:szCs w:val="18"/>
                <w:color w:val="auto"/>
              </w:rPr>
            </w:pPr>
          </w:p>
        </w:tc>
        <w:tc>
          <w:tcPr>
            <w:tcW w:w="980" w:type="dxa"/>
            <w:vAlign w:val="bottom"/>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4,752</w:t>
            </w:r>
          </w:p>
        </w:tc>
        <w:tc>
          <w:tcPr>
            <w:tcW w:w="120" w:type="dxa"/>
            <w:vAlign w:val="bottom"/>
          </w:tcPr>
          <w:p>
            <w:pPr>
              <w:spacing w:after="0"/>
              <w:rPr>
                <w:sz w:val="18"/>
                <w:szCs w:val="18"/>
                <w:color w:val="auto"/>
              </w:rPr>
            </w:pPr>
          </w:p>
        </w:tc>
        <w:tc>
          <w:tcPr>
            <w:tcW w:w="4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8"/>
              <w:spacing w:after="0"/>
              <w:rPr>
                <w:sz w:val="20"/>
                <w:szCs w:val="20"/>
                <w:color w:val="auto"/>
              </w:rPr>
            </w:pPr>
            <w:r>
              <w:rPr>
                <w:rFonts w:ascii="Arial" w:cs="Arial" w:eastAsia="Arial" w:hAnsi="Arial"/>
                <w:sz w:val="13"/>
                <w:szCs w:val="13"/>
                <w:color w:val="auto"/>
              </w:rPr>
              <w:t>8,307</w:t>
            </w:r>
          </w:p>
        </w:tc>
        <w:tc>
          <w:tcPr>
            <w:tcW w:w="120" w:type="dxa"/>
            <w:vAlign w:val="bottom"/>
          </w:tcPr>
          <w:p>
            <w:pPr>
              <w:spacing w:after="0"/>
              <w:rPr>
                <w:sz w:val="18"/>
                <w:szCs w:val="18"/>
                <w:color w:val="auto"/>
              </w:rPr>
            </w:pPr>
          </w:p>
        </w:tc>
        <w:tc>
          <w:tcPr>
            <w:tcW w:w="340" w:type="dxa"/>
            <w:vAlign w:val="bottom"/>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9,261</w:t>
            </w: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131</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268</w:t>
            </w:r>
          </w:p>
        </w:tc>
      </w:tr>
      <w:tr>
        <w:trPr>
          <w:trHeight w:val="190"/>
        </w:trPr>
        <w:tc>
          <w:tcPr>
            <w:tcW w:w="5160" w:type="dxa"/>
            <w:vAlign w:val="bottom"/>
          </w:tcPr>
          <w:p>
            <w:pPr>
              <w:ind w:left="400"/>
              <w:spacing w:after="0"/>
              <w:rPr>
                <w:sz w:val="20"/>
                <w:szCs w:val="20"/>
                <w:color w:val="auto"/>
              </w:rPr>
            </w:pPr>
            <w:r>
              <w:rPr>
                <w:rFonts w:ascii="Arial" w:cs="Arial" w:eastAsia="Arial" w:hAnsi="Arial"/>
                <w:sz w:val="13"/>
                <w:szCs w:val="13"/>
                <w:color w:val="auto"/>
              </w:rPr>
              <w:t>Consolidated</w:t>
            </w:r>
          </w:p>
        </w:tc>
        <w:tc>
          <w:tcPr>
            <w:tcW w:w="980" w:type="dxa"/>
            <w:vAlign w:val="bottom"/>
            <w:tcBorders>
              <w:bottom w:val="single" w:sz="8" w:color="auto"/>
            </w:tcBorders>
          </w:tcPr>
          <w:p>
            <w:pPr>
              <w:jc w:val="right"/>
              <w:ind w:right="819"/>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4,193</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4,883</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8,312</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9,529</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24</w:t>
      </w:r>
    </w:p>
    <w:p>
      <w:pPr>
        <w:sectPr>
          <w:pgSz w:w="11900" w:h="16838" w:orient="portrait"/>
          <w:cols w:equalWidth="0" w:num="1">
            <w:col w:w="11460"/>
          </w:cols>
          <w:pgMar w:left="220" w:top="140" w:right="21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reconciles margin by segment to consolidated income before income taxes: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160" w:type="dxa"/>
            <w:vAlign w:val="bottom"/>
          </w:tcPr>
          <w:p>
            <w:pPr>
              <w:spacing w:after="0"/>
              <w:rPr>
                <w:sz w:val="13"/>
                <w:szCs w:val="13"/>
                <w:color w:val="auto"/>
              </w:rPr>
            </w:pPr>
          </w:p>
        </w:tc>
        <w:tc>
          <w:tcPr>
            <w:tcW w:w="2620" w:type="dxa"/>
            <w:vAlign w:val="bottom"/>
            <w:tcBorders>
              <w:bottom w:val="single" w:sz="8" w:color="auto"/>
            </w:tcBorders>
            <w:gridSpan w:val="4"/>
          </w:tcPr>
          <w:p>
            <w:pPr>
              <w:jc w:val="right"/>
              <w:ind w:right="178"/>
              <w:spacing w:after="0"/>
              <w:rPr>
                <w:sz w:val="20"/>
                <w:szCs w:val="20"/>
                <w:color w:val="auto"/>
              </w:rPr>
            </w:pPr>
            <w:r>
              <w:rPr>
                <w:rFonts w:ascii="Arial" w:cs="Arial" w:eastAsia="Arial" w:hAnsi="Arial"/>
                <w:sz w:val="11"/>
                <w:szCs w:val="11"/>
                <w:b w:val="1"/>
                <w:bCs w:val="1"/>
                <w:color w:val="auto"/>
              </w:rPr>
              <w:t>Three Months Ended June 30,</w:t>
            </w: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206"/>
        </w:trPr>
        <w:tc>
          <w:tcPr>
            <w:tcW w:w="5160" w:type="dxa"/>
            <w:vAlign w:val="bottom"/>
          </w:tcPr>
          <w:p>
            <w:pPr>
              <w:spacing w:after="0"/>
              <w:rPr>
                <w:sz w:val="17"/>
                <w:szCs w:val="17"/>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2019</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1"/>
                <w:szCs w:val="11"/>
                <w:b w:val="1"/>
                <w:bCs w:val="1"/>
                <w:color w:val="auto"/>
              </w:rPr>
              <w:t>2018</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gridSpan w:val="3"/>
          </w:tcPr>
          <w:p>
            <w:pPr>
              <w:jc w:val="right"/>
              <w:ind w:right="135"/>
              <w:spacing w:after="0"/>
              <w:rPr>
                <w:sz w:val="20"/>
                <w:szCs w:val="20"/>
                <w:color w:val="auto"/>
              </w:rPr>
            </w:pPr>
            <w:r>
              <w:rPr>
                <w:rFonts w:ascii="Arial" w:cs="Arial" w:eastAsia="Arial" w:hAnsi="Arial"/>
                <w:sz w:val="11"/>
                <w:szCs w:val="11"/>
                <w:b w:val="1"/>
                <w:bCs w:val="1"/>
                <w:color w:val="auto"/>
              </w:rPr>
              <w:t>(In millions)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Margin:</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160" w:type="dxa"/>
            <w:vAlign w:val="bottom"/>
          </w:tcPr>
          <w:p>
            <w:pPr>
              <w:ind w:left="220"/>
              <w:spacing w:after="0"/>
              <w:rPr>
                <w:sz w:val="20"/>
                <w:szCs w:val="20"/>
                <w:color w:val="auto"/>
              </w:rPr>
            </w:pPr>
            <w:r>
              <w:rPr>
                <w:rFonts w:ascii="Arial" w:cs="Arial" w:eastAsia="Arial" w:hAnsi="Arial"/>
                <w:sz w:val="13"/>
                <w:szCs w:val="13"/>
                <w:color w:val="auto"/>
              </w:rPr>
              <w:t>Health Plans</w:t>
            </w:r>
          </w:p>
        </w:tc>
        <w:tc>
          <w:tcPr>
            <w:tcW w:w="1000" w:type="dxa"/>
            <w:vAlign w:val="bottom"/>
          </w:tcPr>
          <w:p>
            <w:pPr>
              <w:jc w:val="right"/>
              <w:ind w:right="839"/>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5"/>
              <w:spacing w:after="0"/>
              <w:rPr>
                <w:sz w:val="20"/>
                <w:szCs w:val="20"/>
                <w:color w:val="auto"/>
              </w:rPr>
            </w:pPr>
            <w:r>
              <w:rPr>
                <w:rFonts w:ascii="Arial" w:cs="Arial" w:eastAsia="Arial" w:hAnsi="Arial"/>
                <w:sz w:val="13"/>
                <w:szCs w:val="13"/>
                <w:color w:val="auto"/>
              </w:rPr>
              <w:t>583</w:t>
            </w:r>
          </w:p>
        </w:tc>
        <w:tc>
          <w:tcPr>
            <w:tcW w:w="120" w:type="dxa"/>
            <w:vAlign w:val="bottom"/>
          </w:tcPr>
          <w:p>
            <w:pPr>
              <w:spacing w:after="0"/>
              <w:rPr>
                <w:sz w:val="18"/>
                <w:szCs w:val="18"/>
                <w:color w:val="auto"/>
              </w:rPr>
            </w:pPr>
          </w:p>
        </w:tc>
        <w:tc>
          <w:tcPr>
            <w:tcW w:w="1000" w:type="dxa"/>
            <w:vAlign w:val="bottom"/>
          </w:tcPr>
          <w:p>
            <w:pPr>
              <w:jc w:val="right"/>
              <w:ind w:right="838"/>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6"/>
              <w:spacing w:after="0"/>
              <w:rPr>
                <w:sz w:val="20"/>
                <w:szCs w:val="20"/>
                <w:color w:val="auto"/>
              </w:rPr>
            </w:pPr>
            <w:r>
              <w:rPr>
                <w:rFonts w:ascii="Arial" w:cs="Arial" w:eastAsia="Arial" w:hAnsi="Arial"/>
                <w:sz w:val="13"/>
                <w:szCs w:val="13"/>
                <w:color w:val="auto"/>
              </w:rPr>
              <w:t>664</w:t>
            </w:r>
          </w:p>
        </w:tc>
        <w:tc>
          <w:tcPr>
            <w:tcW w:w="120" w:type="dxa"/>
            <w:vAlign w:val="bottom"/>
          </w:tcPr>
          <w:p>
            <w:pPr>
              <w:spacing w:after="0"/>
              <w:rPr>
                <w:sz w:val="18"/>
                <w:szCs w:val="18"/>
                <w:color w:val="auto"/>
              </w:rPr>
            </w:pPr>
          </w:p>
        </w:tc>
        <w:tc>
          <w:tcPr>
            <w:tcW w:w="4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1,164</w:t>
            </w:r>
          </w:p>
        </w:tc>
        <w:tc>
          <w:tcPr>
            <w:tcW w:w="120" w:type="dxa"/>
            <w:vAlign w:val="bottom"/>
          </w:tcPr>
          <w:p>
            <w:pPr>
              <w:spacing w:after="0"/>
              <w:rPr>
                <w:sz w:val="18"/>
                <w:szCs w:val="18"/>
                <w:color w:val="auto"/>
              </w:rPr>
            </w:pPr>
          </w:p>
        </w:tc>
        <w:tc>
          <w:tcPr>
            <w:tcW w:w="340" w:type="dxa"/>
            <w:vAlign w:val="bottom"/>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1,265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w:t>
            </w: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96"/>
        </w:trPr>
        <w:tc>
          <w:tcPr>
            <w:tcW w:w="5160" w:type="dxa"/>
            <w:vAlign w:val="bottom"/>
          </w:tcPr>
          <w:p>
            <w:pPr>
              <w:ind w:left="300"/>
              <w:spacing w:after="0"/>
              <w:rPr>
                <w:sz w:val="20"/>
                <w:szCs w:val="20"/>
                <w:color w:val="auto"/>
              </w:rPr>
            </w:pPr>
            <w:r>
              <w:rPr>
                <w:rFonts w:ascii="Arial" w:cs="Arial" w:eastAsia="Arial" w:hAnsi="Arial"/>
                <w:sz w:val="13"/>
                <w:szCs w:val="13"/>
                <w:color w:val="auto"/>
              </w:rPr>
              <w:t>Total margin</w:t>
            </w:r>
          </w:p>
        </w:tc>
        <w:tc>
          <w:tcPr>
            <w:tcW w:w="10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583</w:t>
            </w: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673</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1,164</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1,288</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Add: other operating revenues </w:t>
            </w:r>
            <w:r>
              <w:rPr>
                <w:rFonts w:ascii="Arial" w:cs="Arial" w:eastAsia="Arial" w:hAnsi="Arial"/>
                <w:sz w:val="17"/>
                <w:szCs w:val="17"/>
                <w:color w:val="auto"/>
                <w:vertAlign w:val="superscript"/>
              </w:rPr>
              <w:t>(1)</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144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431</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 xml:space="preserve">Less: other operating expenses </w:t>
            </w:r>
            <w:r>
              <w:rPr>
                <w:rFonts w:ascii="Arial" w:cs="Arial" w:eastAsia="Arial" w:hAnsi="Arial"/>
                <w:sz w:val="17"/>
                <w:szCs w:val="17"/>
                <w:color w:val="auto"/>
                <w:vertAlign w:val="superscript"/>
              </w:rPr>
              <w:t>(2)</w:t>
            </w: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(462)</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(573)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(1,155)</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Operating income</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265</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342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564</w:t>
            </w:r>
          </w:p>
        </w:tc>
        <w:tc>
          <w:tcPr>
            <w:tcW w:w="0" w:type="dxa"/>
            <w:vAlign w:val="bottom"/>
          </w:tcPr>
          <w:p>
            <w:pPr>
              <w:spacing w:after="0"/>
              <w:rPr>
                <w:sz w:val="1"/>
                <w:szCs w:val="1"/>
                <w:color w:val="auto"/>
              </w:rPr>
            </w:pPr>
          </w:p>
        </w:tc>
      </w:tr>
      <w:tr>
        <w:trPr>
          <w:trHeight w:val="20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expenses, net</w:t>
            </w: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37</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9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before income tax expense</w:t>
            </w:r>
          </w:p>
        </w:tc>
        <w:tc>
          <w:tcPr>
            <w:tcW w:w="100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257</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38"/>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305</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517</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484</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color w:val="auto"/>
              </w:rPr>
              <w:t>______________________</w:t>
            </w: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16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260" w:hanging="254"/>
        <w:spacing w:after="0"/>
        <w:tabs>
          <w:tab w:leader="none" w:pos="260" w:val="left"/>
        </w:tabs>
        <w:numPr>
          <w:ilvl w:val="0"/>
          <w:numId w:val="8"/>
        </w:numPr>
        <w:rPr>
          <w:rFonts w:ascii="Arial" w:cs="Arial" w:eastAsia="Arial" w:hAnsi="Arial"/>
          <w:sz w:val="13"/>
          <w:szCs w:val="13"/>
          <w:color w:val="auto"/>
        </w:rPr>
      </w:pPr>
      <w:r>
        <w:rPr>
          <w:rFonts w:ascii="Arial" w:cs="Arial" w:eastAsia="Arial" w:hAnsi="Arial"/>
          <w:sz w:val="13"/>
          <w:szCs w:val="13"/>
          <w:color w:val="auto"/>
        </w:rPr>
        <w:t>Other operating revenues include premium tax revenue, health insurer fees reimbursed, and investment income and other revenue.</w:t>
      </w:r>
    </w:p>
    <w:p>
      <w:pPr>
        <w:spacing w:after="0" w:line="1" w:lineRule="exact"/>
        <w:rPr>
          <w:rFonts w:ascii="Arial" w:cs="Arial" w:eastAsia="Arial" w:hAnsi="Arial"/>
          <w:sz w:val="13"/>
          <w:szCs w:val="13"/>
          <w:color w:val="auto"/>
        </w:rPr>
      </w:pPr>
    </w:p>
    <w:p>
      <w:pPr>
        <w:ind w:left="260" w:hanging="254"/>
        <w:spacing w:after="0"/>
        <w:tabs>
          <w:tab w:leader="none" w:pos="260" w:val="left"/>
        </w:tabs>
        <w:numPr>
          <w:ilvl w:val="0"/>
          <w:numId w:val="8"/>
        </w:numPr>
        <w:rPr>
          <w:rFonts w:ascii="Arial" w:cs="Arial" w:eastAsia="Arial" w:hAnsi="Arial"/>
          <w:sz w:val="13"/>
          <w:szCs w:val="13"/>
          <w:color w:val="auto"/>
        </w:rPr>
      </w:pPr>
      <w:r>
        <w:rPr>
          <w:rFonts w:ascii="Arial" w:cs="Arial" w:eastAsia="Arial" w:hAnsi="Arial"/>
          <w:sz w:val="13"/>
          <w:szCs w:val="13"/>
          <w:color w:val="auto"/>
        </w:rPr>
        <w:t>Other operating expenses include general and administrative expenses, premium tax expenses, health insurer fees, depreciation and amortization, and restructuring costs.</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828282"/>
        </w:rPr>
        <w:t>12. Commitments and Contingencies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114" w:lineRule="exact"/>
        <w:rPr>
          <w:sz w:val="20"/>
          <w:szCs w:val="20"/>
          <w:color w:val="auto"/>
        </w:rPr>
      </w:pPr>
    </w:p>
    <w:p>
      <w:pPr>
        <w:ind w:right="340"/>
        <w:spacing w:after="0" w:line="273" w:lineRule="auto"/>
        <w:rPr>
          <w:sz w:val="20"/>
          <w:szCs w:val="20"/>
          <w:color w:val="auto"/>
        </w:rPr>
      </w:pPr>
      <w:r>
        <w:rPr>
          <w:rFonts w:ascii="Arial" w:cs="Arial" w:eastAsia="Arial" w:hAnsi="Arial"/>
          <w:sz w:val="14"/>
          <w:szCs w:val="14"/>
          <w:color w:val="auto"/>
        </w:rPr>
        <w:t>The healthcare industry is subject to numerous laws and regulations of federal, state, and local governments. Penalties associated with violations of these laws and regulations include significant fines, exclusion from participating in publicly funded programs, and the repayment of previously collected revenues.</w:t>
      </w:r>
    </w:p>
    <w:p>
      <w:pPr>
        <w:spacing w:after="0" w:line="65" w:lineRule="exact"/>
        <w:rPr>
          <w:sz w:val="20"/>
          <w:szCs w:val="20"/>
          <w:color w:val="auto"/>
        </w:rPr>
      </w:pPr>
    </w:p>
    <w:p>
      <w:pPr>
        <w:ind w:right="220"/>
        <w:spacing w:after="0" w:line="261" w:lineRule="auto"/>
        <w:rPr>
          <w:sz w:val="20"/>
          <w:szCs w:val="20"/>
          <w:color w:val="auto"/>
        </w:rPr>
      </w:pPr>
      <w:r>
        <w:rPr>
          <w:rFonts w:ascii="Arial" w:cs="Arial" w:eastAsia="Arial" w:hAnsi="Arial"/>
          <w:sz w:val="14"/>
          <w:szCs w:val="14"/>
          <w:color w:val="auto"/>
        </w:rPr>
        <w:t>In the ordinary course of business we are involved in legal actions, some of which seek monetary damages, including claims for punitive damages, which are not covered by insurance. We have accrued liabilities for certain matters for which we deem the loss to be both probable and reasonably estimable, but the outcome of legal actions is inherently uncertain and our estimates of such losses could change as a result of further developments of these matters. For certain pending matters, accruals have not been established because such matters have not progressed sufficiently through discovery or factual development to enable us to reasonably estimate a range of possible loss. An adverse determination in one or more of these pending matters could have a material adverse effect on our consolidated financial position, results of operations, or cash flows.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States’ Budgets</w:t>
      </w:r>
    </w:p>
    <w:p>
      <w:pPr>
        <w:spacing w:after="0" w:line="114" w:lineRule="exact"/>
        <w:rPr>
          <w:sz w:val="20"/>
          <w:szCs w:val="20"/>
          <w:color w:val="auto"/>
        </w:rPr>
      </w:pPr>
    </w:p>
    <w:p>
      <w:pPr>
        <w:ind w:right="400"/>
        <w:spacing w:after="0" w:line="273" w:lineRule="auto"/>
        <w:rPr>
          <w:sz w:val="20"/>
          <w:szCs w:val="20"/>
          <w:color w:val="auto"/>
        </w:rPr>
      </w:pPr>
      <w:r>
        <w:rPr>
          <w:rFonts w:ascii="Arial" w:cs="Arial" w:eastAsia="Arial" w:hAnsi="Arial"/>
          <w:sz w:val="14"/>
          <w:szCs w:val="14"/>
          <w:color w:val="auto"/>
        </w:rPr>
        <w:t>Nearly all of our premium revenues come from the joint federal and state funding of the Medicaid and Children’s Health Insurance Program (“CHIP”) programs. The states and Commonwealth in which we operate our health plans regularly face significant budgetary pressures.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828282"/>
        </w:rPr>
        <w:t>13. Leases</w:t>
      </w:r>
    </w:p>
    <w:p>
      <w:pPr>
        <w:spacing w:after="0" w:line="91"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 xml:space="preserve">As discussed in Note 2, “Significant Accounting Policies,” we elected the Topic 842 transition provision that allows entities to continue to apply the legacy guidance in Topic 840, </w:t>
      </w:r>
      <w:r>
        <w:rPr>
          <w:rFonts w:ascii="Arial" w:cs="Arial" w:eastAsia="Arial" w:hAnsi="Arial"/>
          <w:sz w:val="14"/>
          <w:szCs w:val="14"/>
          <w:i w:val="1"/>
          <w:iCs w:val="1"/>
          <w:color w:val="auto"/>
        </w:rPr>
        <w:t>Leases</w:t>
      </w:r>
      <w:r>
        <w:rPr>
          <w:rFonts w:ascii="Arial" w:cs="Arial" w:eastAsia="Arial" w:hAnsi="Arial"/>
          <w:sz w:val="14"/>
          <w:szCs w:val="14"/>
          <w:color w:val="auto"/>
        </w:rPr>
        <w:t>, including its disclosure requirements, in the comparative periods presented in the year of adoption. Accordingly, the Topic 842 disclosures below are presented as of and for</w:t>
      </w:r>
      <w:r>
        <w:rPr>
          <w:rFonts w:ascii="Arial" w:cs="Arial" w:eastAsia="Arial" w:hAnsi="Arial"/>
          <w:sz w:val="14"/>
          <w:szCs w:val="14"/>
          <w:i w:val="1"/>
          <w:iCs w:val="1"/>
          <w:color w:val="auto"/>
        </w:rPr>
        <w:t xml:space="preserve"> </w:t>
      </w:r>
      <w:r>
        <w:rPr>
          <w:rFonts w:ascii="Arial" w:cs="Arial" w:eastAsia="Arial" w:hAnsi="Arial"/>
          <w:sz w:val="14"/>
          <w:szCs w:val="14"/>
          <w:color w:val="auto"/>
        </w:rPr>
        <w:t>the three-month and six-month periods ended June 30, 2019, only.</w:t>
      </w:r>
    </w:p>
    <w:p>
      <w:pPr>
        <w:spacing w:after="0" w:line="70" w:lineRule="exact"/>
        <w:rPr>
          <w:sz w:val="20"/>
          <w:szCs w:val="20"/>
          <w:color w:val="auto"/>
        </w:rPr>
      </w:pPr>
    </w:p>
    <w:p>
      <w:pPr>
        <w:ind w:right="160"/>
        <w:spacing w:after="0" w:line="273" w:lineRule="auto"/>
        <w:rPr>
          <w:sz w:val="20"/>
          <w:szCs w:val="20"/>
          <w:color w:val="auto"/>
        </w:rPr>
      </w:pPr>
      <w:r>
        <w:rPr>
          <w:rFonts w:ascii="Arial" w:cs="Arial" w:eastAsia="Arial" w:hAnsi="Arial"/>
          <w:sz w:val="14"/>
          <w:szCs w:val="14"/>
          <w:color w:val="auto"/>
        </w:rPr>
        <w:t>We are a party to operating and finance leases primarily for our corporate and health plan offices. Our operating leases have remaining lease terms up to 10 years, some of which include options to extend the leases for up to 10 years. As of June 30, 2019, the weighted average remaining operating lease term is 4 years.</w:t>
      </w:r>
    </w:p>
    <w:p>
      <w:pPr>
        <w:spacing w:after="0" w:line="65" w:lineRule="exact"/>
        <w:rPr>
          <w:sz w:val="20"/>
          <w:szCs w:val="20"/>
          <w:color w:val="auto"/>
        </w:rPr>
      </w:pPr>
    </w:p>
    <w:p>
      <w:pPr>
        <w:ind w:right="300"/>
        <w:spacing w:after="0" w:line="273" w:lineRule="auto"/>
        <w:rPr>
          <w:sz w:val="20"/>
          <w:szCs w:val="20"/>
          <w:color w:val="auto"/>
        </w:rPr>
      </w:pPr>
      <w:r>
        <w:rPr>
          <w:rFonts w:ascii="Arial" w:cs="Arial" w:eastAsia="Arial" w:hAnsi="Arial"/>
          <w:sz w:val="14"/>
          <w:szCs w:val="14"/>
          <w:color w:val="auto"/>
        </w:rPr>
        <w:t>Our finance leases have remaining lease terms of 3 years to 19 years, some of which include options to extend the leases for up to 25 years. As of June 30, 2019, the weighted average remaining finance lease term is 17 years.</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25</w:t>
      </w:r>
    </w:p>
    <w:p>
      <w:pPr>
        <w:sectPr>
          <w:pgSz w:w="11900" w:h="16838" w:orient="portrait"/>
          <w:cols w:equalWidth="0" w:num="1">
            <w:col w:w="11460"/>
          </w:cols>
          <w:pgMar w:left="220" w:top="140" w:right="21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As of June 30, 2019, the weighted-average discount rate used to compute the present value of lease payments was 5.5% for operating lease liabilities, and 6.6% for finance lease liabilities. The components of lease expense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1620" w:type="dxa"/>
            <w:vAlign w:val="bottom"/>
            <w:gridSpan w:val="3"/>
          </w:tcPr>
          <w:p>
            <w:pPr>
              <w:ind w:left="40"/>
              <w:spacing w:after="0"/>
              <w:rPr>
                <w:sz w:val="20"/>
                <w:szCs w:val="20"/>
                <w:color w:val="auto"/>
              </w:rPr>
            </w:pPr>
            <w:r>
              <w:rPr>
                <w:rFonts w:ascii="Arial" w:cs="Arial" w:eastAsia="Arial" w:hAnsi="Arial"/>
                <w:sz w:val="11"/>
                <w:szCs w:val="11"/>
                <w:b w:val="1"/>
                <w:bCs w:val="1"/>
                <w:color w:val="auto"/>
              </w:rPr>
              <w:t>Three Months Ended June</w:t>
            </w:r>
          </w:p>
        </w:tc>
        <w:tc>
          <w:tcPr>
            <w:tcW w:w="1480" w:type="dxa"/>
            <w:vAlign w:val="bottom"/>
            <w:gridSpan w:val="2"/>
          </w:tcPr>
          <w:p>
            <w:pPr>
              <w:jc w:val="center"/>
              <w:spacing w:after="0"/>
              <w:rPr>
                <w:sz w:val="20"/>
                <w:szCs w:val="20"/>
                <w:color w:val="auto"/>
              </w:rPr>
            </w:pPr>
            <w:r>
              <w:rPr>
                <w:rFonts w:ascii="Arial" w:cs="Arial" w:eastAsia="Arial" w:hAnsi="Arial"/>
                <w:sz w:val="11"/>
                <w:szCs w:val="11"/>
                <w:b w:val="1"/>
                <w:bCs w:val="1"/>
                <w:color w:val="auto"/>
              </w:rPr>
              <w:t>Six Months Ended June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1120" w:type="dxa"/>
            <w:vAlign w:val="bottom"/>
            <w:tcBorders>
              <w:bottom w:val="single" w:sz="8" w:color="auto"/>
            </w:tcBorders>
          </w:tcPr>
          <w:p>
            <w:pPr>
              <w:ind w:left="540"/>
              <w:spacing w:after="0"/>
              <w:rPr>
                <w:sz w:val="20"/>
                <w:szCs w:val="20"/>
                <w:color w:val="auto"/>
              </w:rPr>
            </w:pPr>
            <w:r>
              <w:rPr>
                <w:rFonts w:ascii="Arial" w:cs="Arial" w:eastAsia="Arial" w:hAnsi="Arial"/>
                <w:sz w:val="11"/>
                <w:szCs w:val="11"/>
                <w:b w:val="1"/>
                <w:bCs w:val="1"/>
                <w:color w:val="auto"/>
              </w:rPr>
              <w:t>30, 2019</w:t>
            </w: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257"/>
              <w:spacing w:after="0"/>
              <w:rPr>
                <w:sz w:val="20"/>
                <w:szCs w:val="20"/>
                <w:color w:val="auto"/>
              </w:rPr>
            </w:pPr>
            <w:r>
              <w:rPr>
                <w:rFonts w:ascii="Arial" w:cs="Arial" w:eastAsia="Arial" w:hAnsi="Arial"/>
                <w:sz w:val="11"/>
                <w:szCs w:val="11"/>
                <w:b w:val="1"/>
                <w:bCs w:val="1"/>
                <w:color w:val="auto"/>
              </w:rPr>
              <w:t>30, 2019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8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Operating lease expense</w:t>
            </w:r>
          </w:p>
        </w:tc>
        <w:tc>
          <w:tcPr>
            <w:tcW w:w="1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Finance lease expense:</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40" w:type="dxa"/>
            <w:vAlign w:val="bottom"/>
            <w:gridSpan w:val="3"/>
          </w:tcPr>
          <w:p>
            <w:pPr>
              <w:ind w:left="120"/>
              <w:spacing w:after="0"/>
              <w:rPr>
                <w:sz w:val="20"/>
                <w:szCs w:val="20"/>
                <w:color w:val="auto"/>
              </w:rPr>
            </w:pPr>
            <w:r>
              <w:rPr>
                <w:rFonts w:ascii="Arial" w:cs="Arial" w:eastAsia="Arial" w:hAnsi="Arial"/>
                <w:sz w:val="13"/>
                <w:szCs w:val="13"/>
                <w:color w:val="auto"/>
              </w:rPr>
              <w:t>Amortization of right-of-use (“ROU”) assets</w:t>
            </w:r>
          </w:p>
        </w:tc>
        <w:tc>
          <w:tcPr>
            <w:tcW w:w="1120" w:type="dxa"/>
            <w:vAlign w:val="bottom"/>
          </w:tcPr>
          <w:p>
            <w:pPr>
              <w:ind w:left="4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8"/>
                <w:szCs w:val="18"/>
                <w:color w:val="auto"/>
              </w:rPr>
            </w:pPr>
          </w:p>
        </w:tc>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Interest on lease liabilities</w:t>
            </w: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340" w:type="dxa"/>
            <w:vAlign w:val="bottom"/>
            <w:gridSpan w:val="3"/>
          </w:tcPr>
          <w:p>
            <w:pPr>
              <w:ind w:left="380"/>
              <w:spacing w:after="0"/>
              <w:rPr>
                <w:sz w:val="20"/>
                <w:szCs w:val="20"/>
                <w:color w:val="auto"/>
              </w:rPr>
            </w:pPr>
            <w:r>
              <w:rPr>
                <w:rFonts w:ascii="Arial" w:cs="Arial" w:eastAsia="Arial" w:hAnsi="Arial"/>
                <w:sz w:val="13"/>
                <w:szCs w:val="13"/>
                <w:color w:val="auto"/>
              </w:rPr>
              <w:t>Total finance lease expense</w:t>
            </w:r>
          </w:p>
        </w:tc>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0"/>
        </w:trPr>
        <w:tc>
          <w:tcPr>
            <w:tcW w:w="8360" w:type="dxa"/>
            <w:vAlign w:val="bottom"/>
            <w:gridSpan w:val="4"/>
            <w:vMerge w:val="restart"/>
          </w:tcPr>
          <w:p>
            <w:pPr>
              <w:spacing w:after="0"/>
              <w:rPr>
                <w:sz w:val="20"/>
                <w:szCs w:val="20"/>
                <w:color w:val="auto"/>
              </w:rPr>
            </w:pPr>
            <w:r>
              <w:rPr>
                <w:rFonts w:ascii="Arial" w:cs="Arial" w:eastAsia="Arial" w:hAnsi="Arial"/>
                <w:sz w:val="14"/>
                <w:szCs w:val="14"/>
                <w:color w:val="auto"/>
              </w:rPr>
              <w:t>Supplemental consolidated cash flow information related to leases follows:</w:t>
            </w: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8360" w:type="dxa"/>
            <w:vAlign w:val="bottom"/>
            <w:gridSpan w:val="4"/>
            <w:vMerge w:val="continue"/>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1"/>
                <w:szCs w:val="11"/>
                <w:b w:val="1"/>
                <w:bCs w:val="1"/>
                <w:color w:val="auto"/>
              </w:rPr>
              <w:t>Six Months Ended June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257"/>
              <w:spacing w:after="0"/>
              <w:rPr>
                <w:sz w:val="20"/>
                <w:szCs w:val="20"/>
                <w:color w:val="auto"/>
              </w:rPr>
            </w:pPr>
            <w:r>
              <w:rPr>
                <w:rFonts w:ascii="Arial" w:cs="Arial" w:eastAsia="Arial" w:hAnsi="Arial"/>
                <w:sz w:val="11"/>
                <w:szCs w:val="11"/>
                <w:b w:val="1"/>
                <w:bCs w:val="1"/>
                <w:color w:val="auto"/>
              </w:rPr>
              <w:t>30, 2019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center"/>
              <w:ind w:right="257"/>
              <w:spacing w:after="0"/>
              <w:rPr>
                <w:sz w:val="20"/>
                <w:szCs w:val="20"/>
                <w:color w:val="auto"/>
              </w:rPr>
            </w:pPr>
            <w:r>
              <w:rPr>
                <w:rFonts w:ascii="Arial" w:cs="Arial" w:eastAsia="Arial" w:hAnsi="Arial"/>
                <w:sz w:val="11"/>
                <w:szCs w:val="11"/>
                <w:b w:val="1"/>
                <w:bCs w:val="1"/>
                <w:color w:val="auto"/>
              </w:rPr>
              <w:t>(In millions)</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Cash used in operating activities:</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Arial" w:cs="Arial" w:eastAsia="Arial" w:hAnsi="Arial"/>
                <w:sz w:val="13"/>
                <w:szCs w:val="13"/>
                <w:color w:val="auto"/>
              </w:rPr>
              <w:t>Operating leases</w:t>
            </w: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Finance leases</w:t>
            </w: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40" w:type="dxa"/>
            <w:vAlign w:val="bottom"/>
            <w:gridSpan w:val="3"/>
          </w:tcPr>
          <w:p>
            <w:pPr>
              <w:spacing w:after="0"/>
              <w:rPr>
                <w:sz w:val="20"/>
                <w:szCs w:val="20"/>
                <w:color w:val="auto"/>
              </w:rPr>
            </w:pPr>
            <w:r>
              <w:rPr>
                <w:rFonts w:ascii="Arial" w:cs="Arial" w:eastAsia="Arial" w:hAnsi="Arial"/>
                <w:sz w:val="13"/>
                <w:szCs w:val="13"/>
                <w:color w:val="auto"/>
              </w:rPr>
              <w:t>Cash used in financing activities:</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Finance leases</w:t>
            </w: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40" w:type="dxa"/>
            <w:vAlign w:val="bottom"/>
            <w:gridSpan w:val="3"/>
          </w:tcPr>
          <w:p>
            <w:pPr>
              <w:spacing w:after="0"/>
              <w:rPr>
                <w:sz w:val="20"/>
                <w:szCs w:val="20"/>
                <w:color w:val="auto"/>
              </w:rPr>
            </w:pPr>
            <w:r>
              <w:rPr>
                <w:rFonts w:ascii="Arial" w:cs="Arial" w:eastAsia="Arial" w:hAnsi="Arial"/>
                <w:sz w:val="13"/>
                <w:szCs w:val="13"/>
                <w:color w:val="auto"/>
              </w:rPr>
              <w:t>ROU assets recognized in exchange for lease obligations:</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Operating leases</w:t>
            </w: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340" w:type="dxa"/>
            <w:vAlign w:val="bottom"/>
            <w:gridSpan w:val="3"/>
          </w:tcPr>
          <w:p>
            <w:pPr>
              <w:ind w:left="120"/>
              <w:spacing w:after="0"/>
              <w:rPr>
                <w:sz w:val="20"/>
                <w:szCs w:val="20"/>
                <w:color w:val="auto"/>
              </w:rPr>
            </w:pPr>
            <w:r>
              <w:rPr>
                <w:rFonts w:ascii="Arial" w:cs="Arial" w:eastAsia="Arial" w:hAnsi="Arial"/>
                <w:sz w:val="13"/>
                <w:szCs w:val="13"/>
                <w:color w:val="auto"/>
              </w:rPr>
              <w:t>Finance leases</w:t>
            </w: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241</w:t>
            </w:r>
          </w:p>
        </w:tc>
        <w:tc>
          <w:tcPr>
            <w:tcW w:w="0" w:type="dxa"/>
            <w:vAlign w:val="bottom"/>
          </w:tcPr>
          <w:p>
            <w:pPr>
              <w:spacing w:after="0"/>
              <w:rPr>
                <w:sz w:val="1"/>
                <w:szCs w:val="1"/>
                <w:color w:val="auto"/>
              </w:rPr>
            </w:pPr>
          </w:p>
        </w:tc>
      </w:tr>
      <w:tr>
        <w:trPr>
          <w:trHeight w:val="446"/>
        </w:trPr>
        <w:tc>
          <w:tcPr>
            <w:tcW w:w="9480" w:type="dxa"/>
            <w:vAlign w:val="bottom"/>
            <w:gridSpan w:val="5"/>
          </w:tcPr>
          <w:p>
            <w:pPr>
              <w:spacing w:after="0"/>
              <w:rPr>
                <w:sz w:val="20"/>
                <w:szCs w:val="20"/>
                <w:color w:val="auto"/>
              </w:rPr>
            </w:pPr>
            <w:r>
              <w:rPr>
                <w:rFonts w:ascii="Arial" w:cs="Arial" w:eastAsia="Arial" w:hAnsi="Arial"/>
                <w:sz w:val="14"/>
                <w:szCs w:val="14"/>
                <w:color w:val="auto"/>
              </w:rPr>
              <w:t>Supplemental information related to leases, including location of amounts reported in the accompanying consolidated balance sheets, follows: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257"/>
              <w:spacing w:after="0"/>
              <w:rPr>
                <w:sz w:val="20"/>
                <w:szCs w:val="20"/>
                <w:color w:val="auto"/>
              </w:rPr>
            </w:pPr>
            <w:r>
              <w:rPr>
                <w:rFonts w:ascii="Arial" w:cs="Arial" w:eastAsia="Arial" w:hAnsi="Arial"/>
                <w:sz w:val="11"/>
                <w:szCs w:val="11"/>
                <w:b w:val="1"/>
                <w:bCs w:val="1"/>
                <w:color w:val="auto"/>
              </w:rPr>
              <w:t>June 30,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center"/>
              <w:ind w:right="257"/>
              <w:spacing w:after="0"/>
              <w:rPr>
                <w:sz w:val="20"/>
                <w:szCs w:val="20"/>
                <w:color w:val="auto"/>
              </w:rPr>
            </w:pPr>
            <w:r>
              <w:rPr>
                <w:rFonts w:ascii="Arial" w:cs="Arial" w:eastAsia="Arial" w:hAnsi="Arial"/>
                <w:sz w:val="11"/>
                <w:szCs w:val="11"/>
                <w:b w:val="1"/>
                <w:bCs w:val="1"/>
                <w:color w:val="auto"/>
              </w:rPr>
              <w:t>(In millions)</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Operating leases:</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340" w:type="dxa"/>
            <w:vAlign w:val="bottom"/>
            <w:gridSpan w:val="3"/>
          </w:tcPr>
          <w:p>
            <w:pPr>
              <w:spacing w:after="0"/>
              <w:rPr>
                <w:sz w:val="20"/>
                <w:szCs w:val="20"/>
                <w:color w:val="auto"/>
              </w:rPr>
            </w:pPr>
            <w:r>
              <w:rPr>
                <w:rFonts w:ascii="Arial" w:cs="Arial" w:eastAsia="Arial" w:hAnsi="Arial"/>
                <w:sz w:val="13"/>
                <w:szCs w:val="13"/>
                <w:color w:val="auto"/>
              </w:rPr>
              <w:t>ROU assets</w:t>
            </w: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83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3"/>
                <w:szCs w:val="13"/>
                <w:color w:val="auto"/>
              </w:rPr>
              <w:t>Other assets</w:t>
            </w:r>
          </w:p>
        </w:tc>
        <w:tc>
          <w:tcPr>
            <w:tcW w:w="1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gridSpan w:val="3"/>
            <w:vMerge w:val="restart"/>
          </w:tcPr>
          <w:p>
            <w:pPr>
              <w:spacing w:after="0"/>
              <w:rPr>
                <w:sz w:val="20"/>
                <w:szCs w:val="20"/>
                <w:color w:val="auto"/>
              </w:rPr>
            </w:pPr>
            <w:r>
              <w:rPr>
                <w:rFonts w:ascii="Arial" w:cs="Arial" w:eastAsia="Arial" w:hAnsi="Arial"/>
                <w:sz w:val="13"/>
                <w:szCs w:val="13"/>
                <w:color w:val="auto"/>
              </w:rPr>
              <w:t>Lease liabilities</w:t>
            </w: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8340" w:type="dxa"/>
            <w:vAlign w:val="bottom"/>
            <w:gridSpan w:val="3"/>
            <w:vMerge w:val="continue"/>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Accounts payable and accrued liabilities (current)</w:t>
            </w:r>
          </w:p>
        </w:tc>
        <w:tc>
          <w:tcPr>
            <w:tcW w:w="1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8340" w:type="dxa"/>
            <w:vAlign w:val="bottom"/>
            <w:tcBorders>
              <w:bottom w:val="single" w:sz="8" w:color="CCEEFF"/>
            </w:tcBorders>
            <w:gridSpan w:val="3"/>
          </w:tcPr>
          <w:p>
            <w:pPr>
              <w:ind w:left="120"/>
              <w:spacing w:after="0"/>
              <w:rPr>
                <w:sz w:val="20"/>
                <w:szCs w:val="20"/>
                <w:color w:val="auto"/>
              </w:rPr>
            </w:pPr>
            <w:r>
              <w:rPr>
                <w:rFonts w:ascii="Arial" w:cs="Arial" w:eastAsia="Arial" w:hAnsi="Arial"/>
                <w:sz w:val="13"/>
                <w:szCs w:val="13"/>
                <w:color w:val="auto"/>
              </w:rPr>
              <w:t>Other long-term liabilities (non-current)</w:t>
            </w:r>
          </w:p>
        </w:tc>
        <w:tc>
          <w:tcPr>
            <w:tcW w:w="11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83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3"/>
                <w:szCs w:val="13"/>
                <w:color w:val="auto"/>
              </w:rPr>
              <w:t>Total operating lease liabilities</w:t>
            </w:r>
          </w:p>
        </w:tc>
        <w:tc>
          <w:tcPr>
            <w:tcW w:w="1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Finance leases:</w:t>
            </w: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3"/>
            <w:vMerge w:val="continue"/>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ROU assets</w:t>
            </w:r>
          </w:p>
        </w:tc>
        <w:tc>
          <w:tcPr>
            <w:tcW w:w="1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4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Borders>
              <w:bottom w:val="single" w:sz="8" w:color="CCEEFF"/>
            </w:tcBorders>
          </w:tcPr>
          <w:p>
            <w:pPr>
              <w:spacing w:after="0"/>
              <w:rPr>
                <w:sz w:val="20"/>
                <w:szCs w:val="20"/>
                <w:color w:val="auto"/>
              </w:rPr>
            </w:pPr>
          </w:p>
        </w:tc>
        <w:tc>
          <w:tcPr>
            <w:tcW w:w="8340" w:type="dxa"/>
            <w:vAlign w:val="bottom"/>
            <w:tcBorders>
              <w:bottom w:val="single" w:sz="8" w:color="CCEEFF"/>
            </w:tcBorders>
            <w:gridSpan w:val="3"/>
          </w:tcPr>
          <w:p>
            <w:pPr>
              <w:ind w:left="120"/>
              <w:spacing w:after="0"/>
              <w:rPr>
                <w:sz w:val="20"/>
                <w:szCs w:val="20"/>
                <w:color w:val="auto"/>
              </w:rPr>
            </w:pPr>
            <w:r>
              <w:rPr>
                <w:rFonts w:ascii="Arial" w:cs="Arial" w:eastAsia="Arial" w:hAnsi="Arial"/>
                <w:sz w:val="13"/>
                <w:szCs w:val="13"/>
                <w:color w:val="auto"/>
              </w:rPr>
              <w:t>Property, equipment, and capitalized software, net</w:t>
            </w:r>
          </w:p>
        </w:tc>
        <w:tc>
          <w:tcPr>
            <w:tcW w:w="11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834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Lease liabilities</w:t>
            </w:r>
          </w:p>
        </w:tc>
        <w:tc>
          <w:tcPr>
            <w:tcW w:w="1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74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Arial" w:cs="Arial" w:eastAsia="Arial" w:hAnsi="Arial"/>
                <w:sz w:val="13"/>
                <w:szCs w:val="13"/>
                <w:color w:val="auto"/>
              </w:rPr>
              <w:t>Accounts payable and accrued liabilities (current)</w:t>
            </w: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Finance lease liabilities (non-current)</w:t>
            </w:r>
          </w:p>
        </w:tc>
        <w:tc>
          <w:tcPr>
            <w:tcW w:w="1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gridSpan w:val="3"/>
          </w:tcPr>
          <w:p>
            <w:pPr>
              <w:ind w:left="660"/>
              <w:spacing w:after="0"/>
              <w:rPr>
                <w:sz w:val="20"/>
                <w:szCs w:val="20"/>
                <w:color w:val="auto"/>
              </w:rPr>
            </w:pPr>
            <w:r>
              <w:rPr>
                <w:rFonts w:ascii="Arial" w:cs="Arial" w:eastAsia="Arial" w:hAnsi="Arial"/>
                <w:sz w:val="13"/>
                <w:szCs w:val="13"/>
                <w:color w:val="auto"/>
              </w:rPr>
              <w:t>Total finance lease liabilities</w:t>
            </w: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26</w:t>
      </w:r>
    </w:p>
    <w:p>
      <w:pPr>
        <w:sectPr>
          <w:pgSz w:w="11900" w:h="16838" w:orient="portrait"/>
          <w:cols w:equalWidth="0" w:num="1">
            <w:col w:w="11460"/>
          </w:cols>
          <w:pgMar w:left="220" w:top="140" w:right="21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Maturities of lease liabilities as of June 30, 2019,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Operating Leases</w:t>
            </w: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36"/>
              <w:spacing w:after="0"/>
              <w:rPr>
                <w:sz w:val="20"/>
                <w:szCs w:val="20"/>
                <w:color w:val="auto"/>
              </w:rPr>
            </w:pPr>
            <w:r>
              <w:rPr>
                <w:rFonts w:ascii="Arial" w:cs="Arial" w:eastAsia="Arial" w:hAnsi="Arial"/>
                <w:sz w:val="11"/>
                <w:szCs w:val="11"/>
                <w:b w:val="1"/>
                <w:bCs w:val="1"/>
                <w:color w:val="auto"/>
              </w:rPr>
              <w:t>Finance Leases</w:t>
            </w:r>
          </w:p>
        </w:tc>
      </w:tr>
      <w:tr>
        <w:trPr>
          <w:trHeight w:val="196"/>
        </w:trPr>
        <w:tc>
          <w:tcPr>
            <w:tcW w:w="8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180" w:type="dxa"/>
            <w:vAlign w:val="bottom"/>
          </w:tcPr>
          <w:p>
            <w:pPr>
              <w:spacing w:after="0"/>
              <w:rPr>
                <w:sz w:val="17"/>
                <w:szCs w:val="17"/>
                <w:color w:val="auto"/>
              </w:rPr>
            </w:pPr>
          </w:p>
        </w:tc>
      </w:tr>
      <w:tr>
        <w:trPr>
          <w:trHeight w:val="220"/>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2019 (excluding the six months ended June 30, 2019)</w:t>
            </w: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w:t>
            </w:r>
          </w:p>
        </w:tc>
      </w:tr>
      <w:tr>
        <w:trPr>
          <w:trHeight w:val="208"/>
        </w:trPr>
        <w:tc>
          <w:tcPr>
            <w:tcW w:w="8360" w:type="dxa"/>
            <w:vAlign w:val="bottom"/>
          </w:tcPr>
          <w:p>
            <w:pPr>
              <w:ind w:left="20"/>
              <w:spacing w:after="0"/>
              <w:rPr>
                <w:sz w:val="20"/>
                <w:szCs w:val="20"/>
                <w:color w:val="auto"/>
              </w:rPr>
            </w:pPr>
            <w:r>
              <w:rPr>
                <w:rFonts w:ascii="Arial" w:cs="Arial" w:eastAsia="Arial" w:hAnsi="Arial"/>
                <w:sz w:val="13"/>
                <w:szCs w:val="13"/>
                <w:color w:val="auto"/>
              </w:rPr>
              <w:t>2020</w:t>
            </w:r>
          </w:p>
        </w:tc>
        <w:tc>
          <w:tcPr>
            <w:tcW w:w="180" w:type="dxa"/>
            <w:vAlign w:val="bottom"/>
          </w:tcPr>
          <w:p>
            <w:pPr>
              <w:spacing w:after="0"/>
              <w:rPr>
                <w:sz w:val="18"/>
                <w:szCs w:val="18"/>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22</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2021</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22</w:t>
            </w:r>
          </w:p>
        </w:tc>
      </w:tr>
      <w:tr>
        <w:trPr>
          <w:trHeight w:val="208"/>
        </w:trPr>
        <w:tc>
          <w:tcPr>
            <w:tcW w:w="8360" w:type="dxa"/>
            <w:vAlign w:val="bottom"/>
          </w:tcPr>
          <w:p>
            <w:pPr>
              <w:ind w:left="20"/>
              <w:spacing w:after="0"/>
              <w:rPr>
                <w:sz w:val="20"/>
                <w:szCs w:val="20"/>
                <w:color w:val="auto"/>
              </w:rPr>
            </w:pPr>
            <w:r>
              <w:rPr>
                <w:rFonts w:ascii="Arial" w:cs="Arial" w:eastAsia="Arial" w:hAnsi="Arial"/>
                <w:sz w:val="13"/>
                <w:szCs w:val="13"/>
                <w:color w:val="auto"/>
              </w:rPr>
              <w:t>2022</w:t>
            </w:r>
          </w:p>
        </w:tc>
        <w:tc>
          <w:tcPr>
            <w:tcW w:w="180" w:type="dxa"/>
            <w:vAlign w:val="bottom"/>
          </w:tcPr>
          <w:p>
            <w:pPr>
              <w:spacing w:after="0"/>
              <w:rPr>
                <w:sz w:val="18"/>
                <w:szCs w:val="18"/>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21</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21</w:t>
            </w:r>
          </w:p>
        </w:tc>
      </w:tr>
      <w:tr>
        <w:trPr>
          <w:trHeight w:val="20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311</w:t>
            </w:r>
          </w:p>
        </w:tc>
      </w:tr>
      <w:tr>
        <w:trPr>
          <w:trHeight w:val="203"/>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lease payments</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408</w:t>
            </w:r>
          </w:p>
        </w:tc>
      </w:tr>
      <w:tr>
        <w:trPr>
          <w:trHeight w:val="20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imputed interest</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w:t>
            </w:r>
          </w:p>
        </w:tc>
      </w:tr>
      <w:tr>
        <w:trPr>
          <w:trHeight w:val="190"/>
        </w:trPr>
        <w:tc>
          <w:tcPr>
            <w:tcW w:w="8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Totals</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239</w:t>
            </w: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27</w:t>
      </w:r>
    </w:p>
    <w:p>
      <w:pPr>
        <w:sectPr>
          <w:pgSz w:w="11900" w:h="16838" w:orient="portrait"/>
          <w:cols w:equalWidth="0" w:num="1">
            <w:col w:w="11460"/>
          </w:cols>
          <w:pgMar w:left="220" w:top="140" w:right="21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MANAGEMENT’S DISCUSSION AND ANALYSIS OF FINANCIAL CONDITION AND RESULTS OF OPERATIONS (“MD&amp;A”)</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828282"/>
        </w:rPr>
        <w:t>FORWARD-LOOKING STATEMENTS</w:t>
      </w:r>
    </w:p>
    <w:p>
      <w:pPr>
        <w:spacing w:after="0" w:line="22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This quarterly report on Form 10-Q contains forward-looking statements regarding our business, financial condition, and results of operations within the meaning of Section 27A of the Securities Act of 1933, or Securities Act, and Section 21E of the Securities Exchange Act of 1934, or Securities Exchange Act. We intend such forward-looking statements to be covered by the safe harbor provisions for forward-looking statements contained in the Private Securities Litigation Reform Act of 1995, and we are including this statement for purposes of complying with these safe harbor provisions. All statements included in this quarterly report, other than statements of historical fact, may be deemed to be forward-looking statements for purposes of the Securities Act and the Securities Exchange Act. Without limiting the foregoing, we use the words “anticipate(s),” “believe(s),” “estimate(s),” “expect(s),” “intend(s),” “may,” “plan(s),” “project(s),” “will,” “would,” “could,” “should” and similar expressions to identify forward-looking statements, although not all forward-looking statements contain these identifying words. We cannot guarantee that we will actually achieve the plans, intentions, or expectations disclosed in our forward-looking statements and, accordingly, you should not place undue reliance on our forward-looking statements. We caution you that we do not undertake any obligation to update forward-looking statements made by us. Forward-looking statements involve known and unknown risks and uncertainties that may cause our actual results in future periods to differ materially from those projected, estimated, or expected. Those known risks and uncertainties include, but are not limited to, the following:</w:t>
      </w:r>
    </w:p>
    <w:p>
      <w:pPr>
        <w:spacing w:after="0" w:line="66" w:lineRule="exact"/>
        <w:rPr>
          <w:sz w:val="20"/>
          <w:szCs w:val="20"/>
          <w:color w:val="auto"/>
        </w:rPr>
      </w:pPr>
    </w:p>
    <w:p>
      <w:pPr>
        <w:ind w:left="260" w:hanging="254"/>
        <w:spacing w:after="0" w:line="267" w:lineRule="auto"/>
        <w:tabs>
          <w:tab w:leader="none" w:pos="260" w:val="left"/>
        </w:tabs>
        <w:numPr>
          <w:ilvl w:val="0"/>
          <w:numId w:val="9"/>
        </w:numPr>
        <w:rPr>
          <w:rFonts w:ascii="Arial" w:cs="Arial" w:eastAsia="Arial" w:hAnsi="Arial"/>
          <w:sz w:val="13"/>
          <w:szCs w:val="13"/>
          <w:i w:val="1"/>
          <w:iCs w:val="1"/>
          <w:color w:val="auto"/>
        </w:rPr>
      </w:pPr>
      <w:r>
        <w:rPr>
          <w:rFonts w:ascii="Arial" w:cs="Arial" w:eastAsia="Arial" w:hAnsi="Arial"/>
          <w:sz w:val="14"/>
          <w:szCs w:val="14"/>
          <w:i w:val="1"/>
          <w:iCs w:val="1"/>
          <w:color w:val="auto"/>
        </w:rPr>
        <w:t>the numerous political, judicial and market-based uncertainties associated with the Affordable Care Act (the “ACA”) or “Obamacare,” including the ultimate outcome on appeal of the Texas et al. v. U.S. et al. matter;</w:t>
      </w:r>
    </w:p>
    <w:p>
      <w:pPr>
        <w:ind w:left="260" w:right="1040" w:hanging="254"/>
        <w:spacing w:after="0" w:line="257" w:lineRule="auto"/>
        <w:tabs>
          <w:tab w:leader="none" w:pos="2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the market dynamics surrounding the ACA Marketplaces, including but not limited to uncertainties associated with risk adjustment requirements, the potential for disproportionate enrollment of higher acuity members, the discontinuation of premium tax credits, and the adequacy of agreed rates;</w:t>
      </w:r>
    </w:p>
    <w:p>
      <w:pPr>
        <w:ind w:left="260" w:right="660" w:hanging="254"/>
        <w:spacing w:after="0" w:line="257" w:lineRule="auto"/>
        <w:tabs>
          <w:tab w:leader="none" w:pos="2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subsequent adjustments to reported premium revenue based upon subsequent developments or new information, including changes to estimated amounts payable or receivable related to Marketplace risk adjustment;</w:t>
      </w:r>
    </w:p>
    <w:p>
      <w:pPr>
        <w:ind w:left="260" w:hanging="254"/>
        <w:spacing w:after="0"/>
        <w:tabs>
          <w:tab w:leader="none" w:pos="2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effective management of our medical costs;</w:t>
      </w:r>
    </w:p>
    <w:p>
      <w:pPr>
        <w:spacing w:after="0" w:line="11" w:lineRule="exact"/>
        <w:rPr>
          <w:rFonts w:ascii="Arial" w:cs="Arial" w:eastAsia="Arial" w:hAnsi="Arial"/>
          <w:sz w:val="14"/>
          <w:szCs w:val="14"/>
          <w:i w:val="1"/>
          <w:iCs w:val="1"/>
          <w:color w:val="auto"/>
        </w:rPr>
      </w:pPr>
    </w:p>
    <w:p>
      <w:pPr>
        <w:ind w:left="260" w:hanging="254"/>
        <w:spacing w:after="0"/>
        <w:tabs>
          <w:tab w:leader="none" w:pos="2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predict with a reasonable degree of accuracy utilization rates, including utilization rates associated with seasonal flu patterns or other newly emergent diseases;</w:t>
      </w:r>
    </w:p>
    <w:p>
      <w:pPr>
        <w:spacing w:after="0" w:line="11" w:lineRule="exact"/>
        <w:rPr>
          <w:rFonts w:ascii="Arial" w:cs="Arial" w:eastAsia="Arial" w:hAnsi="Arial"/>
          <w:sz w:val="14"/>
          <w:szCs w:val="14"/>
          <w:i w:val="1"/>
          <w:iCs w:val="1"/>
          <w:color w:val="auto"/>
        </w:rPr>
      </w:pPr>
    </w:p>
    <w:p>
      <w:pPr>
        <w:ind w:left="260" w:right="280" w:hanging="254"/>
        <w:spacing w:after="0" w:line="257" w:lineRule="auto"/>
        <w:tabs>
          <w:tab w:leader="none" w:pos="2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significant budget pressures on state governments and their potential inability to maintain current rates, to implement expected rate increases, or to maintain existing benefit packages or membership eligibility thresholds or criteria;</w:t>
      </w:r>
    </w:p>
    <w:p>
      <w:pPr>
        <w:ind w:left="260" w:hanging="254"/>
        <w:spacing w:after="0"/>
        <w:tabs>
          <w:tab w:leader="none" w:pos="2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the full reimbursement of the ACA health insurer fee, or HIF;</w:t>
      </w:r>
    </w:p>
    <w:p>
      <w:pPr>
        <w:spacing w:after="0" w:line="11" w:lineRule="exact"/>
        <w:rPr>
          <w:rFonts w:ascii="Arial" w:cs="Arial" w:eastAsia="Arial" w:hAnsi="Arial"/>
          <w:sz w:val="14"/>
          <w:szCs w:val="14"/>
          <w:i w:val="1"/>
          <w:iCs w:val="1"/>
          <w:color w:val="auto"/>
        </w:rPr>
      </w:pPr>
    </w:p>
    <w:p>
      <w:pPr>
        <w:ind w:left="260" w:right="80" w:hanging="254"/>
        <w:spacing w:after="0" w:line="257" w:lineRule="auto"/>
        <w:tabs>
          <w:tab w:leader="none" w:pos="2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the success of our efforts to retain existing or awarded government contracts, including the success of any requests for proposal protest filings or defenses, including the Texas STAR+PLUS and STAR/CHIP RFPs;</w:t>
      </w:r>
    </w:p>
    <w:p>
      <w:pPr>
        <w:ind w:left="260" w:right="240" w:hanging="254"/>
        <w:spacing w:after="0" w:line="257" w:lineRule="auto"/>
        <w:tabs>
          <w:tab w:leader="none" w:pos="2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260" w:right="240" w:hanging="254"/>
        <w:spacing w:after="0" w:line="257" w:lineRule="auto"/>
        <w:tabs>
          <w:tab w:leader="none" w:pos="2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ind w:left="260" w:hanging="254"/>
        <w:spacing w:after="0"/>
        <w:tabs>
          <w:tab w:leader="none" w:pos="2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operate profitably in an environment where the trend in premium rate increases lags behind the trend in increasing medical costs;</w:t>
      </w:r>
    </w:p>
    <w:p>
      <w:pPr>
        <w:spacing w:after="0" w:line="11" w:lineRule="exact"/>
        <w:rPr>
          <w:rFonts w:ascii="Arial" w:cs="Arial" w:eastAsia="Arial" w:hAnsi="Arial"/>
          <w:sz w:val="14"/>
          <w:szCs w:val="14"/>
          <w:i w:val="1"/>
          <w:iCs w:val="1"/>
          <w:color w:val="auto"/>
        </w:rPr>
      </w:pPr>
    </w:p>
    <w:p>
      <w:pPr>
        <w:ind w:left="260" w:right="240" w:hanging="254"/>
        <w:spacing w:after="0" w:line="257" w:lineRule="auto"/>
        <w:tabs>
          <w:tab w:leader="none" w:pos="260" w:val="left"/>
        </w:tabs>
        <w:numPr>
          <w:ilvl w:val="0"/>
          <w:numId w:val="9"/>
        </w:numPr>
        <w:rPr>
          <w:rFonts w:ascii="Arial" w:cs="Arial" w:eastAsia="Arial" w:hAnsi="Arial"/>
          <w:sz w:val="13"/>
          <w:szCs w:val="13"/>
          <w:i w:val="1"/>
          <w:iCs w:val="1"/>
          <w:color w:val="auto"/>
        </w:rPr>
      </w:pPr>
      <w:r>
        <w:rPr>
          <w:rFonts w:ascii="Arial" w:cs="Arial" w:eastAsia="Arial" w:hAnsi="Arial"/>
          <w:sz w:val="14"/>
          <w:szCs w:val="14"/>
          <w:i w:val="1"/>
          <w:iCs w:val="1"/>
          <w:color w:val="auto"/>
        </w:rPr>
        <w:t>the interpretation and implementation of federal or state medical cost expenditure floors, administrative cost and profit ceilings, premium stabilization programs, profit sharing arrangements, and risk adjustment provisions and requirements;</w:t>
      </w:r>
    </w:p>
    <w:p>
      <w:pPr>
        <w:ind w:left="260" w:right="240" w:hanging="254"/>
        <w:spacing w:after="0" w:line="257" w:lineRule="auto"/>
        <w:tabs>
          <w:tab w:leader="none" w:pos="2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our estimates of amounts owed for such cost expenditure floors, administrative cost and profit ceilings, premium stabilization programs, profit-sharing arrangements, and risk adjustment provisions;</w:t>
      </w:r>
    </w:p>
    <w:p>
      <w:pPr>
        <w:ind w:left="260" w:right="80" w:hanging="254"/>
        <w:spacing w:after="0" w:line="257" w:lineRule="auto"/>
        <w:tabs>
          <w:tab w:leader="none" w:pos="2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the Medicaid expansion medical cost corridor, and any other retroactive adjustment to revenue where methodologies and procedures are subject to interpretation or dependent upon information about the health status of participants other than Molina members;</w:t>
      </w:r>
    </w:p>
    <w:p>
      <w:pPr>
        <w:ind w:left="260" w:right="320" w:hanging="254"/>
        <w:spacing w:after="0" w:line="274" w:lineRule="auto"/>
        <w:tabs>
          <w:tab w:leader="none" w:pos="260" w:val="left"/>
        </w:tabs>
        <w:numPr>
          <w:ilvl w:val="0"/>
          <w:numId w:val="9"/>
        </w:numPr>
        <w:rPr>
          <w:rFonts w:ascii="Arial" w:cs="Arial" w:eastAsia="Arial" w:hAnsi="Arial"/>
          <w:sz w:val="13"/>
          <w:szCs w:val="13"/>
          <w:i w:val="1"/>
          <w:iCs w:val="1"/>
          <w:color w:val="auto"/>
        </w:rPr>
      </w:pPr>
      <w:r>
        <w:rPr>
          <w:rFonts w:ascii="Arial" w:cs="Arial" w:eastAsia="Arial" w:hAnsi="Arial"/>
          <w:sz w:val="14"/>
          <w:szCs w:val="14"/>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28</w:t>
      </w:r>
    </w:p>
    <w:p>
      <w:pPr>
        <w:sectPr>
          <w:pgSz w:w="11900" w:h="16838" w:orient="portrait"/>
          <w:cols w:equalWidth="0" w:num="1">
            <w:col w:w="11460"/>
          </w:cols>
          <w:pgMar w:left="220" w:top="140" w:right="21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left="260" w:hanging="254"/>
        <w:spacing w:after="0"/>
        <w:tabs>
          <w:tab w:leader="none" w:pos="260" w:val="left"/>
        </w:tabs>
        <w:numPr>
          <w:ilvl w:val="0"/>
          <w:numId w:val="10"/>
        </w:numPr>
        <w:rPr>
          <w:rFonts w:ascii="Arial" w:cs="Arial" w:eastAsia="Arial" w:hAnsi="Arial"/>
          <w:sz w:val="13"/>
          <w:szCs w:val="13"/>
          <w:i w:val="1"/>
          <w:iCs w:val="1"/>
          <w:color w:val="auto"/>
        </w:rPr>
      </w:pPr>
      <w:r>
        <w:rPr>
          <w:rFonts w:ascii="Arial" w:cs="Arial" w:eastAsia="Arial" w:hAnsi="Arial"/>
          <w:sz w:val="14"/>
          <w:szCs w:val="14"/>
          <w:i w:val="1"/>
          <w:iCs w:val="1"/>
          <w:color w:val="auto"/>
        </w:rPr>
        <w:t>cyber-attacks or other privacy or data security incidents resulting in an inadvertent unauthorized disclosure of protected health information;</w:t>
      </w:r>
    </w:p>
    <w:p>
      <w:pPr>
        <w:spacing w:after="0" w:line="25" w:lineRule="exact"/>
        <w:rPr>
          <w:rFonts w:ascii="Arial" w:cs="Arial" w:eastAsia="Arial" w:hAnsi="Arial"/>
          <w:sz w:val="13"/>
          <w:szCs w:val="13"/>
          <w:i w:val="1"/>
          <w:iCs w:val="1"/>
          <w:color w:val="auto"/>
        </w:rPr>
      </w:pPr>
    </w:p>
    <w:p>
      <w:pPr>
        <w:ind w:left="260" w:right="80" w:hanging="254"/>
        <w:spacing w:after="0" w:line="257" w:lineRule="auto"/>
        <w:tabs>
          <w:tab w:leader="none" w:pos="260" w:val="left"/>
        </w:tabs>
        <w:numPr>
          <w:ilvl w:val="0"/>
          <w:numId w:val="10"/>
        </w:numPr>
        <w:rPr>
          <w:rFonts w:ascii="Arial" w:cs="Arial" w:eastAsia="Arial" w:hAnsi="Arial"/>
          <w:sz w:val="13"/>
          <w:szCs w:val="13"/>
          <w:i w:val="1"/>
          <w:iCs w:val="1"/>
          <w:color w:val="auto"/>
        </w:rPr>
      </w:pPr>
      <w:r>
        <w:rPr>
          <w:rFonts w:ascii="Arial" w:cs="Arial" w:eastAsia="Arial" w:hAnsi="Arial"/>
          <w:sz w:val="14"/>
          <w:szCs w:val="14"/>
          <w:i w:val="1"/>
          <w:iCs w:val="1"/>
          <w:color w:val="auto"/>
        </w:rPr>
        <w:t>the success of our health plan in Puerto Rico, including the resolution of the debt crisis and the effect of the PROMESA law, the effects of political and regulatory instability, and the impact of any future significant weather events;</w:t>
      </w:r>
    </w:p>
    <w:p>
      <w:pPr>
        <w:ind w:left="260" w:hanging="254"/>
        <w:spacing w:after="0"/>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success and renewal of our duals demonstration programs in California, Illinois, Michigan, Ohio, South Carolina, and Texas;</w:t>
      </w:r>
    </w:p>
    <w:p>
      <w:pPr>
        <w:spacing w:after="0" w:line="11" w:lineRule="exact"/>
        <w:rPr>
          <w:rFonts w:ascii="Arial" w:cs="Arial" w:eastAsia="Arial" w:hAnsi="Arial"/>
          <w:sz w:val="14"/>
          <w:szCs w:val="14"/>
          <w:i w:val="1"/>
          <w:iCs w:val="1"/>
          <w:color w:val="auto"/>
        </w:rPr>
      </w:pPr>
    </w:p>
    <w:p>
      <w:pPr>
        <w:ind w:left="260" w:hanging="254"/>
        <w:spacing w:after="0"/>
        <w:tabs>
          <w:tab w:leader="none" w:pos="260" w:val="left"/>
        </w:tabs>
        <w:numPr>
          <w:ilvl w:val="0"/>
          <w:numId w:val="10"/>
        </w:numPr>
        <w:rPr>
          <w:rFonts w:ascii="Arial" w:cs="Arial" w:eastAsia="Arial" w:hAnsi="Arial"/>
          <w:sz w:val="13"/>
          <w:szCs w:val="13"/>
          <w:i w:val="1"/>
          <w:iCs w:val="1"/>
          <w:color w:val="auto"/>
        </w:rPr>
      </w:pPr>
      <w:r>
        <w:rPr>
          <w:rFonts w:ascii="Arial" w:cs="Arial" w:eastAsia="Arial" w:hAnsi="Arial"/>
          <w:sz w:val="14"/>
          <w:szCs w:val="14"/>
          <w:i w:val="1"/>
          <w:iCs w:val="1"/>
          <w:color w:val="auto"/>
        </w:rPr>
        <w:t>the accurate estimation of incurred but not reported or paid medical costs across our health plans;</w:t>
      </w:r>
    </w:p>
    <w:p>
      <w:pPr>
        <w:spacing w:after="0" w:line="11" w:lineRule="exact"/>
        <w:rPr>
          <w:rFonts w:ascii="Arial" w:cs="Arial" w:eastAsia="Arial" w:hAnsi="Arial"/>
          <w:sz w:val="13"/>
          <w:szCs w:val="13"/>
          <w:i w:val="1"/>
          <w:iCs w:val="1"/>
          <w:color w:val="auto"/>
        </w:rPr>
      </w:pPr>
    </w:p>
    <w:p>
      <w:pPr>
        <w:ind w:left="260" w:hanging="254"/>
        <w:spacing w:after="0"/>
        <w:tabs>
          <w:tab w:leader="none" w:pos="260" w:val="left"/>
        </w:tabs>
        <w:numPr>
          <w:ilvl w:val="0"/>
          <w:numId w:val="10"/>
        </w:numPr>
        <w:rPr>
          <w:rFonts w:ascii="Arial" w:cs="Arial" w:eastAsia="Arial" w:hAnsi="Arial"/>
          <w:sz w:val="13"/>
          <w:szCs w:val="13"/>
          <w:i w:val="1"/>
          <w:iCs w:val="1"/>
          <w:color w:val="auto"/>
        </w:rPr>
      </w:pPr>
      <w:r>
        <w:rPr>
          <w:rFonts w:ascii="Arial" w:cs="Arial" w:eastAsia="Arial" w:hAnsi="Arial"/>
          <w:sz w:val="14"/>
          <w:szCs w:val="14"/>
          <w:i w:val="1"/>
          <w:iCs w:val="1"/>
          <w:color w:val="auto"/>
        </w:rPr>
        <w:t>efforts by states to recoup previously paid and recognized premium amounts;</w:t>
      </w:r>
    </w:p>
    <w:p>
      <w:pPr>
        <w:spacing w:after="0" w:line="11" w:lineRule="exact"/>
        <w:rPr>
          <w:rFonts w:ascii="Arial" w:cs="Arial" w:eastAsia="Arial" w:hAnsi="Arial"/>
          <w:sz w:val="13"/>
          <w:szCs w:val="13"/>
          <w:i w:val="1"/>
          <w:iCs w:val="1"/>
          <w:color w:val="auto"/>
        </w:rPr>
      </w:pPr>
    </w:p>
    <w:p>
      <w:pPr>
        <w:ind w:left="260" w:hanging="254"/>
        <w:spacing w:after="0"/>
        <w:tabs>
          <w:tab w:leader="none" w:pos="260" w:val="left"/>
        </w:tabs>
        <w:numPr>
          <w:ilvl w:val="0"/>
          <w:numId w:val="10"/>
        </w:numPr>
        <w:rPr>
          <w:rFonts w:ascii="Arial" w:cs="Arial" w:eastAsia="Arial" w:hAnsi="Arial"/>
          <w:sz w:val="13"/>
          <w:szCs w:val="13"/>
          <w:i w:val="1"/>
          <w:iCs w:val="1"/>
          <w:color w:val="auto"/>
        </w:rPr>
      </w:pPr>
      <w:r>
        <w:rPr>
          <w:rFonts w:ascii="Arial" w:cs="Arial" w:eastAsia="Arial" w:hAnsi="Arial"/>
          <w:sz w:val="14"/>
          <w:szCs w:val="14"/>
          <w:i w:val="1"/>
          <w:iCs w:val="1"/>
          <w:color w:val="auto"/>
        </w:rPr>
        <w:t>complications, member confusion, eligibility re-determinations, or enrollment backlogs related to the annual renewal of Medicaid coverage;</w:t>
      </w:r>
    </w:p>
    <w:p>
      <w:pPr>
        <w:spacing w:after="0" w:line="11" w:lineRule="exact"/>
        <w:rPr>
          <w:rFonts w:ascii="Arial" w:cs="Arial" w:eastAsia="Arial" w:hAnsi="Arial"/>
          <w:sz w:val="13"/>
          <w:szCs w:val="13"/>
          <w:i w:val="1"/>
          <w:iCs w:val="1"/>
          <w:color w:val="auto"/>
        </w:rPr>
      </w:pPr>
    </w:p>
    <w:p>
      <w:pPr>
        <w:ind w:left="260" w:right="280" w:hanging="254"/>
        <w:spacing w:after="0" w:line="257" w:lineRule="auto"/>
        <w:tabs>
          <w:tab w:leader="none" w:pos="260" w:val="left"/>
        </w:tabs>
        <w:numPr>
          <w:ilvl w:val="0"/>
          <w:numId w:val="10"/>
        </w:numPr>
        <w:rPr>
          <w:rFonts w:ascii="Arial" w:cs="Arial" w:eastAsia="Arial" w:hAnsi="Arial"/>
          <w:sz w:val="13"/>
          <w:szCs w:val="13"/>
          <w:i w:val="1"/>
          <w:iCs w:val="1"/>
          <w:color w:val="auto"/>
        </w:rPr>
      </w:pPr>
      <w:r>
        <w:rPr>
          <w:rFonts w:ascii="Arial" w:cs="Arial" w:eastAsia="Arial" w:hAnsi="Arial"/>
          <w:sz w:val="14"/>
          <w:szCs w:val="14"/>
          <w:i w:val="1"/>
          <w:iCs w:val="1"/>
          <w:color w:val="auto"/>
        </w:rPr>
        <w:t>government audits, reviews, comment letters, or potential investigations, and any fine, sanction, enrollment freeze, monitoring program, or premium recovery that may result therefrom;</w:t>
      </w:r>
    </w:p>
    <w:p>
      <w:pPr>
        <w:ind w:left="260" w:hanging="254"/>
        <w:spacing w:after="0"/>
        <w:tabs>
          <w:tab w:leader="none" w:pos="260" w:val="left"/>
        </w:tabs>
        <w:numPr>
          <w:ilvl w:val="0"/>
          <w:numId w:val="10"/>
        </w:numPr>
        <w:rPr>
          <w:rFonts w:ascii="Arial" w:cs="Arial" w:eastAsia="Arial" w:hAnsi="Arial"/>
          <w:sz w:val="13"/>
          <w:szCs w:val="13"/>
          <w:i w:val="1"/>
          <w:iCs w:val="1"/>
          <w:color w:val="auto"/>
        </w:rPr>
      </w:pPr>
      <w:r>
        <w:rPr>
          <w:rFonts w:ascii="Arial" w:cs="Arial" w:eastAsia="Arial" w:hAnsi="Arial"/>
          <w:sz w:val="14"/>
          <w:szCs w:val="14"/>
          <w:i w:val="1"/>
          <w:iCs w:val="1"/>
          <w:color w:val="auto"/>
        </w:rPr>
        <w:t>changes with respect to our provider contracts and the loss of providers;</w:t>
      </w:r>
    </w:p>
    <w:p>
      <w:pPr>
        <w:spacing w:after="0" w:line="11" w:lineRule="exact"/>
        <w:rPr>
          <w:rFonts w:ascii="Arial" w:cs="Arial" w:eastAsia="Arial" w:hAnsi="Arial"/>
          <w:sz w:val="13"/>
          <w:szCs w:val="13"/>
          <w:i w:val="1"/>
          <w:iCs w:val="1"/>
          <w:color w:val="auto"/>
        </w:rPr>
      </w:pPr>
    </w:p>
    <w:p>
      <w:pPr>
        <w:ind w:left="260" w:hanging="254"/>
        <w:spacing w:after="0"/>
        <w:tabs>
          <w:tab w:leader="none" w:pos="260" w:val="left"/>
        </w:tabs>
        <w:numPr>
          <w:ilvl w:val="0"/>
          <w:numId w:val="10"/>
        </w:numPr>
        <w:rPr>
          <w:rFonts w:ascii="Arial" w:cs="Arial" w:eastAsia="Arial" w:hAnsi="Arial"/>
          <w:sz w:val="13"/>
          <w:szCs w:val="13"/>
          <w:i w:val="1"/>
          <w:iCs w:val="1"/>
          <w:color w:val="auto"/>
        </w:rPr>
      </w:pPr>
      <w:r>
        <w:rPr>
          <w:rFonts w:ascii="Arial" w:cs="Arial" w:eastAsia="Arial" w:hAnsi="Arial"/>
          <w:sz w:val="14"/>
          <w:szCs w:val="14"/>
          <w:i w:val="1"/>
          <w:iCs w:val="1"/>
          <w:color w:val="auto"/>
        </w:rPr>
        <w:t>approval by state regulators of dividends and distributions by our health plan subsidiaries;</w:t>
      </w:r>
    </w:p>
    <w:p>
      <w:pPr>
        <w:spacing w:after="0" w:line="11" w:lineRule="exact"/>
        <w:rPr>
          <w:rFonts w:ascii="Arial" w:cs="Arial" w:eastAsia="Arial" w:hAnsi="Arial"/>
          <w:sz w:val="13"/>
          <w:szCs w:val="13"/>
          <w:i w:val="1"/>
          <w:iCs w:val="1"/>
          <w:color w:val="auto"/>
        </w:rPr>
      </w:pPr>
    </w:p>
    <w:p>
      <w:pPr>
        <w:ind w:left="260" w:hanging="254"/>
        <w:spacing w:after="0"/>
        <w:tabs>
          <w:tab w:leader="none" w:pos="260" w:val="left"/>
        </w:tabs>
        <w:numPr>
          <w:ilvl w:val="0"/>
          <w:numId w:val="10"/>
        </w:numPr>
        <w:rPr>
          <w:rFonts w:ascii="Arial" w:cs="Arial" w:eastAsia="Arial" w:hAnsi="Arial"/>
          <w:sz w:val="13"/>
          <w:szCs w:val="13"/>
          <w:i w:val="1"/>
          <w:iCs w:val="1"/>
          <w:color w:val="auto"/>
        </w:rPr>
      </w:pPr>
      <w:r>
        <w:rPr>
          <w:rFonts w:ascii="Arial" w:cs="Arial" w:eastAsia="Arial" w:hAnsi="Arial"/>
          <w:sz w:val="14"/>
          <w:szCs w:val="14"/>
          <w:i w:val="1"/>
          <w:iCs w:val="1"/>
          <w:color w:val="auto"/>
        </w:rPr>
        <w:t>changes in funding under our contracts as a result of regulatory changes, programmatic adjustments, or other reforms;</w:t>
      </w:r>
    </w:p>
    <w:p>
      <w:pPr>
        <w:spacing w:after="0" w:line="11" w:lineRule="exact"/>
        <w:rPr>
          <w:rFonts w:ascii="Arial" w:cs="Arial" w:eastAsia="Arial" w:hAnsi="Arial"/>
          <w:sz w:val="13"/>
          <w:szCs w:val="13"/>
          <w:i w:val="1"/>
          <w:iCs w:val="1"/>
          <w:color w:val="auto"/>
        </w:rPr>
      </w:pPr>
    </w:p>
    <w:p>
      <w:pPr>
        <w:ind w:left="260" w:hanging="254"/>
        <w:spacing w:after="0"/>
        <w:tabs>
          <w:tab w:leader="none" w:pos="260" w:val="left"/>
        </w:tabs>
        <w:numPr>
          <w:ilvl w:val="0"/>
          <w:numId w:val="10"/>
        </w:numPr>
        <w:rPr>
          <w:rFonts w:ascii="Arial" w:cs="Arial" w:eastAsia="Arial" w:hAnsi="Arial"/>
          <w:sz w:val="13"/>
          <w:szCs w:val="13"/>
          <w:i w:val="1"/>
          <w:iCs w:val="1"/>
          <w:color w:val="auto"/>
        </w:rPr>
      </w:pPr>
      <w:r>
        <w:rPr>
          <w:rFonts w:ascii="Arial" w:cs="Arial" w:eastAsia="Arial" w:hAnsi="Arial"/>
          <w:sz w:val="14"/>
          <w:szCs w:val="14"/>
          <w:i w:val="1"/>
          <w:iCs w:val="1"/>
          <w:color w:val="auto"/>
        </w:rPr>
        <w:t>high dollar claims related to catastrophic illness;</w:t>
      </w:r>
    </w:p>
    <w:p>
      <w:pPr>
        <w:spacing w:after="0" w:line="11" w:lineRule="exact"/>
        <w:rPr>
          <w:rFonts w:ascii="Arial" w:cs="Arial" w:eastAsia="Arial" w:hAnsi="Arial"/>
          <w:sz w:val="13"/>
          <w:szCs w:val="13"/>
          <w:i w:val="1"/>
          <w:iCs w:val="1"/>
          <w:color w:val="auto"/>
        </w:rPr>
      </w:pPr>
    </w:p>
    <w:p>
      <w:pPr>
        <w:ind w:left="260" w:hanging="254"/>
        <w:spacing w:after="0"/>
        <w:tabs>
          <w:tab w:leader="none" w:pos="260" w:val="left"/>
        </w:tabs>
        <w:numPr>
          <w:ilvl w:val="0"/>
          <w:numId w:val="10"/>
        </w:numPr>
        <w:rPr>
          <w:rFonts w:ascii="Arial" w:cs="Arial" w:eastAsia="Arial" w:hAnsi="Arial"/>
          <w:sz w:val="13"/>
          <w:szCs w:val="13"/>
          <w:i w:val="1"/>
          <w:iCs w:val="1"/>
          <w:color w:val="auto"/>
        </w:rPr>
      </w:pPr>
      <w:r>
        <w:rPr>
          <w:rFonts w:ascii="Arial" w:cs="Arial" w:eastAsia="Arial" w:hAnsi="Arial"/>
          <w:sz w:val="14"/>
          <w:szCs w:val="14"/>
          <w:i w:val="1"/>
          <w:iCs w:val="1"/>
          <w:color w:val="auto"/>
        </w:rPr>
        <w:t>the favorable resolution of litigation, arbitration, or administrative proceedings, including litigation involving the ACA to which we are not a direct party;</w:t>
      </w:r>
    </w:p>
    <w:p>
      <w:pPr>
        <w:spacing w:after="0" w:line="11" w:lineRule="exact"/>
        <w:rPr>
          <w:rFonts w:ascii="Arial" w:cs="Arial" w:eastAsia="Arial" w:hAnsi="Arial"/>
          <w:sz w:val="13"/>
          <w:szCs w:val="13"/>
          <w:i w:val="1"/>
          <w:iCs w:val="1"/>
          <w:color w:val="auto"/>
        </w:rPr>
      </w:pPr>
    </w:p>
    <w:p>
      <w:pPr>
        <w:ind w:left="260" w:hanging="254"/>
        <w:spacing w:after="0"/>
        <w:tabs>
          <w:tab w:leader="none" w:pos="260" w:val="left"/>
        </w:tabs>
        <w:numPr>
          <w:ilvl w:val="0"/>
          <w:numId w:val="10"/>
        </w:numPr>
        <w:rPr>
          <w:rFonts w:ascii="Arial" w:cs="Arial" w:eastAsia="Arial" w:hAnsi="Arial"/>
          <w:sz w:val="13"/>
          <w:szCs w:val="13"/>
          <w:i w:val="1"/>
          <w:iCs w:val="1"/>
          <w:color w:val="auto"/>
        </w:rPr>
      </w:pPr>
      <w:r>
        <w:rPr>
          <w:rFonts w:ascii="Arial" w:cs="Arial" w:eastAsia="Arial" w:hAnsi="Arial"/>
          <w:sz w:val="14"/>
          <w:szCs w:val="14"/>
          <w:i w:val="1"/>
          <w:iCs w:val="1"/>
          <w:color w:val="auto"/>
        </w:rPr>
        <w:t>the relatively small number of states in which we operate health plans, including the greater scale and revenues of our California, Ohio, Texas, and Washington health plans;</w:t>
      </w:r>
    </w:p>
    <w:p>
      <w:pPr>
        <w:spacing w:after="0" w:line="11" w:lineRule="exact"/>
        <w:rPr>
          <w:rFonts w:ascii="Arial" w:cs="Arial" w:eastAsia="Arial" w:hAnsi="Arial"/>
          <w:sz w:val="13"/>
          <w:szCs w:val="13"/>
          <w:i w:val="1"/>
          <w:iCs w:val="1"/>
          <w:color w:val="auto"/>
        </w:rPr>
      </w:pPr>
    </w:p>
    <w:p>
      <w:pPr>
        <w:ind w:left="260" w:right="500" w:hanging="254"/>
        <w:spacing w:after="0" w:line="257" w:lineRule="auto"/>
        <w:tabs>
          <w:tab w:leader="none" w:pos="260" w:val="left"/>
        </w:tabs>
        <w:numPr>
          <w:ilvl w:val="0"/>
          <w:numId w:val="10"/>
        </w:numPr>
        <w:rPr>
          <w:rFonts w:ascii="Arial" w:cs="Arial" w:eastAsia="Arial" w:hAnsi="Arial"/>
          <w:sz w:val="13"/>
          <w:szCs w:val="13"/>
          <w:i w:val="1"/>
          <w:iCs w:val="1"/>
          <w:color w:val="auto"/>
        </w:rPr>
      </w:pPr>
      <w:r>
        <w:rPr>
          <w:rFonts w:ascii="Arial" w:cs="Arial" w:eastAsia="Arial" w:hAnsi="Arial"/>
          <w:sz w:val="14"/>
          <w:szCs w:val="14"/>
          <w:i w:val="1"/>
          <w:iCs w:val="1"/>
          <w:color w:val="auto"/>
        </w:rPr>
        <w:t>the availability of adequate financing on acceptable terms to fund and capitalize our expansion and growth, repay our outstanding indebtedness at maturity and meet our liquidity needs, including the interest expense and other costs associated with such financing;</w:t>
      </w:r>
    </w:p>
    <w:p>
      <w:pPr>
        <w:ind w:left="260" w:hanging="254"/>
        <w:spacing w:after="0"/>
        <w:tabs>
          <w:tab w:leader="none" w:pos="260" w:val="left"/>
        </w:tabs>
        <w:numPr>
          <w:ilvl w:val="0"/>
          <w:numId w:val="10"/>
        </w:numPr>
        <w:rPr>
          <w:rFonts w:ascii="Arial" w:cs="Arial" w:eastAsia="Arial" w:hAnsi="Arial"/>
          <w:sz w:val="13"/>
          <w:szCs w:val="13"/>
          <w:i w:val="1"/>
          <w:iCs w:val="1"/>
          <w:color w:val="auto"/>
        </w:rPr>
      </w:pPr>
      <w:r>
        <w:rPr>
          <w:rFonts w:ascii="Arial" w:cs="Arial" w:eastAsia="Arial" w:hAnsi="Arial"/>
          <w:sz w:val="14"/>
          <w:szCs w:val="14"/>
          <w:i w:val="1"/>
          <w:iCs w:val="1"/>
          <w:color w:val="auto"/>
        </w:rPr>
        <w:t>the failure to comply with the financial or other covenants in our credit agreement or the indentures governing our outstanding notes;</w:t>
      </w:r>
    </w:p>
    <w:p>
      <w:pPr>
        <w:spacing w:after="0" w:line="11" w:lineRule="exact"/>
        <w:rPr>
          <w:rFonts w:ascii="Arial" w:cs="Arial" w:eastAsia="Arial" w:hAnsi="Arial"/>
          <w:sz w:val="13"/>
          <w:szCs w:val="13"/>
          <w:i w:val="1"/>
          <w:iCs w:val="1"/>
          <w:color w:val="auto"/>
        </w:rPr>
      </w:pPr>
    </w:p>
    <w:p>
      <w:pPr>
        <w:ind w:left="260" w:hanging="254"/>
        <w:spacing w:after="0"/>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sufficiency of funds on hand to pay the amounts due upon conversion or maturity of our outstanding notes;</w:t>
      </w:r>
    </w:p>
    <w:p>
      <w:pPr>
        <w:spacing w:after="0" w:line="11" w:lineRule="exact"/>
        <w:rPr>
          <w:rFonts w:ascii="Arial" w:cs="Arial" w:eastAsia="Arial" w:hAnsi="Arial"/>
          <w:sz w:val="14"/>
          <w:szCs w:val="14"/>
          <w:i w:val="1"/>
          <w:iCs w:val="1"/>
          <w:color w:val="auto"/>
        </w:rPr>
      </w:pPr>
    </w:p>
    <w:p>
      <w:pPr>
        <w:ind w:left="260" w:hanging="254"/>
        <w:spacing w:after="0"/>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failure of a state in which we operate to renew its federal Medicaid waiver;</w:t>
      </w:r>
    </w:p>
    <w:p>
      <w:pPr>
        <w:spacing w:after="0" w:line="11" w:lineRule="exact"/>
        <w:rPr>
          <w:rFonts w:ascii="Arial" w:cs="Arial" w:eastAsia="Arial" w:hAnsi="Arial"/>
          <w:sz w:val="14"/>
          <w:szCs w:val="14"/>
          <w:i w:val="1"/>
          <w:iCs w:val="1"/>
          <w:color w:val="auto"/>
        </w:rPr>
      </w:pPr>
    </w:p>
    <w:p>
      <w:pPr>
        <w:ind w:left="260" w:hanging="254"/>
        <w:spacing w:after="0"/>
        <w:tabs>
          <w:tab w:leader="none" w:pos="260" w:val="left"/>
        </w:tabs>
        <w:numPr>
          <w:ilvl w:val="0"/>
          <w:numId w:val="10"/>
        </w:numPr>
        <w:rPr>
          <w:rFonts w:ascii="Arial" w:cs="Arial" w:eastAsia="Arial" w:hAnsi="Arial"/>
          <w:sz w:val="13"/>
          <w:szCs w:val="13"/>
          <w:i w:val="1"/>
          <w:iCs w:val="1"/>
          <w:color w:val="auto"/>
        </w:rPr>
      </w:pPr>
      <w:r>
        <w:rPr>
          <w:rFonts w:ascii="Arial" w:cs="Arial" w:eastAsia="Arial" w:hAnsi="Arial"/>
          <w:sz w:val="14"/>
          <w:szCs w:val="14"/>
          <w:i w:val="1"/>
          <w:iCs w:val="1"/>
          <w:color w:val="auto"/>
        </w:rPr>
        <w:t>changes generally affecting the managed care industry;</w:t>
      </w:r>
    </w:p>
    <w:p>
      <w:pPr>
        <w:spacing w:after="0" w:line="11" w:lineRule="exact"/>
        <w:rPr>
          <w:rFonts w:ascii="Arial" w:cs="Arial" w:eastAsia="Arial" w:hAnsi="Arial"/>
          <w:sz w:val="13"/>
          <w:szCs w:val="13"/>
          <w:i w:val="1"/>
          <w:iCs w:val="1"/>
          <w:color w:val="auto"/>
        </w:rPr>
      </w:pPr>
    </w:p>
    <w:p>
      <w:pPr>
        <w:ind w:left="260" w:hanging="254"/>
        <w:spacing w:after="0"/>
        <w:tabs>
          <w:tab w:leader="none" w:pos="260" w:val="left"/>
        </w:tabs>
        <w:numPr>
          <w:ilvl w:val="0"/>
          <w:numId w:val="10"/>
        </w:numPr>
        <w:rPr>
          <w:rFonts w:ascii="Arial" w:cs="Arial" w:eastAsia="Arial" w:hAnsi="Arial"/>
          <w:sz w:val="13"/>
          <w:szCs w:val="13"/>
          <w:i w:val="1"/>
          <w:iCs w:val="1"/>
          <w:color w:val="auto"/>
        </w:rPr>
      </w:pPr>
      <w:r>
        <w:rPr>
          <w:rFonts w:ascii="Arial" w:cs="Arial" w:eastAsia="Arial" w:hAnsi="Arial"/>
          <w:sz w:val="14"/>
          <w:szCs w:val="14"/>
          <w:i w:val="1"/>
          <w:iCs w:val="1"/>
          <w:color w:val="auto"/>
        </w:rPr>
        <w:t>increases in government surcharges, taxes, and assessments;</w:t>
      </w:r>
    </w:p>
    <w:p>
      <w:pPr>
        <w:spacing w:after="0" w:line="11" w:lineRule="exact"/>
        <w:rPr>
          <w:rFonts w:ascii="Arial" w:cs="Arial" w:eastAsia="Arial" w:hAnsi="Arial"/>
          <w:sz w:val="13"/>
          <w:szCs w:val="13"/>
          <w:i w:val="1"/>
          <w:iCs w:val="1"/>
          <w:color w:val="auto"/>
        </w:rPr>
      </w:pPr>
    </w:p>
    <w:p>
      <w:pPr>
        <w:ind w:left="260" w:hanging="254"/>
        <w:spacing w:after="0"/>
        <w:tabs>
          <w:tab w:leader="none" w:pos="260" w:val="left"/>
        </w:tabs>
        <w:numPr>
          <w:ilvl w:val="0"/>
          <w:numId w:val="10"/>
        </w:numPr>
        <w:rPr>
          <w:rFonts w:ascii="Arial" w:cs="Arial" w:eastAsia="Arial" w:hAnsi="Arial"/>
          <w:sz w:val="13"/>
          <w:szCs w:val="13"/>
          <w:i w:val="1"/>
          <w:iCs w:val="1"/>
          <w:color w:val="auto"/>
        </w:rPr>
      </w:pPr>
      <w:r>
        <w:rPr>
          <w:rFonts w:ascii="Arial" w:cs="Arial" w:eastAsia="Arial" w:hAnsi="Arial"/>
          <w:sz w:val="14"/>
          <w:szCs w:val="14"/>
          <w:i w:val="1"/>
          <w:iCs w:val="1"/>
          <w:color w:val="auto"/>
        </w:rPr>
        <w:t>newly emergent viruses or widespread epidemics, public catastrophes or terrorist attacks, and associated public alarm;</w:t>
      </w:r>
    </w:p>
    <w:p>
      <w:pPr>
        <w:spacing w:after="0" w:line="11" w:lineRule="exact"/>
        <w:rPr>
          <w:rFonts w:ascii="Arial" w:cs="Arial" w:eastAsia="Arial" w:hAnsi="Arial"/>
          <w:sz w:val="13"/>
          <w:szCs w:val="13"/>
          <w:i w:val="1"/>
          <w:iCs w:val="1"/>
          <w:color w:val="auto"/>
        </w:rPr>
      </w:pPr>
    </w:p>
    <w:p>
      <w:pPr>
        <w:ind w:left="260" w:hanging="254"/>
        <w:spacing w:after="0"/>
        <w:tabs>
          <w:tab w:leader="none" w:pos="260" w:val="left"/>
        </w:tabs>
        <w:numPr>
          <w:ilvl w:val="0"/>
          <w:numId w:val="10"/>
        </w:numPr>
        <w:rPr>
          <w:rFonts w:ascii="Arial" w:cs="Arial" w:eastAsia="Arial" w:hAnsi="Arial"/>
          <w:sz w:val="13"/>
          <w:szCs w:val="13"/>
          <w:i w:val="1"/>
          <w:iCs w:val="1"/>
          <w:color w:val="auto"/>
        </w:rPr>
      </w:pPr>
      <w:r>
        <w:rPr>
          <w:rFonts w:ascii="Arial" w:cs="Arial" w:eastAsia="Arial" w:hAnsi="Arial"/>
          <w:sz w:val="14"/>
          <w:szCs w:val="14"/>
          <w:i w:val="1"/>
          <w:iCs w:val="1"/>
          <w:color w:val="auto"/>
        </w:rPr>
        <w:t>the unexpected loss of the leadership of one or more of our senior executives; and</w:t>
      </w:r>
    </w:p>
    <w:p>
      <w:pPr>
        <w:spacing w:after="0" w:line="11" w:lineRule="exact"/>
        <w:rPr>
          <w:rFonts w:ascii="Arial" w:cs="Arial" w:eastAsia="Arial" w:hAnsi="Arial"/>
          <w:sz w:val="13"/>
          <w:szCs w:val="13"/>
          <w:i w:val="1"/>
          <w:iCs w:val="1"/>
          <w:color w:val="auto"/>
        </w:rPr>
      </w:pPr>
    </w:p>
    <w:p>
      <w:pPr>
        <w:ind w:left="260" w:hanging="254"/>
        <w:spacing w:after="0"/>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increasing competition and consolidation in the Medicaid industry.</w:t>
      </w:r>
    </w:p>
    <w:p>
      <w:pPr>
        <w:spacing w:after="0" w:line="98"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Readers should refer to the section entitled “Risk Factors” in our Annual Report on Form 10-K for the year ended December 31, 2018, for a discussion of certain risk factors that could materially affect our business, financial condition, cash flows, or results of operations. Given these risks and uncertainties, we can give no assurance that any results or events projected or contemplated by our forward-looking statements will in fact occur.</w:t>
      </w:r>
    </w:p>
    <w:p>
      <w:pPr>
        <w:spacing w:after="0" w:line="156" w:lineRule="exact"/>
        <w:rPr>
          <w:sz w:val="20"/>
          <w:szCs w:val="20"/>
          <w:color w:val="auto"/>
        </w:rPr>
      </w:pPr>
    </w:p>
    <w:p>
      <w:pPr>
        <w:ind w:right="280"/>
        <w:spacing w:after="0" w:line="265" w:lineRule="auto"/>
        <w:rPr>
          <w:sz w:val="20"/>
          <w:szCs w:val="20"/>
          <w:color w:val="auto"/>
        </w:rPr>
      </w:pPr>
      <w:r>
        <w:rPr>
          <w:rFonts w:ascii="Arial" w:cs="Arial" w:eastAsia="Arial" w:hAnsi="Arial"/>
          <w:sz w:val="14"/>
          <w:szCs w:val="14"/>
          <w:color w:val="auto"/>
        </w:rPr>
        <w:t>This Quarterly Report on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Annual Report on Form 10-K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29</w:t>
      </w:r>
    </w:p>
    <w:p>
      <w:pPr>
        <w:sectPr>
          <w:pgSz w:w="11900" w:h="16838" w:orient="portrait"/>
          <w:cols w:equalWidth="0" w:num="1">
            <w:col w:w="11460"/>
          </w:cols>
          <w:pgMar w:left="220" w:top="140" w:right="21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OVERVIEW</w:t>
      </w:r>
    </w:p>
    <w:p>
      <w:pPr>
        <w:spacing w:after="0" w:line="202" w:lineRule="exact"/>
        <w:rPr>
          <w:sz w:val="20"/>
          <w:szCs w:val="20"/>
          <w:color w:val="auto"/>
        </w:rPr>
      </w:pPr>
    </w:p>
    <w:p>
      <w:pPr>
        <w:ind w:right="300"/>
        <w:spacing w:after="0" w:line="262" w:lineRule="auto"/>
        <w:rPr>
          <w:sz w:val="20"/>
          <w:szCs w:val="20"/>
          <w:color w:val="auto"/>
        </w:rPr>
      </w:pPr>
      <w:r>
        <w:rPr>
          <w:rFonts w:ascii="Arial" w:cs="Arial" w:eastAsia="Arial" w:hAnsi="Arial"/>
          <w:sz w:val="14"/>
          <w:szCs w:val="14"/>
          <w:color w:val="auto"/>
        </w:rPr>
        <w:t>Molina Healthcare, Inc., a FORTUNE 500, multi-state healthcare organization, arranges for the delivery of healthcare services to individuals and families who receive their care through the Medicaid and Medicare programs, and through the state insurance marketplaces (the “Marketplace”). Through our locally operated health plans in 14 states and the Commonwealth of Puerto Rico, we served approximately 3.4 million members as of June 30, 2019. The health plans are generally operated by our respective wholly owned subsidiaries in those states, each of which is licensed as a health maintenance organization (“HMO”).</w:t>
      </w:r>
    </w:p>
    <w:p>
      <w:pPr>
        <w:spacing w:after="0" w:line="159"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We currently have two reportable segments: our Health Plans segment and our Other segment. We manage the vast majority of our operations through our Health Plans segment. The Other segment includes the historical results of the Medicaid management information systems (“MMIS”) and behavioral health subsidiaries we sold in the fourth quarter of 2018, as well as certain corporate amounts not allocated to the Health Plans segment. Prior to the fourth quarter of 2018, the MMIS subsidiary was reported as a stand-alone segment. Beginning in 2019, we no longer report service revenue or cost of service revenue as a result of the sales of the MMIS and behavioral health subsidiaries noted above.</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828282"/>
        </w:rPr>
        <w:t>SECOND QUARTER 2019 HIGHLIGHTS</w:t>
      </w:r>
    </w:p>
    <w:p>
      <w:pPr>
        <w:spacing w:after="0" w:line="178" w:lineRule="exact"/>
        <w:rPr>
          <w:sz w:val="20"/>
          <w:szCs w:val="20"/>
          <w:color w:val="auto"/>
        </w:rPr>
      </w:pPr>
    </w:p>
    <w:p>
      <w:pPr>
        <w:jc w:val="both"/>
        <w:ind w:right="60"/>
        <w:spacing w:after="0" w:line="265" w:lineRule="auto"/>
        <w:rPr>
          <w:sz w:val="20"/>
          <w:szCs w:val="20"/>
          <w:color w:val="auto"/>
        </w:rPr>
      </w:pPr>
      <w:r>
        <w:rPr>
          <w:rFonts w:ascii="Arial" w:cs="Arial" w:eastAsia="Arial" w:hAnsi="Arial"/>
          <w:sz w:val="14"/>
          <w:szCs w:val="14"/>
          <w:color w:val="auto"/>
        </w:rPr>
        <w:t>In summary, we produced pretax earnings of $257 million, and net income of $196 million in the second quarter of 2019, resulting in an after-tax margin of 4.7%. On a year-to-date basis, pretax earnings were $517 million and net income was $394 million, resulting in an after-tax margin of 4.7%. These results include, on a consolidated and year-to-date basis, a medical care ratio (“MCR”) of 85.5% and a general and administrative (“G&amp;A”) expense ratio of 7.6%.</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Program Performance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Our second quarter and year-to-date results met or exceeded our expectations, and our financial and operational profiles are strong.</w:t>
      </w:r>
    </w:p>
    <w:p>
      <w:pPr>
        <w:spacing w:after="0" w:line="184"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In our Medicaid business, we achieved an 88.3% MCR for the first half of the year and performed well, with TANF and ABD generally performing in-line with our expectations. Medicaid Expansion results were better than we expected, mainly due to rate advocacy efforts. Additionally, medical cost trends in general remained well managed across all medical cost categories as the result of our continued improvement in utilization management and payment integrity initiatives, and we continued to improve our retention of quality incentive premium revenues.</w:t>
      </w:r>
    </w:p>
    <w:p>
      <w:pPr>
        <w:spacing w:after="0" w:line="159"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Performance in our Medicare business, comprising our Special Needs Plans and Medicaid-Medicare Plan (“MMP”) products, continued to perform well, managing to an MCR of 85.0% for the first half of the year. We are continuing to manage high-acuity members, including long-term services and supports (“LTSS”) benefits embedded in our MMP product, and risk-adjusted revenue has increased, as our risk scores are more commensurate with the acuity of this population. Our medical margin performance provides us with flexibility to reinvest margins in additional benefits, which should help us maintain our product competitiveness as we position to grow this business in 2020 and beyond.</w:t>
      </w:r>
    </w:p>
    <w:p>
      <w:pPr>
        <w:spacing w:after="0" w:line="159"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Finally, our Marketplace business continues to perform in line with our expectations, and we managed to an MCR of 64.7% for the first half of the year. We continue to generate risk scores that are more commensurate with the acuity of our membership, and as a result, we are paying less into the risk adjustment transfer pool than we anticipated. The risk pool has seasoned and our medical cost trend is stable and well-managed, and our monthly membership lapse rate is within our expected level of less than 2%. These results and metrics were in-line with our expectations, and our medical margin performance also gives us flexibility to make any changes in rates, value-added benefits to the product, and commissions that we believe may be necessary to grow membership in 2020, while still achieving a sustainable and attractive margin.</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Health Plan Performance</w:t>
      </w:r>
    </w:p>
    <w:p>
      <w:pPr>
        <w:spacing w:after="0" w:line="200" w:lineRule="exact"/>
        <w:rPr>
          <w:sz w:val="20"/>
          <w:szCs w:val="20"/>
          <w:color w:val="auto"/>
        </w:rPr>
      </w:pPr>
    </w:p>
    <w:p>
      <w:pPr>
        <w:ind w:right="200"/>
        <w:spacing w:after="0" w:line="273" w:lineRule="auto"/>
        <w:rPr>
          <w:sz w:val="20"/>
          <w:szCs w:val="20"/>
          <w:color w:val="auto"/>
        </w:rPr>
      </w:pPr>
      <w:r>
        <w:rPr>
          <w:rFonts w:ascii="Arial" w:cs="Arial" w:eastAsia="Arial" w:hAnsi="Arial"/>
          <w:sz w:val="14"/>
          <w:szCs w:val="14"/>
          <w:color w:val="auto"/>
        </w:rPr>
        <w:t>We significantly improved the performance of our locally operated health plans in 2018, and they have continued to perform well into 2019. Comments relating to California, Ohio, Washington and Texas, our largest health plans from a revenue standpoint, follow:</w:t>
      </w:r>
    </w:p>
    <w:p>
      <w:pPr>
        <w:spacing w:after="0" w:line="151"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California continues to perform well in its diversified book of business in one of the more complex network environments in the country, and the MCR is performing in the mid to low 80s as a result of effective low-cost networks and effective medical cost management. Our California plan is poised to grow, particularly in returning to meaningful market share in the Marketplace.</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30</w:t>
      </w:r>
    </w:p>
    <w:p>
      <w:pPr>
        <w:sectPr>
          <w:pgSz w:w="11900" w:h="16838" w:orient="portrait"/>
          <w:cols w:equalWidth="0" w:num="1">
            <w:col w:w="11460"/>
          </w:cols>
          <w:pgMar w:left="220" w:top="140" w:right="21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1"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In Ohio, we are serving 297,000 members, and we are generating strong medical margins. With a total MCR of 87.3% for the second quarter and 88.2% for the first half of the year, the temporal spike in medical costs due to the introduction of the behavioral health benefit, and the higher acuity mix due to redetermination efforts, has been ameliorated by our strong rate advocacy in the state.</w:t>
      </w:r>
    </w:p>
    <w:p>
      <w:pPr>
        <w:spacing w:after="0" w:line="156" w:lineRule="exact"/>
        <w:rPr>
          <w:sz w:val="20"/>
          <w:szCs w:val="20"/>
          <w:color w:val="auto"/>
        </w:rPr>
      </w:pPr>
    </w:p>
    <w:p>
      <w:pPr>
        <w:ind w:right="500"/>
        <w:spacing w:after="0" w:line="265" w:lineRule="auto"/>
        <w:rPr>
          <w:sz w:val="20"/>
          <w:szCs w:val="20"/>
          <w:color w:val="auto"/>
        </w:rPr>
      </w:pPr>
      <w:r>
        <w:rPr>
          <w:rFonts w:ascii="Arial" w:cs="Arial" w:eastAsia="Arial" w:hAnsi="Arial"/>
          <w:sz w:val="14"/>
          <w:szCs w:val="14"/>
          <w:color w:val="auto"/>
        </w:rPr>
        <w:t>In Washington, we have a well-diversified portfolio of products and our medical margin performance is returning to a level that is consistent with past periods, even with the confluence of significant membership growth due to our successful re-procurement, and the introduction of the new integrated behavioral health benefit. The relatively higher medical cost trends experienced in the first quarter, due to the significant growth, have abated due to increased focus on managing in-patient costs and care management.</w:t>
      </w:r>
    </w:p>
    <w:p>
      <w:pPr>
        <w:spacing w:after="0" w:line="156" w:lineRule="exact"/>
        <w:rPr>
          <w:sz w:val="20"/>
          <w:szCs w:val="20"/>
          <w:color w:val="auto"/>
        </w:rPr>
      </w:pPr>
    </w:p>
    <w:p>
      <w:pPr>
        <w:ind w:right="280"/>
        <w:spacing w:after="0" w:line="265" w:lineRule="auto"/>
        <w:rPr>
          <w:sz w:val="20"/>
          <w:szCs w:val="20"/>
          <w:color w:val="auto"/>
        </w:rPr>
      </w:pPr>
      <w:r>
        <w:rPr>
          <w:rFonts w:ascii="Arial" w:cs="Arial" w:eastAsia="Arial" w:hAnsi="Arial"/>
          <w:sz w:val="14"/>
          <w:szCs w:val="14"/>
          <w:color w:val="auto"/>
        </w:rPr>
        <w:t>In Texas, we await the announcement of awards for the state’s program for the aged, blind or disabled (“ABD”), known in Texas as STAR+PLUS, the program for Temporary Assistance for Needy Families (“TANF”), known in Texas as STAR, and the Children’s Health Insurance Program (“CHIP”), in the third quarter of this year. The continued, strong performance of our ABD program is built upon our solid skilled nursing facility network and an effective platform for managing personal attendant services.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G&amp;A Expenses</w:t>
      </w:r>
    </w:p>
    <w:p>
      <w:pPr>
        <w:spacing w:after="0" w:line="200" w:lineRule="exact"/>
        <w:rPr>
          <w:sz w:val="20"/>
          <w:szCs w:val="20"/>
          <w:color w:val="auto"/>
        </w:rPr>
      </w:pPr>
    </w:p>
    <w:p>
      <w:pPr>
        <w:ind w:right="540"/>
        <w:spacing w:after="0" w:line="273" w:lineRule="auto"/>
        <w:rPr>
          <w:sz w:val="20"/>
          <w:szCs w:val="20"/>
          <w:color w:val="auto"/>
        </w:rPr>
      </w:pPr>
      <w:r>
        <w:rPr>
          <w:rFonts w:ascii="Arial" w:cs="Arial" w:eastAsia="Arial" w:hAnsi="Arial"/>
          <w:sz w:val="14"/>
          <w:szCs w:val="14"/>
          <w:color w:val="auto"/>
        </w:rPr>
        <w:t>Our G&amp;A expense ratio increased 40 basis points to 7.6% in the first half of 2019, from 7.2% for the same period in 2018, due mainly to the year-over-year decline in overall revenues.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Balance Sheet and Capital Management</w:t>
      </w:r>
    </w:p>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continue to improve our balance sheet, as we repaid an additional $139 million aggregate principal amount of our 1.125% Convertible Notes in the second quarter, for a total of $185 million year to date. The impact of capital deployment actions in the quarter resulted in lower interest expense, a gain on repayment of the convertible notes, and a lower share count. In addition, we have received conversion notices for approximately $9 million principal amount of our 1.125% Convertible Notes that will be settled in the third quarter of 2019.</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31</w:t>
      </w:r>
    </w:p>
    <w:p>
      <w:pPr>
        <w:sectPr>
          <w:pgSz w:w="11900" w:h="16838" w:orient="portrait"/>
          <w:cols w:equalWidth="0" w:num="1">
            <w:col w:w="11460"/>
          </w:cols>
          <w:pgMar w:left="220" w:top="140" w:right="21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FINANCIAL SUMMARY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60" w:type="dxa"/>
            <w:vAlign w:val="bottom"/>
            <w:gridSpan w:val="4"/>
          </w:tcPr>
          <w:p>
            <w:pPr>
              <w:ind w:left="300"/>
              <w:spacing w:after="0"/>
              <w:rPr>
                <w:sz w:val="20"/>
                <w:szCs w:val="20"/>
                <w:color w:val="auto"/>
              </w:rPr>
            </w:pPr>
            <w:r>
              <w:rPr>
                <w:rFonts w:ascii="Arial" w:cs="Arial" w:eastAsia="Arial" w:hAnsi="Arial"/>
                <w:sz w:val="13"/>
                <w:szCs w:val="13"/>
                <w:b w:val="1"/>
                <w:bCs w:val="1"/>
                <w:color w:val="auto"/>
              </w:rPr>
              <w:t>Three Months Ended June 30,</w:t>
            </w:r>
          </w:p>
        </w:tc>
        <w:tc>
          <w:tcPr>
            <w:tcW w:w="340" w:type="dxa"/>
            <w:vAlign w:val="bottom"/>
          </w:tcPr>
          <w:p>
            <w:pPr>
              <w:spacing w:after="0"/>
              <w:rPr>
                <w:sz w:val="15"/>
                <w:szCs w:val="15"/>
                <w:color w:val="auto"/>
              </w:rPr>
            </w:pPr>
          </w:p>
        </w:tc>
        <w:tc>
          <w:tcPr>
            <w:tcW w:w="2760" w:type="dxa"/>
            <w:vAlign w:val="bottom"/>
            <w:gridSpan w:val="3"/>
          </w:tcPr>
          <w:p>
            <w:pPr>
              <w:jc w:val="right"/>
              <w:ind w:right="635"/>
              <w:spacing w:after="0"/>
              <w:rPr>
                <w:sz w:val="20"/>
                <w:szCs w:val="20"/>
                <w:color w:val="auto"/>
              </w:rPr>
            </w:pPr>
            <w:r>
              <w:rPr>
                <w:rFonts w:ascii="Arial" w:cs="Arial" w:eastAsia="Arial" w:hAnsi="Arial"/>
                <w:sz w:val="13"/>
                <w:szCs w:val="13"/>
                <w:b w:val="1"/>
                <w:bCs w:val="1"/>
                <w:color w:val="auto"/>
              </w:rPr>
              <w:t>Six Months Ended June 30,</w:t>
            </w:r>
          </w:p>
        </w:tc>
      </w:tr>
      <w:tr>
        <w:trPr>
          <w:trHeight w:val="206"/>
        </w:trPr>
        <w:tc>
          <w:tcPr>
            <w:tcW w:w="514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3"/>
                <w:szCs w:val="13"/>
                <w:b w:val="1"/>
                <w:bCs w:val="1"/>
                <w:color w:val="auto"/>
              </w:rPr>
              <w:t>2018</w:t>
            </w:r>
          </w:p>
        </w:tc>
      </w:tr>
      <w:tr>
        <w:trPr>
          <w:trHeight w:val="185"/>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4"/>
          </w:tcPr>
          <w:p>
            <w:pPr>
              <w:jc w:val="right"/>
              <w:ind w:right="75"/>
              <w:spacing w:after="0"/>
              <w:rPr>
                <w:sz w:val="20"/>
                <w:szCs w:val="20"/>
                <w:color w:val="auto"/>
              </w:rPr>
            </w:pPr>
            <w:r>
              <w:rPr>
                <w:rFonts w:ascii="Arial" w:cs="Arial" w:eastAsia="Arial" w:hAnsi="Arial"/>
                <w:sz w:val="13"/>
                <w:szCs w:val="13"/>
                <w:b w:val="1"/>
                <w:bCs w:val="1"/>
                <w:i w:val="1"/>
                <w:iCs w:val="1"/>
                <w:color w:val="auto"/>
                <w:w w:val="99"/>
              </w:rPr>
              <w:t>(Dollars in millions, except per-share amounts)</w:t>
            </w: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Premium revenue</w:t>
            </w:r>
          </w:p>
        </w:tc>
        <w:tc>
          <w:tcPr>
            <w:tcW w:w="3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4,049</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4,514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8,001</w:t>
            </w:r>
          </w:p>
        </w:tc>
        <w:tc>
          <w:tcPr>
            <w:tcW w:w="4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8,837</w:t>
            </w:r>
          </w:p>
        </w:tc>
      </w:tr>
      <w:tr>
        <w:trPr>
          <w:trHeight w:val="208"/>
        </w:trPr>
        <w:tc>
          <w:tcPr>
            <w:tcW w:w="5140" w:type="dxa"/>
            <w:vAlign w:val="bottom"/>
          </w:tcPr>
          <w:p>
            <w:pPr>
              <w:ind w:left="20"/>
              <w:spacing w:after="0"/>
              <w:rPr>
                <w:sz w:val="20"/>
                <w:szCs w:val="20"/>
                <w:color w:val="auto"/>
              </w:rPr>
            </w:pPr>
            <w:r>
              <w:rPr>
                <w:rFonts w:ascii="Arial" w:cs="Arial" w:eastAsia="Arial" w:hAnsi="Arial"/>
                <w:sz w:val="13"/>
                <w:szCs w:val="13"/>
                <w:color w:val="auto"/>
              </w:rPr>
              <w:t>Premium tax revenue</w:t>
            </w:r>
          </w:p>
        </w:tc>
        <w:tc>
          <w:tcPr>
            <w:tcW w:w="360" w:type="dxa"/>
            <w:vAlign w:val="bottom"/>
          </w:tcPr>
          <w:p>
            <w:pPr>
              <w:spacing w:after="0"/>
              <w:rPr>
                <w:sz w:val="18"/>
                <w:szCs w:val="18"/>
                <w:color w:val="auto"/>
              </w:rPr>
            </w:pPr>
          </w:p>
        </w:tc>
        <w:tc>
          <w:tcPr>
            <w:tcW w:w="1200" w:type="dxa"/>
            <w:vAlign w:val="bottom"/>
          </w:tcPr>
          <w:p>
            <w:pPr>
              <w:jc w:val="right"/>
              <w:ind w:right="135"/>
              <w:spacing w:after="0"/>
              <w:rPr>
                <w:sz w:val="20"/>
                <w:szCs w:val="20"/>
                <w:color w:val="auto"/>
              </w:rPr>
            </w:pPr>
            <w:r>
              <w:rPr>
                <w:rFonts w:ascii="Arial" w:cs="Arial" w:eastAsia="Arial" w:hAnsi="Arial"/>
                <w:sz w:val="13"/>
                <w:szCs w:val="13"/>
                <w:color w:val="auto"/>
              </w:rPr>
              <w:t>110</w:t>
            </w:r>
          </w:p>
        </w:tc>
        <w:tc>
          <w:tcPr>
            <w:tcW w:w="160" w:type="dxa"/>
            <w:vAlign w:val="bottom"/>
          </w:tcPr>
          <w:p>
            <w:pPr>
              <w:spacing w:after="0"/>
              <w:rPr>
                <w:sz w:val="18"/>
                <w:szCs w:val="18"/>
                <w:color w:val="auto"/>
              </w:rPr>
            </w:pPr>
          </w:p>
        </w:tc>
        <w:tc>
          <w:tcPr>
            <w:tcW w:w="1400" w:type="dxa"/>
            <w:vAlign w:val="bottom"/>
          </w:tcPr>
          <w:p>
            <w:pPr>
              <w:jc w:val="right"/>
              <w:ind w:right="75"/>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5"/>
              <w:spacing w:after="0"/>
              <w:rPr>
                <w:sz w:val="20"/>
                <w:szCs w:val="20"/>
                <w:color w:val="auto"/>
              </w:rPr>
            </w:pPr>
            <w:r>
              <w:rPr>
                <w:rFonts w:ascii="Arial" w:cs="Arial" w:eastAsia="Arial" w:hAnsi="Arial"/>
                <w:sz w:val="13"/>
                <w:szCs w:val="13"/>
                <w:color w:val="auto"/>
              </w:rPr>
              <w:t>248</w:t>
            </w:r>
          </w:p>
        </w:tc>
        <w:tc>
          <w:tcPr>
            <w:tcW w:w="42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3"/>
                <w:szCs w:val="13"/>
                <w:color w:val="auto"/>
              </w:rPr>
              <w:t>210</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Health insurer fees reimbursed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165</w:t>
            </w:r>
          </w:p>
        </w:tc>
      </w:tr>
      <w:tr>
        <w:trPr>
          <w:trHeight w:val="208"/>
        </w:trPr>
        <w:tc>
          <w:tcPr>
            <w:tcW w:w="5140" w:type="dxa"/>
            <w:vAlign w:val="bottom"/>
          </w:tcPr>
          <w:p>
            <w:pPr>
              <w:ind w:left="20"/>
              <w:spacing w:after="0"/>
              <w:rPr>
                <w:sz w:val="20"/>
                <w:szCs w:val="20"/>
                <w:color w:val="auto"/>
              </w:rPr>
            </w:pPr>
            <w:r>
              <w:rPr>
                <w:rFonts w:ascii="Arial" w:cs="Arial" w:eastAsia="Arial" w:hAnsi="Arial"/>
                <w:sz w:val="13"/>
                <w:szCs w:val="13"/>
                <w:color w:val="auto"/>
              </w:rPr>
              <w:t>Investment income and other revenue</w:t>
            </w:r>
          </w:p>
        </w:tc>
        <w:tc>
          <w:tcPr>
            <w:tcW w:w="360" w:type="dxa"/>
            <w:vAlign w:val="bottom"/>
          </w:tcPr>
          <w:p>
            <w:pPr>
              <w:spacing w:after="0"/>
              <w:rPr>
                <w:sz w:val="18"/>
                <w:szCs w:val="18"/>
                <w:color w:val="auto"/>
              </w:rPr>
            </w:pPr>
          </w:p>
        </w:tc>
        <w:tc>
          <w:tcPr>
            <w:tcW w:w="1200" w:type="dxa"/>
            <w:vAlign w:val="bottom"/>
          </w:tcPr>
          <w:p>
            <w:pPr>
              <w:jc w:val="right"/>
              <w:ind w:right="135"/>
              <w:spacing w:after="0"/>
              <w:rPr>
                <w:sz w:val="20"/>
                <w:szCs w:val="20"/>
                <w:color w:val="auto"/>
              </w:rPr>
            </w:pPr>
            <w:r>
              <w:rPr>
                <w:rFonts w:ascii="Arial" w:cs="Arial" w:eastAsia="Arial" w:hAnsi="Arial"/>
                <w:sz w:val="13"/>
                <w:szCs w:val="13"/>
                <w:color w:val="auto"/>
              </w:rPr>
              <w:t>34</w:t>
            </w:r>
          </w:p>
        </w:tc>
        <w:tc>
          <w:tcPr>
            <w:tcW w:w="160" w:type="dxa"/>
            <w:vAlign w:val="bottom"/>
          </w:tcPr>
          <w:p>
            <w:pPr>
              <w:spacing w:after="0"/>
              <w:rPr>
                <w:sz w:val="18"/>
                <w:szCs w:val="18"/>
                <w:color w:val="auto"/>
              </w:rPr>
            </w:pPr>
          </w:p>
        </w:tc>
        <w:tc>
          <w:tcPr>
            <w:tcW w:w="1400" w:type="dxa"/>
            <w:vAlign w:val="bottom"/>
          </w:tcPr>
          <w:p>
            <w:pPr>
              <w:jc w:val="right"/>
              <w:ind w:right="75"/>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5"/>
              <w:spacing w:after="0"/>
              <w:rPr>
                <w:sz w:val="20"/>
                <w:szCs w:val="20"/>
                <w:color w:val="auto"/>
              </w:rPr>
            </w:pPr>
            <w:r>
              <w:rPr>
                <w:rFonts w:ascii="Arial" w:cs="Arial" w:eastAsia="Arial" w:hAnsi="Arial"/>
                <w:sz w:val="13"/>
                <w:szCs w:val="13"/>
                <w:color w:val="auto"/>
              </w:rPr>
              <w:t>63</w:t>
            </w:r>
          </w:p>
        </w:tc>
        <w:tc>
          <w:tcPr>
            <w:tcW w:w="42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3"/>
                <w:szCs w:val="13"/>
                <w:color w:val="auto"/>
              </w:rPr>
              <w:t>56</w:t>
            </w:r>
          </w:p>
        </w:tc>
      </w:tr>
      <w:tr>
        <w:trPr>
          <w:trHeight w:val="234"/>
        </w:trPr>
        <w:tc>
          <w:tcPr>
            <w:tcW w:w="5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8"/>
        </w:trPr>
        <w:tc>
          <w:tcPr>
            <w:tcW w:w="5140" w:type="dxa"/>
            <w:vAlign w:val="bottom"/>
          </w:tcPr>
          <w:p>
            <w:pPr>
              <w:ind w:left="20"/>
              <w:spacing w:after="0"/>
              <w:rPr>
                <w:sz w:val="20"/>
                <w:szCs w:val="20"/>
                <w:color w:val="auto"/>
              </w:rPr>
            </w:pPr>
            <w:r>
              <w:rPr>
                <w:rFonts w:ascii="Arial" w:cs="Arial" w:eastAsia="Arial" w:hAnsi="Arial"/>
                <w:sz w:val="13"/>
                <w:szCs w:val="13"/>
                <w:color w:val="auto"/>
              </w:rPr>
              <w:t>Medical care costs</w:t>
            </w:r>
          </w:p>
        </w:tc>
        <w:tc>
          <w:tcPr>
            <w:tcW w:w="360" w:type="dxa"/>
            <w:vAlign w:val="bottom"/>
          </w:tcPr>
          <w:p>
            <w:pPr>
              <w:spacing w:after="0"/>
              <w:rPr>
                <w:sz w:val="18"/>
                <w:szCs w:val="18"/>
                <w:color w:val="auto"/>
              </w:rPr>
            </w:pPr>
          </w:p>
        </w:tc>
        <w:tc>
          <w:tcPr>
            <w:tcW w:w="1200" w:type="dxa"/>
            <w:vAlign w:val="bottom"/>
          </w:tcPr>
          <w:p>
            <w:pPr>
              <w:jc w:val="right"/>
              <w:ind w:right="135"/>
              <w:spacing w:after="0"/>
              <w:rPr>
                <w:sz w:val="20"/>
                <w:szCs w:val="20"/>
                <w:color w:val="auto"/>
              </w:rPr>
            </w:pPr>
            <w:r>
              <w:rPr>
                <w:rFonts w:ascii="Arial" w:cs="Arial" w:eastAsia="Arial" w:hAnsi="Arial"/>
                <w:sz w:val="13"/>
                <w:szCs w:val="13"/>
                <w:color w:val="auto"/>
              </w:rPr>
              <w:t>3,466</w:t>
            </w:r>
          </w:p>
        </w:tc>
        <w:tc>
          <w:tcPr>
            <w:tcW w:w="160" w:type="dxa"/>
            <w:vAlign w:val="bottom"/>
          </w:tcPr>
          <w:p>
            <w:pPr>
              <w:spacing w:after="0"/>
              <w:rPr>
                <w:sz w:val="18"/>
                <w:szCs w:val="18"/>
                <w:color w:val="auto"/>
              </w:rPr>
            </w:pPr>
          </w:p>
        </w:tc>
        <w:tc>
          <w:tcPr>
            <w:tcW w:w="1400" w:type="dxa"/>
            <w:vAlign w:val="bottom"/>
          </w:tcPr>
          <w:p>
            <w:pPr>
              <w:jc w:val="right"/>
              <w:ind w:right="75"/>
              <w:spacing w:after="0"/>
              <w:rPr>
                <w:sz w:val="20"/>
                <w:szCs w:val="20"/>
                <w:color w:val="auto"/>
              </w:rPr>
            </w:pPr>
            <w:r>
              <w:rPr>
                <w:rFonts w:ascii="Arial" w:cs="Arial" w:eastAsia="Arial" w:hAnsi="Arial"/>
                <w:sz w:val="13"/>
                <w:szCs w:val="13"/>
                <w:color w:val="auto"/>
              </w:rPr>
              <w:t>3,850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5"/>
              <w:spacing w:after="0"/>
              <w:rPr>
                <w:sz w:val="20"/>
                <w:szCs w:val="20"/>
                <w:color w:val="auto"/>
              </w:rPr>
            </w:pPr>
            <w:r>
              <w:rPr>
                <w:rFonts w:ascii="Arial" w:cs="Arial" w:eastAsia="Arial" w:hAnsi="Arial"/>
                <w:sz w:val="13"/>
                <w:szCs w:val="13"/>
                <w:color w:val="auto"/>
              </w:rPr>
              <w:t>6,837</w:t>
            </w:r>
          </w:p>
        </w:tc>
        <w:tc>
          <w:tcPr>
            <w:tcW w:w="42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3"/>
                <w:szCs w:val="13"/>
                <w:color w:val="auto"/>
              </w:rPr>
              <w:t>7,572</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328</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630</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687</w:t>
            </w:r>
          </w:p>
        </w:tc>
      </w:tr>
      <w:tr>
        <w:trPr>
          <w:trHeight w:val="208"/>
        </w:trPr>
        <w:tc>
          <w:tcPr>
            <w:tcW w:w="5140" w:type="dxa"/>
            <w:vAlign w:val="bottom"/>
          </w:tcPr>
          <w:p>
            <w:pPr>
              <w:ind w:left="20"/>
              <w:spacing w:after="0"/>
              <w:rPr>
                <w:sz w:val="20"/>
                <w:szCs w:val="20"/>
                <w:color w:val="auto"/>
              </w:rPr>
            </w:pPr>
            <w:r>
              <w:rPr>
                <w:rFonts w:ascii="Arial" w:cs="Arial" w:eastAsia="Arial" w:hAnsi="Arial"/>
                <w:sz w:val="13"/>
                <w:szCs w:val="13"/>
                <w:color w:val="auto"/>
              </w:rPr>
              <w:t>Premium tax expenses</w:t>
            </w:r>
          </w:p>
        </w:tc>
        <w:tc>
          <w:tcPr>
            <w:tcW w:w="360" w:type="dxa"/>
            <w:vAlign w:val="bottom"/>
          </w:tcPr>
          <w:p>
            <w:pPr>
              <w:spacing w:after="0"/>
              <w:rPr>
                <w:sz w:val="18"/>
                <w:szCs w:val="18"/>
                <w:color w:val="auto"/>
              </w:rPr>
            </w:pPr>
          </w:p>
        </w:tc>
        <w:tc>
          <w:tcPr>
            <w:tcW w:w="1200" w:type="dxa"/>
            <w:vAlign w:val="bottom"/>
          </w:tcPr>
          <w:p>
            <w:pPr>
              <w:jc w:val="right"/>
              <w:ind w:right="135"/>
              <w:spacing w:after="0"/>
              <w:rPr>
                <w:sz w:val="20"/>
                <w:szCs w:val="20"/>
                <w:color w:val="auto"/>
              </w:rPr>
            </w:pPr>
            <w:r>
              <w:rPr>
                <w:rFonts w:ascii="Arial" w:cs="Arial" w:eastAsia="Arial" w:hAnsi="Arial"/>
                <w:sz w:val="13"/>
                <w:szCs w:val="13"/>
                <w:color w:val="auto"/>
              </w:rPr>
              <w:t>110</w:t>
            </w:r>
          </w:p>
        </w:tc>
        <w:tc>
          <w:tcPr>
            <w:tcW w:w="160" w:type="dxa"/>
            <w:vAlign w:val="bottom"/>
          </w:tcPr>
          <w:p>
            <w:pPr>
              <w:spacing w:after="0"/>
              <w:rPr>
                <w:sz w:val="18"/>
                <w:szCs w:val="18"/>
                <w:color w:val="auto"/>
              </w:rPr>
            </w:pPr>
          </w:p>
        </w:tc>
        <w:tc>
          <w:tcPr>
            <w:tcW w:w="1400" w:type="dxa"/>
            <w:vAlign w:val="bottom"/>
          </w:tcPr>
          <w:p>
            <w:pPr>
              <w:jc w:val="right"/>
              <w:ind w:right="75"/>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5"/>
              <w:spacing w:after="0"/>
              <w:rPr>
                <w:sz w:val="20"/>
                <w:szCs w:val="20"/>
                <w:color w:val="auto"/>
              </w:rPr>
            </w:pPr>
            <w:r>
              <w:rPr>
                <w:rFonts w:ascii="Arial" w:cs="Arial" w:eastAsia="Arial" w:hAnsi="Arial"/>
                <w:sz w:val="13"/>
                <w:szCs w:val="13"/>
                <w:color w:val="auto"/>
              </w:rPr>
              <w:t>248</w:t>
            </w:r>
          </w:p>
        </w:tc>
        <w:tc>
          <w:tcPr>
            <w:tcW w:w="42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3"/>
                <w:szCs w:val="13"/>
                <w:color w:val="auto"/>
              </w:rPr>
              <w:t>210</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Health insurer fees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174</w:t>
            </w:r>
          </w:p>
        </w:tc>
      </w:tr>
      <w:tr>
        <w:trPr>
          <w:trHeight w:val="208"/>
        </w:trPr>
        <w:tc>
          <w:tcPr>
            <w:tcW w:w="5140" w:type="dxa"/>
            <w:vAlign w:val="bottom"/>
          </w:tcPr>
          <w:p>
            <w:pPr>
              <w:ind w:left="20"/>
              <w:spacing w:after="0"/>
              <w:rPr>
                <w:sz w:val="20"/>
                <w:szCs w:val="20"/>
                <w:color w:val="auto"/>
              </w:rPr>
            </w:pPr>
            <w:r>
              <w:rPr>
                <w:rFonts w:ascii="Arial" w:cs="Arial" w:eastAsia="Arial" w:hAnsi="Arial"/>
                <w:sz w:val="13"/>
                <w:szCs w:val="13"/>
                <w:color w:val="auto"/>
              </w:rPr>
              <w:t>Restructuring costs</w:t>
            </w:r>
          </w:p>
        </w:tc>
        <w:tc>
          <w:tcPr>
            <w:tcW w:w="360" w:type="dxa"/>
            <w:vAlign w:val="bottom"/>
          </w:tcPr>
          <w:p>
            <w:pPr>
              <w:spacing w:after="0"/>
              <w:rPr>
                <w:sz w:val="18"/>
                <w:szCs w:val="18"/>
                <w:color w:val="auto"/>
              </w:rPr>
            </w:pPr>
          </w:p>
        </w:tc>
        <w:tc>
          <w:tcPr>
            <w:tcW w:w="1200" w:type="dxa"/>
            <w:vAlign w:val="bottom"/>
          </w:tcPr>
          <w:p>
            <w:pPr>
              <w:jc w:val="right"/>
              <w:ind w:right="135"/>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8"/>
                <w:szCs w:val="18"/>
                <w:color w:val="auto"/>
              </w:rPr>
            </w:pPr>
          </w:p>
        </w:tc>
        <w:tc>
          <w:tcPr>
            <w:tcW w:w="1400" w:type="dxa"/>
            <w:vAlign w:val="bottom"/>
          </w:tcPr>
          <w:p>
            <w:pPr>
              <w:jc w:val="right"/>
              <w:ind w:right="75"/>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5"/>
              <w:spacing w:after="0"/>
              <w:rPr>
                <w:sz w:val="20"/>
                <w:szCs w:val="20"/>
                <w:color w:val="auto"/>
              </w:rPr>
            </w:pPr>
            <w:r>
              <w:rPr>
                <w:rFonts w:ascii="Arial" w:cs="Arial" w:eastAsia="Arial" w:hAnsi="Arial"/>
                <w:sz w:val="13"/>
                <w:szCs w:val="13"/>
                <w:color w:val="auto"/>
              </w:rPr>
              <w:t>5</w:t>
            </w:r>
          </w:p>
        </w:tc>
        <w:tc>
          <w:tcPr>
            <w:tcW w:w="42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3"/>
                <w:szCs w:val="13"/>
                <w:color w:val="auto"/>
              </w:rPr>
              <w:t>33</w:t>
            </w:r>
          </w:p>
        </w:tc>
      </w:tr>
      <w:tr>
        <w:trPr>
          <w:trHeight w:val="234"/>
        </w:trPr>
        <w:tc>
          <w:tcPr>
            <w:tcW w:w="5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8"/>
        </w:trPr>
        <w:tc>
          <w:tcPr>
            <w:tcW w:w="514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360" w:type="dxa"/>
            <w:vAlign w:val="bottom"/>
          </w:tcPr>
          <w:p>
            <w:pPr>
              <w:spacing w:after="0"/>
              <w:rPr>
                <w:sz w:val="18"/>
                <w:szCs w:val="18"/>
                <w:color w:val="auto"/>
              </w:rPr>
            </w:pPr>
          </w:p>
        </w:tc>
        <w:tc>
          <w:tcPr>
            <w:tcW w:w="1200" w:type="dxa"/>
            <w:vAlign w:val="bottom"/>
          </w:tcPr>
          <w:p>
            <w:pPr>
              <w:jc w:val="right"/>
              <w:ind w:right="135"/>
              <w:spacing w:after="0"/>
              <w:rPr>
                <w:sz w:val="20"/>
                <w:szCs w:val="20"/>
                <w:color w:val="auto"/>
              </w:rPr>
            </w:pPr>
            <w:r>
              <w:rPr>
                <w:rFonts w:ascii="Arial" w:cs="Arial" w:eastAsia="Arial" w:hAnsi="Arial"/>
                <w:sz w:val="13"/>
                <w:szCs w:val="13"/>
                <w:color w:val="auto"/>
              </w:rPr>
              <w:t>265</w:t>
            </w:r>
          </w:p>
        </w:tc>
        <w:tc>
          <w:tcPr>
            <w:tcW w:w="160" w:type="dxa"/>
            <w:vAlign w:val="bottom"/>
          </w:tcPr>
          <w:p>
            <w:pPr>
              <w:spacing w:after="0"/>
              <w:rPr>
                <w:sz w:val="18"/>
                <w:szCs w:val="18"/>
                <w:color w:val="auto"/>
              </w:rPr>
            </w:pPr>
          </w:p>
        </w:tc>
        <w:tc>
          <w:tcPr>
            <w:tcW w:w="1400" w:type="dxa"/>
            <w:vAlign w:val="bottom"/>
          </w:tcPr>
          <w:p>
            <w:pPr>
              <w:jc w:val="right"/>
              <w:ind w:right="75"/>
              <w:spacing w:after="0"/>
              <w:rPr>
                <w:sz w:val="20"/>
                <w:szCs w:val="20"/>
                <w:color w:val="auto"/>
              </w:rPr>
            </w:pPr>
            <w:r>
              <w:rPr>
                <w:rFonts w:ascii="Arial" w:cs="Arial" w:eastAsia="Arial" w:hAnsi="Arial"/>
                <w:sz w:val="13"/>
                <w:szCs w:val="13"/>
                <w:color w:val="auto"/>
              </w:rPr>
              <w:t>342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5"/>
              <w:spacing w:after="0"/>
              <w:rPr>
                <w:sz w:val="20"/>
                <w:szCs w:val="20"/>
                <w:color w:val="auto"/>
              </w:rPr>
            </w:pPr>
            <w:r>
              <w:rPr>
                <w:rFonts w:ascii="Arial" w:cs="Arial" w:eastAsia="Arial" w:hAnsi="Arial"/>
                <w:sz w:val="13"/>
                <w:szCs w:val="13"/>
                <w:color w:val="auto"/>
              </w:rPr>
              <w:t>545</w:t>
            </w:r>
          </w:p>
        </w:tc>
        <w:tc>
          <w:tcPr>
            <w:tcW w:w="42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3"/>
                <w:szCs w:val="13"/>
                <w:color w:val="auto"/>
              </w:rPr>
              <w:t>564</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22</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45</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65</w:t>
            </w:r>
          </w:p>
        </w:tc>
      </w:tr>
      <w:tr>
        <w:trPr>
          <w:trHeight w:val="208"/>
        </w:trPr>
        <w:tc>
          <w:tcPr>
            <w:tcW w:w="5140" w:type="dxa"/>
            <w:vAlign w:val="bottom"/>
          </w:tcPr>
          <w:p>
            <w:pPr>
              <w:ind w:left="20"/>
              <w:spacing w:after="0"/>
              <w:rPr>
                <w:sz w:val="20"/>
                <w:szCs w:val="20"/>
                <w:color w:val="auto"/>
              </w:rPr>
            </w:pPr>
            <w:r>
              <w:rPr>
                <w:rFonts w:ascii="Arial" w:cs="Arial" w:eastAsia="Arial" w:hAnsi="Arial"/>
                <w:sz w:val="13"/>
                <w:szCs w:val="13"/>
                <w:color w:val="auto"/>
              </w:rPr>
              <w:t>Other (income) expenses, net</w:t>
            </w:r>
          </w:p>
        </w:tc>
        <w:tc>
          <w:tcPr>
            <w:tcW w:w="360" w:type="dxa"/>
            <w:vAlign w:val="bottom"/>
          </w:tcPr>
          <w:p>
            <w:pPr>
              <w:spacing w:after="0"/>
              <w:rPr>
                <w:sz w:val="18"/>
                <w:szCs w:val="18"/>
                <w:color w:val="auto"/>
              </w:rPr>
            </w:pPr>
          </w:p>
        </w:tc>
        <w:tc>
          <w:tcPr>
            <w:tcW w:w="1200" w:type="dxa"/>
            <w:vAlign w:val="bottom"/>
          </w:tcPr>
          <w:p>
            <w:pPr>
              <w:jc w:val="right"/>
              <w:ind w:right="95"/>
              <w:spacing w:after="0"/>
              <w:rPr>
                <w:sz w:val="20"/>
                <w:szCs w:val="20"/>
                <w:color w:val="auto"/>
              </w:rPr>
            </w:pPr>
            <w:r>
              <w:rPr>
                <w:rFonts w:ascii="Arial" w:cs="Arial" w:eastAsia="Arial" w:hAnsi="Arial"/>
                <w:sz w:val="13"/>
                <w:szCs w:val="13"/>
                <w:color w:val="auto"/>
              </w:rPr>
              <w:t>(14)</w:t>
            </w:r>
          </w:p>
        </w:tc>
        <w:tc>
          <w:tcPr>
            <w:tcW w:w="160" w:type="dxa"/>
            <w:vAlign w:val="bottom"/>
          </w:tcPr>
          <w:p>
            <w:pPr>
              <w:spacing w:after="0"/>
              <w:rPr>
                <w:sz w:val="18"/>
                <w:szCs w:val="18"/>
                <w:color w:val="auto"/>
              </w:rPr>
            </w:pPr>
          </w:p>
        </w:tc>
        <w:tc>
          <w:tcPr>
            <w:tcW w:w="1400" w:type="dxa"/>
            <w:vAlign w:val="bottom"/>
          </w:tcPr>
          <w:p>
            <w:pPr>
              <w:jc w:val="right"/>
              <w:ind w:right="75"/>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75"/>
              <w:spacing w:after="0"/>
              <w:rPr>
                <w:sz w:val="20"/>
                <w:szCs w:val="20"/>
                <w:color w:val="auto"/>
              </w:rPr>
            </w:pPr>
            <w:r>
              <w:rPr>
                <w:rFonts w:ascii="Arial" w:cs="Arial" w:eastAsia="Arial" w:hAnsi="Arial"/>
                <w:sz w:val="13"/>
                <w:szCs w:val="13"/>
                <w:color w:val="auto"/>
              </w:rPr>
              <w:t>(17)</w:t>
            </w:r>
          </w:p>
        </w:tc>
        <w:tc>
          <w:tcPr>
            <w:tcW w:w="42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3"/>
                <w:szCs w:val="13"/>
                <w:color w:val="auto"/>
              </w:rPr>
              <w:t>15</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257</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305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517</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484</w:t>
            </w:r>
          </w:p>
        </w:tc>
      </w:tr>
      <w:tr>
        <w:trPr>
          <w:trHeight w:val="208"/>
        </w:trPr>
        <w:tc>
          <w:tcPr>
            <w:tcW w:w="5140" w:type="dxa"/>
            <w:vAlign w:val="bottom"/>
          </w:tcPr>
          <w:p>
            <w:pPr>
              <w:ind w:left="20"/>
              <w:spacing w:after="0"/>
              <w:rPr>
                <w:sz w:val="20"/>
                <w:szCs w:val="20"/>
                <w:color w:val="auto"/>
              </w:rPr>
            </w:pPr>
            <w:r>
              <w:rPr>
                <w:rFonts w:ascii="Arial" w:cs="Arial" w:eastAsia="Arial" w:hAnsi="Arial"/>
                <w:sz w:val="13"/>
                <w:szCs w:val="13"/>
                <w:color w:val="auto"/>
              </w:rPr>
              <w:t>Income tax expense</w:t>
            </w:r>
          </w:p>
        </w:tc>
        <w:tc>
          <w:tcPr>
            <w:tcW w:w="360" w:type="dxa"/>
            <w:vAlign w:val="bottom"/>
          </w:tcPr>
          <w:p>
            <w:pPr>
              <w:spacing w:after="0"/>
              <w:rPr>
                <w:sz w:val="18"/>
                <w:szCs w:val="18"/>
                <w:color w:val="auto"/>
              </w:rPr>
            </w:pPr>
          </w:p>
        </w:tc>
        <w:tc>
          <w:tcPr>
            <w:tcW w:w="1200" w:type="dxa"/>
            <w:vAlign w:val="bottom"/>
          </w:tcPr>
          <w:p>
            <w:pPr>
              <w:jc w:val="right"/>
              <w:ind w:right="135"/>
              <w:spacing w:after="0"/>
              <w:rPr>
                <w:sz w:val="20"/>
                <w:szCs w:val="20"/>
                <w:color w:val="auto"/>
              </w:rPr>
            </w:pPr>
            <w:r>
              <w:rPr>
                <w:rFonts w:ascii="Arial" w:cs="Arial" w:eastAsia="Arial" w:hAnsi="Arial"/>
                <w:sz w:val="13"/>
                <w:szCs w:val="13"/>
                <w:color w:val="auto"/>
              </w:rPr>
              <w:t>61</w:t>
            </w:r>
          </w:p>
        </w:tc>
        <w:tc>
          <w:tcPr>
            <w:tcW w:w="160" w:type="dxa"/>
            <w:vAlign w:val="bottom"/>
          </w:tcPr>
          <w:p>
            <w:pPr>
              <w:spacing w:after="0"/>
              <w:rPr>
                <w:sz w:val="18"/>
                <w:szCs w:val="18"/>
                <w:color w:val="auto"/>
              </w:rPr>
            </w:pPr>
          </w:p>
        </w:tc>
        <w:tc>
          <w:tcPr>
            <w:tcW w:w="1400" w:type="dxa"/>
            <w:vAlign w:val="bottom"/>
          </w:tcPr>
          <w:p>
            <w:pPr>
              <w:jc w:val="right"/>
              <w:ind w:right="75"/>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5"/>
              <w:spacing w:after="0"/>
              <w:rPr>
                <w:sz w:val="20"/>
                <w:szCs w:val="20"/>
                <w:color w:val="auto"/>
              </w:rPr>
            </w:pPr>
            <w:r>
              <w:rPr>
                <w:rFonts w:ascii="Arial" w:cs="Arial" w:eastAsia="Arial" w:hAnsi="Arial"/>
                <w:sz w:val="13"/>
                <w:szCs w:val="13"/>
                <w:color w:val="auto"/>
              </w:rPr>
              <w:t>123</w:t>
            </w:r>
          </w:p>
        </w:tc>
        <w:tc>
          <w:tcPr>
            <w:tcW w:w="42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3"/>
                <w:szCs w:val="13"/>
                <w:color w:val="auto"/>
              </w:rPr>
              <w:t>175</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196</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394</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309</w:t>
            </w:r>
          </w:p>
        </w:tc>
      </w:tr>
      <w:tr>
        <w:trPr>
          <w:trHeight w:val="208"/>
        </w:trPr>
        <w:tc>
          <w:tcPr>
            <w:tcW w:w="5140" w:type="dxa"/>
            <w:vAlign w:val="bottom"/>
          </w:tcPr>
          <w:p>
            <w:pPr>
              <w:ind w:left="20"/>
              <w:spacing w:after="0"/>
              <w:rPr>
                <w:sz w:val="20"/>
                <w:szCs w:val="20"/>
                <w:color w:val="auto"/>
              </w:rPr>
            </w:pPr>
            <w:r>
              <w:rPr>
                <w:rFonts w:ascii="Arial" w:cs="Arial" w:eastAsia="Arial" w:hAnsi="Arial"/>
                <w:sz w:val="13"/>
                <w:szCs w:val="13"/>
                <w:color w:val="auto"/>
              </w:rPr>
              <w:t>Net income per diluted share</w:t>
            </w:r>
          </w:p>
        </w:tc>
        <w:tc>
          <w:tcPr>
            <w:tcW w:w="3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35"/>
              <w:spacing w:after="0"/>
              <w:rPr>
                <w:sz w:val="20"/>
                <w:szCs w:val="20"/>
                <w:color w:val="auto"/>
              </w:rPr>
            </w:pPr>
            <w:r>
              <w:rPr>
                <w:rFonts w:ascii="Arial" w:cs="Arial" w:eastAsia="Arial" w:hAnsi="Arial"/>
                <w:sz w:val="13"/>
                <w:szCs w:val="13"/>
                <w:color w:val="auto"/>
              </w:rPr>
              <w:t>3.06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75"/>
              <w:spacing w:after="0"/>
              <w:rPr>
                <w:sz w:val="20"/>
                <w:szCs w:val="20"/>
                <w:color w:val="auto"/>
              </w:rPr>
            </w:pPr>
            <w:r>
              <w:rPr>
                <w:rFonts w:ascii="Arial" w:cs="Arial" w:eastAsia="Arial" w:hAnsi="Arial"/>
                <w:sz w:val="13"/>
                <w:szCs w:val="13"/>
                <w:color w:val="auto"/>
              </w:rPr>
              <w:t>3.02</w:t>
            </w:r>
          </w:p>
        </w:tc>
        <w:tc>
          <w:tcPr>
            <w:tcW w:w="100" w:type="dxa"/>
            <w:vAlign w:val="bottom"/>
          </w:tcPr>
          <w:p>
            <w:pPr>
              <w:spacing w:after="0"/>
              <w:rPr>
                <w:sz w:val="18"/>
                <w:szCs w:val="18"/>
                <w:color w:val="auto"/>
              </w:rPr>
            </w:pPr>
          </w:p>
        </w:tc>
        <w:tc>
          <w:tcPr>
            <w:tcW w:w="34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15"/>
              <w:spacing w:after="0"/>
              <w:rPr>
                <w:sz w:val="20"/>
                <w:szCs w:val="20"/>
                <w:color w:val="auto"/>
              </w:rPr>
            </w:pPr>
            <w:r>
              <w:rPr>
                <w:rFonts w:ascii="Arial" w:cs="Arial" w:eastAsia="Arial" w:hAnsi="Arial"/>
                <w:sz w:val="13"/>
                <w:szCs w:val="13"/>
                <w:color w:val="auto"/>
              </w:rPr>
              <w:t>6.04</w:t>
            </w:r>
          </w:p>
        </w:tc>
        <w:tc>
          <w:tcPr>
            <w:tcW w:w="42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75"/>
              <w:spacing w:after="0"/>
              <w:rPr>
                <w:sz w:val="20"/>
                <w:szCs w:val="20"/>
                <w:color w:val="auto"/>
              </w:rPr>
            </w:pPr>
            <w:r>
              <w:rPr>
                <w:rFonts w:ascii="Arial" w:cs="Arial" w:eastAsia="Arial" w:hAnsi="Arial"/>
                <w:sz w:val="13"/>
                <w:szCs w:val="13"/>
                <w:color w:val="auto"/>
              </w:rPr>
              <w:t>4.68</w:t>
            </w:r>
          </w:p>
        </w:tc>
      </w:tr>
      <w:tr>
        <w:trPr>
          <w:trHeight w:val="234"/>
        </w:trPr>
        <w:tc>
          <w:tcPr>
            <w:tcW w:w="5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8"/>
        </w:trPr>
        <w:tc>
          <w:tcPr>
            <w:tcW w:w="5140" w:type="dxa"/>
            <w:vAlign w:val="bottom"/>
          </w:tcPr>
          <w:p>
            <w:pPr>
              <w:ind w:left="20"/>
              <w:spacing w:after="0"/>
              <w:rPr>
                <w:sz w:val="20"/>
                <w:szCs w:val="20"/>
                <w:color w:val="auto"/>
              </w:rPr>
            </w:pPr>
            <w:r>
              <w:rPr>
                <w:rFonts w:ascii="Arial" w:cs="Arial" w:eastAsia="Arial" w:hAnsi="Arial"/>
                <w:sz w:val="13"/>
                <w:szCs w:val="13"/>
                <w:b w:val="1"/>
                <w:bCs w:val="1"/>
                <w:color w:val="auto"/>
              </w:rPr>
              <w:t>Operating Statistics: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Ending total membership</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3,370,000</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4,063,000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3,370,000</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4,063,000</w:t>
            </w:r>
          </w:p>
        </w:tc>
      </w:tr>
      <w:tr>
        <w:trPr>
          <w:trHeight w:val="216"/>
        </w:trPr>
        <w:tc>
          <w:tcPr>
            <w:tcW w:w="5140" w:type="dxa"/>
            <w:vAlign w:val="bottom"/>
          </w:tcPr>
          <w:p>
            <w:pPr>
              <w:ind w:left="20"/>
              <w:spacing w:after="0"/>
              <w:rPr>
                <w:sz w:val="20"/>
                <w:szCs w:val="20"/>
                <w:color w:val="auto"/>
              </w:rPr>
            </w:pPr>
            <w:r>
              <w:rPr>
                <w:rFonts w:ascii="Arial" w:cs="Arial" w:eastAsia="Arial" w:hAnsi="Arial"/>
                <w:sz w:val="13"/>
                <w:szCs w:val="13"/>
                <w:color w:val="auto"/>
              </w:rPr>
              <w:t xml:space="preserve">MCR </w:t>
            </w:r>
            <w:r>
              <w:rPr>
                <w:rFonts w:ascii="Arial" w:cs="Arial" w:eastAsia="Arial" w:hAnsi="Arial"/>
                <w:sz w:val="17"/>
                <w:szCs w:val="17"/>
                <w:color w:val="auto"/>
                <w:vertAlign w:val="superscript"/>
              </w:rPr>
              <w:t>(1)</w:t>
            </w:r>
          </w:p>
        </w:tc>
        <w:tc>
          <w:tcPr>
            <w:tcW w:w="360" w:type="dxa"/>
            <w:vAlign w:val="bottom"/>
          </w:tcPr>
          <w:p>
            <w:pPr>
              <w:spacing w:after="0"/>
              <w:rPr>
                <w:sz w:val="18"/>
                <w:szCs w:val="18"/>
                <w:color w:val="auto"/>
              </w:rPr>
            </w:pPr>
          </w:p>
        </w:tc>
        <w:tc>
          <w:tcPr>
            <w:tcW w:w="1200" w:type="dxa"/>
            <w:vAlign w:val="bottom"/>
          </w:tcPr>
          <w:p>
            <w:pPr>
              <w:jc w:val="right"/>
              <w:ind w:right="15"/>
              <w:spacing w:after="0"/>
              <w:rPr>
                <w:sz w:val="20"/>
                <w:szCs w:val="20"/>
                <w:color w:val="auto"/>
              </w:rPr>
            </w:pPr>
            <w:r>
              <w:rPr>
                <w:rFonts w:ascii="Arial" w:cs="Arial" w:eastAsia="Arial" w:hAnsi="Arial"/>
                <w:sz w:val="13"/>
                <w:szCs w:val="13"/>
                <w:color w:val="auto"/>
              </w:rPr>
              <w:t>85.6%</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85.3%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85.5%</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85.7%</w:t>
            </w: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G&amp;A ratio </w:t>
            </w:r>
            <w:r>
              <w:rPr>
                <w:rFonts w:ascii="Arial" w:cs="Arial" w:eastAsia="Arial" w:hAnsi="Arial"/>
                <w:sz w:val="17"/>
                <w:szCs w:val="17"/>
                <w:color w:val="auto"/>
                <w:vertAlign w:val="superscript"/>
              </w:rPr>
              <w:t>(2)</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7.8%</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r>
      <w:tr>
        <w:trPr>
          <w:trHeight w:val="216"/>
        </w:trPr>
        <w:tc>
          <w:tcPr>
            <w:tcW w:w="5140" w:type="dxa"/>
            <w:vAlign w:val="bottom"/>
          </w:tcPr>
          <w:p>
            <w:pPr>
              <w:ind w:left="20"/>
              <w:spacing w:after="0"/>
              <w:rPr>
                <w:sz w:val="20"/>
                <w:szCs w:val="20"/>
                <w:color w:val="auto"/>
              </w:rPr>
            </w:pPr>
            <w:r>
              <w:rPr>
                <w:rFonts w:ascii="Arial" w:cs="Arial" w:eastAsia="Arial" w:hAnsi="Arial"/>
                <w:sz w:val="13"/>
                <w:szCs w:val="13"/>
                <w:color w:val="auto"/>
              </w:rPr>
              <w:t xml:space="preserve">Premium tax ratio </w:t>
            </w:r>
            <w:r>
              <w:rPr>
                <w:rFonts w:ascii="Arial" w:cs="Arial" w:eastAsia="Arial" w:hAnsi="Arial"/>
                <w:sz w:val="17"/>
                <w:szCs w:val="17"/>
                <w:color w:val="auto"/>
                <w:vertAlign w:val="superscript"/>
              </w:rPr>
              <w:t>(1)</w:t>
            </w:r>
          </w:p>
        </w:tc>
        <w:tc>
          <w:tcPr>
            <w:tcW w:w="360" w:type="dxa"/>
            <w:vAlign w:val="bottom"/>
          </w:tcPr>
          <w:p>
            <w:pPr>
              <w:spacing w:after="0"/>
              <w:rPr>
                <w:sz w:val="18"/>
                <w:szCs w:val="18"/>
                <w:color w:val="auto"/>
              </w:rPr>
            </w:pPr>
          </w:p>
        </w:tc>
        <w:tc>
          <w:tcPr>
            <w:tcW w:w="1200" w:type="dxa"/>
            <w:vAlign w:val="bottom"/>
          </w:tcPr>
          <w:p>
            <w:pPr>
              <w:jc w:val="right"/>
              <w:ind w:right="15"/>
              <w:spacing w:after="0"/>
              <w:rPr>
                <w:sz w:val="20"/>
                <w:szCs w:val="20"/>
                <w:color w:val="auto"/>
              </w:rPr>
            </w:pPr>
            <w:r>
              <w:rPr>
                <w:rFonts w:ascii="Arial" w:cs="Arial" w:eastAsia="Arial" w:hAnsi="Arial"/>
                <w:sz w:val="13"/>
                <w:szCs w:val="13"/>
                <w:color w:val="auto"/>
              </w:rPr>
              <w:t>2.6%</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3.0%</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income tax expense rate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24.0%</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w:t>
            </w:r>
          </w:p>
        </w:tc>
      </w:tr>
      <w:tr>
        <w:trPr>
          <w:trHeight w:val="258"/>
        </w:trPr>
        <w:tc>
          <w:tcPr>
            <w:tcW w:w="5140" w:type="dxa"/>
            <w:vAlign w:val="bottom"/>
          </w:tcPr>
          <w:p>
            <w:pPr>
              <w:ind w:left="20"/>
              <w:spacing w:after="0"/>
              <w:rPr>
                <w:sz w:val="20"/>
                <w:szCs w:val="20"/>
                <w:color w:val="auto"/>
              </w:rPr>
            </w:pPr>
            <w:r>
              <w:rPr>
                <w:rFonts w:ascii="Arial" w:cs="Arial" w:eastAsia="Arial" w:hAnsi="Arial"/>
                <w:sz w:val="13"/>
                <w:szCs w:val="13"/>
                <w:color w:val="auto"/>
              </w:rPr>
              <w:t xml:space="preserve">After-tax margin </w:t>
            </w:r>
            <w:r>
              <w:rPr>
                <w:rFonts w:ascii="Arial" w:cs="Arial" w:eastAsia="Arial" w:hAnsi="Arial"/>
                <w:sz w:val="17"/>
                <w:szCs w:val="17"/>
                <w:color w:val="auto"/>
                <w:vertAlign w:val="superscript"/>
              </w:rPr>
              <w:t>(2)</w:t>
            </w:r>
          </w:p>
        </w:tc>
        <w:tc>
          <w:tcPr>
            <w:tcW w:w="36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3"/>
                <w:szCs w:val="13"/>
                <w:color w:val="auto"/>
              </w:rPr>
              <w:t>4.7%</w:t>
            </w: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4.7%</w:t>
            </w:r>
          </w:p>
        </w:tc>
        <w:tc>
          <w:tcPr>
            <w:tcW w:w="4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72"/>
        </w:trPr>
        <w:tc>
          <w:tcPr>
            <w:tcW w:w="5140" w:type="dxa"/>
            <w:vAlign w:val="bottom"/>
          </w:tcPr>
          <w:p>
            <w:pPr>
              <w:spacing w:after="0"/>
              <w:rPr>
                <w:sz w:val="20"/>
                <w:szCs w:val="20"/>
                <w:color w:val="auto"/>
              </w:rPr>
            </w:pPr>
            <w:r>
              <w:rPr>
                <w:rFonts w:ascii="Arial" w:cs="Arial" w:eastAsia="Arial" w:hAnsi="Arial"/>
                <w:sz w:val="14"/>
                <w:szCs w:val="14"/>
                <w:color w:val="auto"/>
              </w:rPr>
              <w:t>________________________</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89" w:lineRule="exact"/>
        <w:rPr>
          <w:sz w:val="20"/>
          <w:szCs w:val="20"/>
          <w:color w:val="auto"/>
        </w:rPr>
      </w:pPr>
    </w:p>
    <w:p>
      <w:pPr>
        <w:ind w:left="260" w:hanging="254"/>
        <w:spacing w:after="0"/>
        <w:tabs>
          <w:tab w:leader="none" w:pos="2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MCR represents medical care costs as a percentage of premium revenue; premium tax ratio represents premium tax expenses as a percentage of premium revenue plus premium tax revenue.</w:t>
      </w:r>
    </w:p>
    <w:p>
      <w:pPr>
        <w:spacing w:after="0" w:line="1" w:lineRule="exact"/>
        <w:rPr>
          <w:rFonts w:ascii="Arial" w:cs="Arial" w:eastAsia="Arial" w:hAnsi="Arial"/>
          <w:sz w:val="13"/>
          <w:szCs w:val="13"/>
          <w:color w:val="auto"/>
        </w:rPr>
      </w:pPr>
    </w:p>
    <w:p>
      <w:pPr>
        <w:ind w:left="260" w:hanging="254"/>
        <w:spacing w:after="0"/>
        <w:tabs>
          <w:tab w:leader="none" w:pos="2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After-tax margin represents net income as a percentage of total revenue. G&amp;A ratio represents general and administrative expenses as a percentage of total revenue.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CONSOLIDATED RESULTS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color w:val="828282"/>
        </w:rPr>
        <w:t>NET INCOME AND OPERATING INCOME</w:t>
      </w:r>
    </w:p>
    <w:p>
      <w:pPr>
        <w:spacing w:after="0" w:line="91"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Net income in the second quarter of 2019 amounted to $196 million, or $3.06 per diluted share, compared with $202 million, or $3.02 per diluted share, in the second quarter of 2018. Current quarter net income was driven by lower operating income, which amounted to $265 million in the second quarter of 2019, compared with $342 million in the second quarter of 2018, mainly resulting from the year-over-year decline in premium revenue.</w:t>
      </w:r>
    </w:p>
    <w:p>
      <w:pPr>
        <w:spacing w:after="0" w:line="156" w:lineRule="exact"/>
        <w:rPr>
          <w:sz w:val="20"/>
          <w:szCs w:val="20"/>
          <w:color w:val="auto"/>
        </w:rPr>
      </w:pPr>
    </w:p>
    <w:p>
      <w:pPr>
        <w:ind w:right="120"/>
        <w:spacing w:after="0" w:line="273" w:lineRule="auto"/>
        <w:rPr>
          <w:sz w:val="20"/>
          <w:szCs w:val="20"/>
          <w:color w:val="auto"/>
        </w:rPr>
      </w:pPr>
      <w:r>
        <w:rPr>
          <w:rFonts w:ascii="Arial" w:cs="Arial" w:eastAsia="Arial" w:hAnsi="Arial"/>
          <w:sz w:val="14"/>
          <w:szCs w:val="14"/>
          <w:color w:val="auto"/>
        </w:rPr>
        <w:t>Net income in the six months ended June 30, 2019, amounted to $394 million, or $6.04 per diluted share, compared with $309 million, or $4.68 per diluted share, in the six months ended June 30, 2018. Operating income amounted to $545 million in the six months ended June 30, 2019, compared with $564 million in the six months ended June 30, 2018.</w:t>
      </w:r>
    </w:p>
    <w:p>
      <w:pPr>
        <w:spacing w:after="0" w:line="151" w:lineRule="exact"/>
        <w:rPr>
          <w:sz w:val="20"/>
          <w:szCs w:val="20"/>
          <w:color w:val="auto"/>
        </w:rPr>
      </w:pPr>
    </w:p>
    <w:p>
      <w:pPr>
        <w:ind w:right="60"/>
        <w:spacing w:after="0" w:line="273" w:lineRule="auto"/>
        <w:rPr>
          <w:sz w:val="20"/>
          <w:szCs w:val="20"/>
          <w:color w:val="auto"/>
        </w:rPr>
      </w:pPr>
      <w:r>
        <w:rPr>
          <w:rFonts w:ascii="Arial" w:cs="Arial" w:eastAsia="Arial" w:hAnsi="Arial"/>
          <w:sz w:val="14"/>
          <w:szCs w:val="14"/>
          <w:color w:val="auto"/>
        </w:rPr>
        <w:t>In both the second quarter and six months ended June 30, 2019, earnings per diluted share improved due to the reduction of the dilutive impact of the 1.125% Warrants, as a result of the termination transactions that settled</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32</w:t>
      </w:r>
    </w:p>
    <w:p>
      <w:pPr>
        <w:sectPr>
          <w:pgSz w:w="11900" w:h="16838" w:orient="portrait"/>
          <w:cols w:equalWidth="0" w:num="1">
            <w:col w:w="11460"/>
          </w:cols>
          <w:pgMar w:left="220" w:top="140" w:right="21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between June 2018 and June 2019. See further discussion in Notes to Consolidated Financial Statements, Note 9, “Stockholders' Equity.”</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828282"/>
        </w:rPr>
        <w:t>PREMIUM REVENUE</w:t>
      </w:r>
    </w:p>
    <w:p>
      <w:pPr>
        <w:spacing w:after="0" w:line="91"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Premium revenue decreased $465 million in the second quarter of 2019, when compared with the second quarter of 2018. Member months declined 18%, partially offset by a per-member per-month (“PMPM”) revenue increase of 8%. Premium revenue decreased $836 million in the six months ended June 30, 2019, when compared with the six months ended June 30, 2018. Member months declined 18%, partially offset by a PMPM revenue increase of 9%. In both periods, lower premium revenue was primarily in the Medicaid and Marketplace programs.</w:t>
      </w:r>
    </w:p>
    <w:p>
      <w:pPr>
        <w:spacing w:after="0" w:line="159"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decline in Medicaid premium revenue was driven primarily by the loss in membership due to the previously announced loss of the New Mexico Medicaid contract, along with the resizing of the Florida Medicaid contract as reported throughout 2018, partially offset by Medicaid premium rate increases.</w:t>
      </w:r>
    </w:p>
    <w:p>
      <w:pPr>
        <w:spacing w:after="0" w:line="151" w:lineRule="exact"/>
        <w:rPr>
          <w:sz w:val="20"/>
          <w:szCs w:val="20"/>
          <w:color w:val="auto"/>
        </w:rPr>
      </w:pPr>
    </w:p>
    <w:p>
      <w:pPr>
        <w:ind w:right="300"/>
        <w:spacing w:after="0" w:line="273" w:lineRule="auto"/>
        <w:rPr>
          <w:sz w:val="20"/>
          <w:szCs w:val="20"/>
          <w:color w:val="auto"/>
        </w:rPr>
      </w:pPr>
      <w:r>
        <w:rPr>
          <w:rFonts w:ascii="Arial" w:cs="Arial" w:eastAsia="Arial" w:hAnsi="Arial"/>
          <w:sz w:val="14"/>
          <w:szCs w:val="14"/>
          <w:color w:val="auto"/>
        </w:rPr>
        <w:t>The decline in Marketplace premium revenue was driven primarily by a relatively smaller benefit from prior year Marketplace risk adjustment in 2019 compared with 2018 due to declining Marketplace membership, partially offset by Marketplace premium rate increases.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828282"/>
        </w:rPr>
        <w:t>MEDICAL CARE RATIO</w:t>
      </w:r>
    </w:p>
    <w:p>
      <w:pPr>
        <w:spacing w:after="0" w:line="91" w:lineRule="exact"/>
        <w:rPr>
          <w:sz w:val="20"/>
          <w:szCs w:val="20"/>
          <w:color w:val="auto"/>
        </w:rPr>
      </w:pPr>
    </w:p>
    <w:p>
      <w:pPr>
        <w:ind w:right="300"/>
        <w:spacing w:after="0" w:line="273" w:lineRule="auto"/>
        <w:rPr>
          <w:sz w:val="20"/>
          <w:szCs w:val="20"/>
          <w:color w:val="auto"/>
        </w:rPr>
      </w:pPr>
      <w:r>
        <w:rPr>
          <w:rFonts w:ascii="Arial" w:cs="Arial" w:eastAsia="Arial" w:hAnsi="Arial"/>
          <w:sz w:val="14"/>
          <w:szCs w:val="14"/>
          <w:color w:val="auto"/>
        </w:rPr>
        <w:t>The consolidated MCR increased to 85.6% in the second quarter of 2019, from 85.3% in the second quarter of 2018, and decreased to 85.5% in the six months ended June 30, 2019, from 85.7% in the six months ended June 30, 2018.</w:t>
      </w:r>
    </w:p>
    <w:p>
      <w:pPr>
        <w:spacing w:after="0" w:line="151" w:lineRule="exact"/>
        <w:rPr>
          <w:sz w:val="20"/>
          <w:szCs w:val="20"/>
          <w:color w:val="auto"/>
        </w:rPr>
      </w:pPr>
    </w:p>
    <w:p>
      <w:pPr>
        <w:ind w:right="180"/>
        <w:spacing w:after="0" w:line="273" w:lineRule="auto"/>
        <w:rPr>
          <w:sz w:val="20"/>
          <w:szCs w:val="20"/>
          <w:color w:val="auto"/>
        </w:rPr>
      </w:pPr>
      <w:r>
        <w:rPr>
          <w:rFonts w:ascii="Arial" w:cs="Arial" w:eastAsia="Arial" w:hAnsi="Arial"/>
          <w:sz w:val="14"/>
          <w:szCs w:val="14"/>
          <w:color w:val="auto"/>
        </w:rPr>
        <w:t>The increased MCR in the second quarter of 2019 was mainly due to a relatively smaller benefit from prior year Marketplace risk adjustment in 2019 compared with 2018, and the impact of higher acuity Marketplace membership, partially offset by the impact of Marketplace rate increases and increased premiums tied to risk scores.</w:t>
      </w:r>
    </w:p>
    <w:p>
      <w:pPr>
        <w:spacing w:after="0" w:line="151" w:lineRule="exact"/>
        <w:rPr>
          <w:sz w:val="20"/>
          <w:szCs w:val="20"/>
          <w:color w:val="auto"/>
        </w:rPr>
      </w:pPr>
    </w:p>
    <w:p>
      <w:pPr>
        <w:jc w:val="both"/>
        <w:ind w:right="120"/>
        <w:spacing w:after="0" w:line="265" w:lineRule="auto"/>
        <w:rPr>
          <w:sz w:val="20"/>
          <w:szCs w:val="20"/>
          <w:color w:val="auto"/>
        </w:rPr>
      </w:pPr>
      <w:r>
        <w:rPr>
          <w:rFonts w:ascii="Arial" w:cs="Arial" w:eastAsia="Arial" w:hAnsi="Arial"/>
          <w:sz w:val="14"/>
          <w:szCs w:val="14"/>
          <w:color w:val="auto"/>
        </w:rPr>
        <w:t>The improved MCR in the six months ended June 30, 2019 was mainly due to improvement in the TANF and ABD programs, partially offset by an increased MCR in the Medicaid Expansion program, primarily in California. In addition, the MCR for the six months ended June 30, 2018, included the benefit of the cost sharing (“CSR”) reimbursement related to 2017 dates of service, described in further detail below.</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828282"/>
        </w:rPr>
        <w:t>PREMIUM TAX REVENUE AND EXPENSES</w:t>
      </w:r>
    </w:p>
    <w:p>
      <w:pPr>
        <w:spacing w:after="0" w:line="178" w:lineRule="exact"/>
        <w:rPr>
          <w:sz w:val="20"/>
          <w:szCs w:val="20"/>
          <w:color w:val="auto"/>
        </w:rPr>
      </w:pPr>
    </w:p>
    <w:p>
      <w:pPr>
        <w:jc w:val="both"/>
        <w:ind w:right="120"/>
        <w:spacing w:after="0" w:line="265" w:lineRule="auto"/>
        <w:rPr>
          <w:sz w:val="20"/>
          <w:szCs w:val="20"/>
          <w:color w:val="auto"/>
        </w:rPr>
      </w:pPr>
      <w:r>
        <w:rPr>
          <w:rFonts w:ascii="Arial" w:cs="Arial" w:eastAsia="Arial" w:hAnsi="Arial"/>
          <w:sz w:val="14"/>
          <w:szCs w:val="14"/>
          <w:color w:val="auto"/>
        </w:rPr>
        <w:t>The premium tax ratio (premium tax expense as a percentage of premium revenue plus premium tax revenue) was 2.6% in the second quarter of 2019, compared with 2.3% in the second quarter of 2018; and 3.0% compared with 2.3% for the six months ended June 30, 2019 and 2018, respectively. The increase is mainly attributed to the state of Michigan’s implementation of an insurance provider assessment in 2019.</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828282"/>
        </w:rPr>
        <w:t>INVESTMENT INCOME AND OTHER REVENUE</w:t>
      </w:r>
    </w:p>
    <w:p>
      <w:pPr>
        <w:spacing w:after="0" w:line="91" w:lineRule="exact"/>
        <w:rPr>
          <w:sz w:val="20"/>
          <w:szCs w:val="20"/>
          <w:color w:val="auto"/>
        </w:rPr>
      </w:pPr>
    </w:p>
    <w:p>
      <w:pPr>
        <w:ind w:right="60"/>
        <w:spacing w:after="0" w:line="273" w:lineRule="auto"/>
        <w:rPr>
          <w:sz w:val="20"/>
          <w:szCs w:val="20"/>
          <w:color w:val="auto"/>
        </w:rPr>
      </w:pPr>
      <w:r>
        <w:rPr>
          <w:rFonts w:ascii="Arial" w:cs="Arial" w:eastAsia="Arial" w:hAnsi="Arial"/>
          <w:sz w:val="14"/>
          <w:szCs w:val="14"/>
          <w:color w:val="auto"/>
        </w:rPr>
        <w:t>Investment income and other revenue increased to $34 million in the second quarter of 2019, compared with $32 million in the second quarter of 2018, and increased to $63 million in the six months ended June 30, 2019, compared with $56 million in the six months ended June 30, 2018, mainly due to improved annualized portfolio yields in both periods.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828282"/>
        </w:rPr>
        <w:t>G&amp;A EXPENSES</w:t>
      </w:r>
    </w:p>
    <w:p>
      <w:pPr>
        <w:spacing w:after="0" w:line="91" w:lineRule="exact"/>
        <w:rPr>
          <w:sz w:val="20"/>
          <w:szCs w:val="20"/>
          <w:color w:val="auto"/>
        </w:rPr>
      </w:pPr>
    </w:p>
    <w:p>
      <w:pPr>
        <w:ind w:right="160"/>
        <w:spacing w:after="0" w:line="273" w:lineRule="auto"/>
        <w:rPr>
          <w:sz w:val="20"/>
          <w:szCs w:val="20"/>
          <w:color w:val="auto"/>
        </w:rPr>
      </w:pPr>
      <w:r>
        <w:rPr>
          <w:rFonts w:ascii="Arial" w:cs="Arial" w:eastAsia="Arial" w:hAnsi="Arial"/>
          <w:sz w:val="14"/>
          <w:szCs w:val="14"/>
          <w:color w:val="auto"/>
        </w:rPr>
        <w:t>The G&amp;A expense ratio increased to 7.8% in the second quarter of 2019, from 6.9% in the second quarter of 2018, and increased to 7.6% in the six months ended June 30, 2019, compared with 7.2% in the six months ended June 30, 2018. This increase was primarily due to the impact of lower overall revenues in 2019.</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828282"/>
        </w:rPr>
        <w:t>HEALTH INSURER FEES</w:t>
      </w:r>
    </w:p>
    <w:p>
      <w:pPr>
        <w:spacing w:after="0" w:line="178" w:lineRule="exact"/>
        <w:rPr>
          <w:sz w:val="20"/>
          <w:szCs w:val="20"/>
          <w:color w:val="auto"/>
        </w:rPr>
      </w:pPr>
    </w:p>
    <w:p>
      <w:pPr>
        <w:ind w:right="220"/>
        <w:spacing w:after="0" w:line="273" w:lineRule="auto"/>
        <w:rPr>
          <w:sz w:val="20"/>
          <w:szCs w:val="20"/>
          <w:color w:val="auto"/>
        </w:rPr>
      </w:pPr>
      <w:r>
        <w:rPr>
          <w:rFonts w:ascii="Arial" w:cs="Arial" w:eastAsia="Arial" w:hAnsi="Arial"/>
          <w:sz w:val="14"/>
          <w:szCs w:val="14"/>
          <w:color w:val="auto"/>
        </w:rPr>
        <w:t>There are no health insurer fees (“HIF”) expensed or reimbursed in 2019 due to the moratorium under Public Law No. 115-120. In the second quarter of 2018 and the six months ended June 30, 2018, the HIF amounted to $99 million and $174 million, respectively, and HIF reimbursements amounted to $104 million and $165 million, respectively.</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33</w:t>
      </w:r>
    </w:p>
    <w:p>
      <w:pPr>
        <w:sectPr>
          <w:pgSz w:w="11900" w:h="16838" w:orient="portrait"/>
          <w:cols w:equalWidth="0" w:num="1">
            <w:col w:w="11460"/>
          </w:cols>
          <w:pgMar w:left="220" w:top="140" w:right="21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828282"/>
        </w:rPr>
        <w:t>RESTRUCTURING COSTS</w:t>
      </w:r>
    </w:p>
    <w:p>
      <w:pPr>
        <w:spacing w:after="0" w:line="91"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We incurred restructuring costs of $2 million and $5 million in the second quarter of 2019 and the six months ended June 30, 2019, respectively, mainly due to true-ups of lease terminations recorded in our 2017 Restructuring Plan. In the second quarter of 2018 and the six months ended June 30, 2018, we incurred restructuring costs of $8 million and $33 million, respectively, related to our 2017 Restructuring Plan.</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828282"/>
        </w:rPr>
        <w:t>INTEREST EXPENSE</w:t>
      </w:r>
    </w:p>
    <w:p>
      <w:pPr>
        <w:spacing w:after="0" w:line="178"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Interest expense declined to $22 million in the second quarter of 2019, from $32 million in the second quarter of 2018, and declined to $45 million in the six months ended June 30, 2019, from $65 million in the six months ended June 30, 2018. As further described below in “Liquidity,” we reduced the principal amount outstanding of our 1.125% Convertible Notes by $185 million in the six months ended June 30, 2019, and reduced total debt by $759 million in the year ended December 31, 2018. The decrease in interest expense in 2019 was partially offset by interest expense attributable to $220 million borrowed under our Term Loan Facility in the six months ended June 30, 2019.</w:t>
      </w:r>
    </w:p>
    <w:p>
      <w:pPr>
        <w:spacing w:after="0" w:line="159"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Interest expense includes non-cash interest expense relating primarily to the amortization of the discount on convertible senior notes, which amounted to $1 million and $6 million in the second quarter of 2019, and 2018, respectively, and $4 million and $13 million in the six months ended June 30, 2019 and 2018, respectively. The decline in the first half of 2019 is due to repayment of our convertible senior notes throughout 2018 and in the first half of 2019. See further discussion in Notes to Consolidated Financial Statements, Note 7, “Debt.”</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828282"/>
        </w:rPr>
        <w:t>OTHER (INCOME) EXPENSES, NET</w:t>
      </w:r>
    </w:p>
    <w:p>
      <w:pPr>
        <w:spacing w:after="0" w:line="91"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In the second quarter of 2019 and the six months ended June 30, 2019, we recognized debt extinguishment gains of $14 million and $17 million, respectively, and in the second quarter of 2018 and the six months ended June 30, 2018, we recognized debt extinguishment losses of $5 million and $15 million, respectively, in connection with convertible senior notes repayment transactions. The gain in 2019 was due to a favorable mark to market valuation on the partial termination of the Call Spread Overlay executed in connection with the related debt extinguishment. See further discussion in Notes to Consolidated Financial Statements, Note 7, “Debt.”</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828282"/>
        </w:rPr>
        <w:t>INCOME TAXES</w:t>
      </w:r>
    </w:p>
    <w:p>
      <w:pPr>
        <w:spacing w:after="0" w:line="91"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The provision for income taxes was recorded at an effective rate of 24.0% in the second quarter of 2019, compared with 33.8% in the second quarter of 2018, and 23.9% in the six months ended June 30, 2019, compared with 36.2% in the six months ended June 30, 2018. The effective tax rate for 2019 differs from 2018 as a result of higher non-deductible expenses in 2018, primarily related to the non-deductible HIF. The HIF is not applicable in 2019 due to the moratorium under Public Law No. 115-120.</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828282"/>
        </w:rPr>
        <w:t>SUMMARY OF NON-RUN RATE ITEMS</w:t>
      </w:r>
    </w:p>
    <w:p>
      <w:pPr>
        <w:spacing w:after="0" w:line="91" w:lineRule="exact"/>
        <w:rPr>
          <w:sz w:val="20"/>
          <w:szCs w:val="20"/>
          <w:color w:val="auto"/>
        </w:rPr>
      </w:pPr>
    </w:p>
    <w:p>
      <w:pPr>
        <w:ind w:right="460"/>
        <w:spacing w:after="0" w:line="273" w:lineRule="auto"/>
        <w:rPr>
          <w:sz w:val="20"/>
          <w:szCs w:val="20"/>
          <w:color w:val="auto"/>
        </w:rPr>
      </w:pPr>
      <w:r>
        <w:rPr>
          <w:rFonts w:ascii="Arial" w:cs="Arial" w:eastAsia="Arial" w:hAnsi="Arial"/>
          <w:sz w:val="14"/>
          <w:szCs w:val="14"/>
          <w:color w:val="auto"/>
        </w:rPr>
        <w:t>The table below summarizes the impact of certain expenses and other items that management believes are not indicative of longer-term business trends and operations. The individual items presented below increase (decrease) income before income tax expense.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3"/>
                <w:szCs w:val="13"/>
                <w:b w:val="1"/>
                <w:bCs w:val="1"/>
                <w:color w:val="auto"/>
              </w:rPr>
              <w:t>Three Months Ended June 30,</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Six Months Ended June 30,</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2019</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w w:val="89"/>
              </w:rPr>
              <w:t>2018</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2019</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2018</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Per Diluted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Per Diluted</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Per Diluted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b w:val="1"/>
                <w:bCs w:val="1"/>
                <w:color w:val="auto"/>
                <w:w w:val="96"/>
              </w:rPr>
              <w:t>Per Diluted</w:t>
            </w:r>
          </w:p>
        </w:tc>
        <w:tc>
          <w:tcPr>
            <w:tcW w:w="0" w:type="dxa"/>
            <w:vAlign w:val="bottom"/>
          </w:tcPr>
          <w:p>
            <w:pPr>
              <w:spacing w:after="0"/>
              <w:rPr>
                <w:sz w:val="1"/>
                <w:szCs w:val="1"/>
                <w:color w:val="auto"/>
              </w:rPr>
            </w:pPr>
          </w:p>
        </w:tc>
      </w:tr>
      <w:tr>
        <w:trPr>
          <w:trHeight w:val="187"/>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20"/>
              <w:spacing w:after="0" w:line="187" w:lineRule="exact"/>
              <w:rPr>
                <w:sz w:val="20"/>
                <w:szCs w:val="20"/>
                <w:color w:val="auto"/>
              </w:rPr>
            </w:pPr>
            <w:r>
              <w:rPr>
                <w:rFonts w:ascii="Arial" w:cs="Arial" w:eastAsia="Arial" w:hAnsi="Arial"/>
                <w:sz w:val="13"/>
                <w:szCs w:val="13"/>
                <w:b w:val="1"/>
                <w:bCs w:val="1"/>
                <w:color w:val="auto"/>
                <w:w w:val="93"/>
              </w:rPr>
              <w:t xml:space="preserve">Share </w:t>
            </w:r>
            <w:r>
              <w:rPr>
                <w:rFonts w:ascii="Arial" w:cs="Arial" w:eastAsia="Arial" w:hAnsi="Arial"/>
                <w:sz w:val="17"/>
                <w:szCs w:val="17"/>
                <w:b w:val="1"/>
                <w:bCs w:val="1"/>
                <w:color w:val="auto"/>
                <w:w w:val="93"/>
                <w:vertAlign w:val="superscript"/>
              </w:rPr>
              <w:t>(1)</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40"/>
              <w:spacing w:after="0" w:line="187" w:lineRule="exact"/>
              <w:rPr>
                <w:sz w:val="20"/>
                <w:szCs w:val="20"/>
                <w:color w:val="auto"/>
              </w:rPr>
            </w:pPr>
            <w:r>
              <w:rPr>
                <w:rFonts w:ascii="Arial" w:cs="Arial" w:eastAsia="Arial" w:hAnsi="Arial"/>
                <w:sz w:val="13"/>
                <w:szCs w:val="13"/>
                <w:b w:val="1"/>
                <w:bCs w:val="1"/>
                <w:color w:val="auto"/>
                <w:w w:val="93"/>
              </w:rPr>
              <w:t xml:space="preserve">Share </w:t>
            </w:r>
            <w:r>
              <w:rPr>
                <w:rFonts w:ascii="Arial" w:cs="Arial" w:eastAsia="Arial" w:hAnsi="Arial"/>
                <w:sz w:val="17"/>
                <w:szCs w:val="17"/>
                <w:b w:val="1"/>
                <w:bCs w:val="1"/>
                <w:color w:val="auto"/>
                <w:w w:val="93"/>
                <w:vertAlign w:val="superscript"/>
              </w:rPr>
              <w:t>(1)</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100"/>
              <w:spacing w:after="0" w:line="187" w:lineRule="exact"/>
              <w:rPr>
                <w:sz w:val="20"/>
                <w:szCs w:val="20"/>
                <w:color w:val="auto"/>
              </w:rPr>
            </w:pPr>
            <w:r>
              <w:rPr>
                <w:rFonts w:ascii="Arial" w:cs="Arial" w:eastAsia="Arial" w:hAnsi="Arial"/>
                <w:sz w:val="13"/>
                <w:szCs w:val="13"/>
                <w:b w:val="1"/>
                <w:bCs w:val="1"/>
                <w:color w:val="auto"/>
              </w:rPr>
              <w:t xml:space="preserve">Share </w:t>
            </w:r>
            <w:r>
              <w:rPr>
                <w:rFonts w:ascii="Arial" w:cs="Arial" w:eastAsia="Arial" w:hAnsi="Arial"/>
                <w:sz w:val="17"/>
                <w:szCs w:val="17"/>
                <w:b w:val="1"/>
                <w:bCs w:val="1"/>
                <w:color w:val="auto"/>
                <w:vertAlign w:val="superscript"/>
              </w:rPr>
              <w:t>(1)</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5"/>
              <w:spacing w:after="0" w:line="187" w:lineRule="exact"/>
              <w:rPr>
                <w:sz w:val="20"/>
                <w:szCs w:val="20"/>
                <w:color w:val="auto"/>
              </w:rPr>
            </w:pPr>
            <w:r>
              <w:rPr>
                <w:rFonts w:ascii="Arial" w:cs="Arial" w:eastAsia="Arial" w:hAnsi="Arial"/>
                <w:sz w:val="13"/>
                <w:szCs w:val="13"/>
                <w:b w:val="1"/>
                <w:bCs w:val="1"/>
                <w:color w:val="auto"/>
              </w:rPr>
              <w:t xml:space="preserve">Share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88"/>
        </w:trPr>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80" w:type="dxa"/>
            <w:vAlign w:val="bottom"/>
            <w:gridSpan w:val="12"/>
          </w:tcPr>
          <w:p>
            <w:pPr>
              <w:ind w:left="420"/>
              <w:spacing w:after="0"/>
              <w:rPr>
                <w:sz w:val="20"/>
                <w:szCs w:val="20"/>
                <w:color w:val="auto"/>
              </w:rPr>
            </w:pPr>
            <w:r>
              <w:rPr>
                <w:rFonts w:ascii="Arial" w:cs="Arial" w:eastAsia="Arial" w:hAnsi="Arial"/>
                <w:sz w:val="13"/>
                <w:szCs w:val="13"/>
                <w:b w:val="1"/>
                <w:bCs w:val="1"/>
                <w:i w:val="1"/>
                <w:iCs w:val="1"/>
                <w:color w:val="auto"/>
              </w:rPr>
              <w:t>(In millions except per diluted share amounts)</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 costs</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(0.10)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(0.39)</w:t>
            </w:r>
          </w:p>
        </w:tc>
        <w:tc>
          <w:tcPr>
            <w:tcW w:w="0" w:type="dxa"/>
            <w:vAlign w:val="bottom"/>
          </w:tcPr>
          <w:p>
            <w:pPr>
              <w:spacing w:after="0"/>
              <w:rPr>
                <w:sz w:val="1"/>
                <w:szCs w:val="1"/>
                <w:color w:val="auto"/>
              </w:rPr>
            </w:pPr>
          </w:p>
        </w:tc>
      </w:tr>
      <w:tr>
        <w:trPr>
          <w:trHeight w:val="208"/>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Gain (loss) on debt extinguishment</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0.17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(0.06)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0.21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(0.21)</w:t>
            </w:r>
          </w:p>
        </w:tc>
        <w:tc>
          <w:tcPr>
            <w:tcW w:w="0" w:type="dxa"/>
            <w:vAlign w:val="bottom"/>
          </w:tcPr>
          <w:p>
            <w:pPr>
              <w:spacing w:after="0"/>
              <w:rPr>
                <w:sz w:val="1"/>
                <w:szCs w:val="1"/>
                <w:color w:val="auto"/>
              </w:rPr>
            </w:pPr>
          </w:p>
        </w:tc>
      </w:tr>
      <w:tr>
        <w:trPr>
          <w:trHeight w:val="185"/>
        </w:trPr>
        <w:tc>
          <w:tcPr>
            <w:tcW w:w="33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0.15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(0.16)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0.16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jc w:val="right"/>
              <w:ind w:right="1753"/>
              <w:spacing w:after="0"/>
              <w:rPr>
                <w:sz w:val="20"/>
                <w:szCs w:val="20"/>
                <w:color w:val="auto"/>
              </w:rPr>
            </w:pPr>
            <w:r>
              <w:rPr>
                <w:rFonts w:ascii="Arial" w:cs="Arial" w:eastAsia="Arial" w:hAnsi="Arial"/>
                <w:sz w:val="14"/>
                <w:szCs w:val="14"/>
                <w:color w:val="auto"/>
              </w:rPr>
              <w:t>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3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60" w:right="200" w:hanging="254"/>
        <w:spacing w:after="0" w:line="267" w:lineRule="auto"/>
        <w:tabs>
          <w:tab w:leader="none" w:pos="260" w:val="left"/>
        </w:tabs>
        <w:numPr>
          <w:ilvl w:val="0"/>
          <w:numId w:val="12"/>
        </w:numPr>
        <w:rPr>
          <w:rFonts w:ascii="Arial" w:cs="Arial" w:eastAsia="Arial" w:hAnsi="Arial"/>
          <w:sz w:val="14"/>
          <w:szCs w:val="14"/>
          <w:color w:val="auto"/>
        </w:rPr>
      </w:pPr>
      <w:r>
        <w:rPr>
          <w:rFonts w:ascii="Arial" w:cs="Arial" w:eastAsia="Arial" w:hAnsi="Arial"/>
          <w:sz w:val="13"/>
          <w:szCs w:val="13"/>
          <w:color w:val="auto"/>
        </w:rPr>
        <w:t>Except for permanent differences between GAAP and tax (such as certain expenses that are not deductible for tax purposes), per diluted share amounts are generally calculated at the statutory income tax rate of 22.6% and 22% for 2019 and 2018, respectively.</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34</w:t>
      </w:r>
    </w:p>
    <w:p>
      <w:pPr>
        <w:sectPr>
          <w:pgSz w:w="11900" w:h="16838" w:orient="portrait"/>
          <w:cols w:equalWidth="0" w:num="1">
            <w:col w:w="11460"/>
          </w:cols>
          <w:pgMar w:left="220" w:top="140" w:right="21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REPORTABLE SEGMENTS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828282"/>
        </w:rPr>
        <w:t>HOW WE ASSESS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We derive our revenues primarily from health insurance premiums. Our primary customers are state Medicaid agencies and the federal government.</w:t>
      </w:r>
    </w:p>
    <w:p>
      <w:pPr>
        <w:spacing w:after="0" w:line="98"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One of the key metrics used to assess the performance of our Health Plans segment is the MCR, which represents the amount of medical care costs as a percentage of premium revenue. Therefore, the underlying margin, or the amount earned by the Health Plans segment after medical costs are deducted from premium revenue, is the most important measure of earnings reviewed by management.</w:t>
      </w:r>
    </w:p>
    <w:p>
      <w:pPr>
        <w:spacing w:after="0" w:line="70" w:lineRule="exact"/>
        <w:rPr>
          <w:sz w:val="20"/>
          <w:szCs w:val="20"/>
          <w:color w:val="auto"/>
        </w:rPr>
      </w:pPr>
    </w:p>
    <w:p>
      <w:pPr>
        <w:jc w:val="both"/>
        <w:ind w:right="340"/>
        <w:spacing w:after="0" w:line="265" w:lineRule="auto"/>
        <w:rPr>
          <w:sz w:val="20"/>
          <w:szCs w:val="20"/>
          <w:color w:val="auto"/>
        </w:rPr>
      </w:pPr>
      <w:r>
        <w:rPr>
          <w:rFonts w:ascii="Arial" w:cs="Arial" w:eastAsia="Arial" w:hAnsi="Arial"/>
          <w:sz w:val="14"/>
          <w:szCs w:val="14"/>
          <w:color w:val="auto"/>
        </w:rPr>
        <w:t>Margin for our Health Plans segment is referred to as “Medical Margin.” Medical Margin amounted to $583 million in the second quarter of 2019, and $664 million in the second quarter of 2018. Medical Margin amounted to $1,164 million in the six months ended June 30, 2019, and $1,265 million in the six months ended June 30, 2018. Management’s discussion and analysis of the changes in the individual components of Medical Margin follows.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 Note 11, “Segments,” for more information on our reportable segments.</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HEALTH PLANS</w:t>
      </w:r>
    </w:p>
    <w:p>
      <w:pPr>
        <w:spacing w:after="0" w:line="202"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The Health Plans segment consists of health plans operating in 14 states and the Commonwealth of Puerto Rico. As of June 30, 2019, these health plans served approximately 3.4 million members eligible for Medicaid, Medicare, and other government-sponsored healthcare programs for low-income families and individuals, including Marketplace members, most of whom receive government premium subsidies.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828282"/>
        </w:rPr>
        <w:t>TRENDS AND UNCERTAINTIES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Decline in Membership and Premium Revenue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Medicaid Program</w:t>
      </w:r>
    </w:p>
    <w:p>
      <w:pPr>
        <w:spacing w:after="0" w:line="184" w:lineRule="exact"/>
        <w:rPr>
          <w:sz w:val="20"/>
          <w:szCs w:val="20"/>
          <w:color w:val="auto"/>
        </w:rPr>
      </w:pPr>
    </w:p>
    <w:p>
      <w:pPr>
        <w:jc w:val="both"/>
        <w:ind w:right="580"/>
        <w:spacing w:after="0" w:line="265" w:lineRule="auto"/>
        <w:rPr>
          <w:sz w:val="20"/>
          <w:szCs w:val="20"/>
          <w:color w:val="auto"/>
        </w:rPr>
      </w:pPr>
      <w:r>
        <w:rPr>
          <w:rFonts w:ascii="Arial" w:cs="Arial" w:eastAsia="Arial" w:hAnsi="Arial"/>
          <w:sz w:val="14"/>
          <w:szCs w:val="14"/>
          <w:color w:val="auto"/>
        </w:rPr>
        <w:t>Our Medicaid contracts in New Mexico and in all but two regions in Florida terminated in late 2018 and early 2019. As a result, our Medicaid membership has decreased to approximately 97,000 members in Florida as of June 30, 2019, from 468,000 members in Florida and New Mexico, in the aggregate, as of December 31, 2018. In 2019, we continue to serve Medicare and Marketplace members in both Florida and New Mexico, as well as Medicaid members in two regions in Florida.</w:t>
      </w:r>
    </w:p>
    <w:p>
      <w:pPr>
        <w:spacing w:after="0" w:line="156" w:lineRule="exact"/>
        <w:rPr>
          <w:sz w:val="20"/>
          <w:szCs w:val="20"/>
          <w:color w:val="auto"/>
        </w:rPr>
      </w:pPr>
    </w:p>
    <w:p>
      <w:pPr>
        <w:ind w:right="440"/>
        <w:spacing w:after="0" w:line="273" w:lineRule="auto"/>
        <w:rPr>
          <w:sz w:val="20"/>
          <w:szCs w:val="20"/>
          <w:color w:val="auto"/>
        </w:rPr>
      </w:pPr>
      <w:r>
        <w:rPr>
          <w:rFonts w:ascii="Arial" w:cs="Arial" w:eastAsia="Arial" w:hAnsi="Arial"/>
          <w:sz w:val="14"/>
          <w:szCs w:val="14"/>
          <w:color w:val="auto"/>
        </w:rPr>
        <w:t>In addition, our Medicaid membership has declined further in Puerto Rico as a result of the entry of more managed care organizations to that market late last year. We served approximately 200,000 members in Puerto Rico as of June 30, 2019, compared with 252,000 members as of December 31, 2018.</w:t>
      </w:r>
    </w:p>
    <w:p>
      <w:pPr>
        <w:spacing w:after="0" w:line="151" w:lineRule="exact"/>
        <w:rPr>
          <w:sz w:val="20"/>
          <w:szCs w:val="20"/>
          <w:color w:val="auto"/>
        </w:rPr>
      </w:pPr>
    </w:p>
    <w:p>
      <w:pPr>
        <w:ind w:right="240"/>
        <w:spacing w:after="0" w:line="273" w:lineRule="auto"/>
        <w:rPr>
          <w:sz w:val="20"/>
          <w:szCs w:val="20"/>
          <w:color w:val="auto"/>
        </w:rPr>
      </w:pPr>
      <w:r>
        <w:rPr>
          <w:rFonts w:ascii="Arial" w:cs="Arial" w:eastAsia="Arial" w:hAnsi="Arial"/>
          <w:sz w:val="14"/>
          <w:szCs w:val="14"/>
          <w:color w:val="auto"/>
        </w:rPr>
        <w:t>Primarily as a result of the changes described above, our Medicaid premium revenues have decreased 11% in the six months ended June 30, 2019, when compared with the six months ended June 30, 2018, and we expect our Medicaid premium revenues to continue to decline in 2019 compared with 2018.</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Marketplace Program</w:t>
      </w:r>
    </w:p>
    <w:p>
      <w:pPr>
        <w:spacing w:after="0" w:line="184" w:lineRule="exact"/>
        <w:rPr>
          <w:sz w:val="20"/>
          <w:szCs w:val="20"/>
          <w:color w:val="auto"/>
        </w:rPr>
      </w:pPr>
    </w:p>
    <w:p>
      <w:pPr>
        <w:jc w:val="both"/>
        <w:ind w:right="40"/>
        <w:spacing w:after="0" w:line="265" w:lineRule="auto"/>
        <w:rPr>
          <w:sz w:val="20"/>
          <w:szCs w:val="20"/>
          <w:color w:val="auto"/>
        </w:rPr>
      </w:pPr>
      <w:r>
        <w:rPr>
          <w:rFonts w:ascii="Arial" w:cs="Arial" w:eastAsia="Arial" w:hAnsi="Arial"/>
          <w:sz w:val="14"/>
          <w:szCs w:val="14"/>
          <w:color w:val="auto"/>
        </w:rPr>
        <w:t>We estimate that our 2019 Marketplace end-of-year enrollment will decrease to approximately 270,000 to 280,000 members due to expected attrition. This enrollment is lower than the 308,000 and 362,000 members enrolled as of June 30, 2019, and December 31, 2018, respectively. Consequently, we expect our Marketplace premium revenues to continue to decrease in 2019 compared with 2018.</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Status of Upcoming Contract Re-Procurements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Medicaid Program</w:t>
      </w:r>
    </w:p>
    <w:p>
      <w:pPr>
        <w:spacing w:after="0" w:line="84"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i w:val="1"/>
          <w:iCs w:val="1"/>
          <w:color w:val="auto"/>
        </w:rPr>
        <w:t xml:space="preserve">Texas. </w:t>
      </w:r>
      <w:r>
        <w:rPr>
          <w:rFonts w:ascii="Arial" w:cs="Arial" w:eastAsia="Arial" w:hAnsi="Arial"/>
          <w:sz w:val="14"/>
          <w:szCs w:val="14"/>
          <w:color w:val="auto"/>
        </w:rPr>
        <w:t>In late 2018, our Texas health plan submitted two separate request for proposal (“RFP”) responses: one with regard to the STAR+PLUS program; and the other with regard</w:t>
      </w:r>
      <w:r>
        <w:rPr>
          <w:rFonts w:ascii="Arial" w:cs="Arial" w:eastAsia="Arial" w:hAnsi="Arial"/>
          <w:sz w:val="14"/>
          <w:szCs w:val="14"/>
          <w:i w:val="1"/>
          <w:iCs w:val="1"/>
          <w:color w:val="auto"/>
        </w:rPr>
        <w:t xml:space="preserve"> </w:t>
      </w:r>
      <w:r>
        <w:rPr>
          <w:rFonts w:ascii="Arial" w:cs="Arial" w:eastAsia="Arial" w:hAnsi="Arial"/>
          <w:sz w:val="14"/>
          <w:szCs w:val="14"/>
          <w:color w:val="auto"/>
        </w:rPr>
        <w:t>to the STAR/CHIP programs. Based on the state’s July 9, 2019, addendum to the STAR+PLUS RFP, we currently expect the STAR+PLUS, and STAR/CHIP awards to be announced in the third quarter of 2019, with an operational effective date of September 1, 2020. As of June 30, 2019, our Texas health plan served 86,000 members under the existing STAR+PLUS contract, under which we estimate annualized premium revenues of approximately $1,660 million in 2019. As of June 30, 2019, our Texas</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35</w:t>
      </w:r>
    </w:p>
    <w:p>
      <w:pPr>
        <w:sectPr>
          <w:pgSz w:w="11900" w:h="16838" w:orient="portrait"/>
          <w:cols w:equalWidth="0" w:num="1">
            <w:col w:w="11460"/>
          </w:cols>
          <w:pgMar w:left="220" w:top="140" w:right="21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health plan served 116,000 members under the existing STAR/CHIP contracts, under which we estimate annualized premium revenues of approximately $310 million in 2019.</w:t>
      </w:r>
    </w:p>
    <w:p>
      <w:pPr>
        <w:spacing w:after="0" w:line="84" w:lineRule="exact"/>
        <w:rPr>
          <w:sz w:val="20"/>
          <w:szCs w:val="20"/>
          <w:color w:val="auto"/>
        </w:rPr>
      </w:pPr>
    </w:p>
    <w:p>
      <w:pPr>
        <w:ind w:right="60"/>
        <w:spacing w:after="0" w:line="294" w:lineRule="auto"/>
        <w:rPr>
          <w:sz w:val="20"/>
          <w:szCs w:val="20"/>
          <w:color w:val="auto"/>
        </w:rPr>
      </w:pPr>
      <w:r>
        <w:rPr>
          <w:rFonts w:ascii="Arial" w:cs="Arial" w:eastAsia="Arial" w:hAnsi="Arial"/>
          <w:sz w:val="14"/>
          <w:szCs w:val="14"/>
          <w:i w:val="1"/>
          <w:iCs w:val="1"/>
          <w:color w:val="auto"/>
        </w:rPr>
        <w:t xml:space="preserve">Ohio. </w:t>
      </w:r>
      <w:r>
        <w:rPr>
          <w:rFonts w:ascii="Arial" w:cs="Arial" w:eastAsia="Arial" w:hAnsi="Arial"/>
          <w:sz w:val="14"/>
          <w:szCs w:val="14"/>
          <w:color w:val="auto"/>
        </w:rPr>
        <w:t>We have received information that the state of Ohio expects to release its Medicaid contract RFP early in 2020, with an announcement of the awards likely in the third quarter</w:t>
      </w:r>
      <w:r>
        <w:rPr>
          <w:rFonts w:ascii="Arial" w:cs="Arial" w:eastAsia="Arial" w:hAnsi="Arial"/>
          <w:sz w:val="14"/>
          <w:szCs w:val="14"/>
          <w:i w:val="1"/>
          <w:iCs w:val="1"/>
          <w:color w:val="auto"/>
        </w:rPr>
        <w:t xml:space="preserve"> </w:t>
      </w:r>
      <w:r>
        <w:rPr>
          <w:rFonts w:ascii="Arial" w:cs="Arial" w:eastAsia="Arial" w:hAnsi="Arial"/>
          <w:sz w:val="14"/>
          <w:szCs w:val="14"/>
          <w:color w:val="auto"/>
        </w:rPr>
        <w:t>of 2020, and an operational effective date of January 1, 2021.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California. </w:t>
      </w:r>
      <w:r>
        <w:rPr>
          <w:rFonts w:ascii="Arial" w:cs="Arial" w:eastAsia="Arial" w:hAnsi="Arial"/>
          <w:sz w:val="14"/>
          <w:szCs w:val="14"/>
          <w:color w:val="auto"/>
        </w:rPr>
        <w:t>We have received information that the state of California expects to release its Medicaid contract RFP in 2020, with new contracts effective in 2023.</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A loss of any of our Texas, Ohio, or California Medicaid contracts would have a material adverse effect on our business, financial condition, cash flows,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MMP Program</w:t>
      </w:r>
    </w:p>
    <w:p>
      <w:pPr>
        <w:spacing w:after="0" w:line="170" w:lineRule="exact"/>
        <w:rPr>
          <w:sz w:val="20"/>
          <w:szCs w:val="20"/>
          <w:color w:val="auto"/>
        </w:rPr>
      </w:pPr>
    </w:p>
    <w:p>
      <w:pPr>
        <w:ind w:right="320"/>
        <w:spacing w:after="0" w:line="294" w:lineRule="auto"/>
        <w:rPr>
          <w:sz w:val="20"/>
          <w:szCs w:val="20"/>
          <w:color w:val="auto"/>
        </w:rPr>
      </w:pPr>
      <w:r>
        <w:rPr>
          <w:rFonts w:ascii="Arial" w:cs="Arial" w:eastAsia="Arial" w:hAnsi="Arial"/>
          <w:sz w:val="14"/>
          <w:szCs w:val="14"/>
          <w:i w:val="1"/>
          <w:iCs w:val="1"/>
          <w:color w:val="auto"/>
        </w:rPr>
        <w:t xml:space="preserve">California. </w:t>
      </w:r>
      <w:r>
        <w:rPr>
          <w:rFonts w:ascii="Arial" w:cs="Arial" w:eastAsia="Arial" w:hAnsi="Arial"/>
          <w:sz w:val="14"/>
          <w:szCs w:val="14"/>
          <w:color w:val="auto"/>
        </w:rPr>
        <w:t>In late April 2019, the Centers for Medicare and Medicaid Services (“CMS”) approved the California Medicaid agency’s request for a three-year extension of its duals</w:t>
      </w:r>
      <w:r>
        <w:rPr>
          <w:rFonts w:ascii="Arial" w:cs="Arial" w:eastAsia="Arial" w:hAnsi="Arial"/>
          <w:sz w:val="14"/>
          <w:szCs w:val="14"/>
          <w:i w:val="1"/>
          <w:iCs w:val="1"/>
          <w:color w:val="auto"/>
        </w:rPr>
        <w:t xml:space="preserve"> </w:t>
      </w:r>
      <w:r>
        <w:rPr>
          <w:rFonts w:ascii="Arial" w:cs="Arial" w:eastAsia="Arial" w:hAnsi="Arial"/>
          <w:sz w:val="14"/>
          <w:szCs w:val="14"/>
          <w:color w:val="auto"/>
        </w:rPr>
        <w:t>demonstration program, through December 31, 2022. We estimate annualized premium revenues of approximately $180 million in 2019 under our California MMP program.</w:t>
      </w:r>
    </w:p>
    <w:p>
      <w:pPr>
        <w:spacing w:after="0" w:line="123" w:lineRule="exact"/>
        <w:rPr>
          <w:sz w:val="20"/>
          <w:szCs w:val="20"/>
          <w:color w:val="auto"/>
        </w:rPr>
      </w:pPr>
    </w:p>
    <w:p>
      <w:pPr>
        <w:jc w:val="both"/>
        <w:ind w:right="420"/>
        <w:spacing w:after="0" w:line="275" w:lineRule="auto"/>
        <w:rPr>
          <w:sz w:val="20"/>
          <w:szCs w:val="20"/>
          <w:color w:val="auto"/>
        </w:rPr>
      </w:pPr>
      <w:r>
        <w:rPr>
          <w:rFonts w:ascii="Arial" w:cs="Arial" w:eastAsia="Arial" w:hAnsi="Arial"/>
          <w:sz w:val="14"/>
          <w:szCs w:val="14"/>
          <w:i w:val="1"/>
          <w:iCs w:val="1"/>
          <w:color w:val="auto"/>
        </w:rPr>
        <w:t xml:space="preserve">Illinois. </w:t>
      </w:r>
      <w:r>
        <w:rPr>
          <w:rFonts w:ascii="Arial" w:cs="Arial" w:eastAsia="Arial" w:hAnsi="Arial"/>
          <w:sz w:val="14"/>
          <w:szCs w:val="14"/>
          <w:color w:val="auto"/>
        </w:rPr>
        <w:t>The current authority for our MMP program in Illinois ends December 31, 2019. In March 2019, the Illinois Medicaid agency submitted a request to CMS for a one-year</w:t>
      </w:r>
      <w:r>
        <w:rPr>
          <w:rFonts w:ascii="Arial" w:cs="Arial" w:eastAsia="Arial" w:hAnsi="Arial"/>
          <w:sz w:val="14"/>
          <w:szCs w:val="14"/>
          <w:i w:val="1"/>
          <w:iCs w:val="1"/>
          <w:color w:val="auto"/>
        </w:rPr>
        <w:t xml:space="preserve"> </w:t>
      </w:r>
      <w:r>
        <w:rPr>
          <w:rFonts w:ascii="Arial" w:cs="Arial" w:eastAsia="Arial" w:hAnsi="Arial"/>
          <w:sz w:val="14"/>
          <w:szCs w:val="14"/>
          <w:color w:val="auto"/>
        </w:rPr>
        <w:t>extension of its duals demonstration program, through December 31, 2020, with a possible three-year extension through 2022. We estimate annualized premium revenues of approximately $130 million in 2019 under our Illinois MMP program.</w:t>
      </w:r>
    </w:p>
    <w:p>
      <w:pPr>
        <w:spacing w:after="0" w:line="136" w:lineRule="exact"/>
        <w:rPr>
          <w:sz w:val="20"/>
          <w:szCs w:val="20"/>
          <w:color w:val="auto"/>
        </w:rPr>
      </w:pPr>
    </w:p>
    <w:p>
      <w:pPr>
        <w:ind w:right="540"/>
        <w:spacing w:after="0" w:line="294" w:lineRule="auto"/>
        <w:rPr>
          <w:sz w:val="20"/>
          <w:szCs w:val="20"/>
          <w:color w:val="auto"/>
        </w:rPr>
      </w:pPr>
      <w:r>
        <w:rPr>
          <w:rFonts w:ascii="Arial" w:cs="Arial" w:eastAsia="Arial" w:hAnsi="Arial"/>
          <w:sz w:val="14"/>
          <w:szCs w:val="14"/>
          <w:i w:val="1"/>
          <w:iCs w:val="1"/>
          <w:color w:val="auto"/>
        </w:rPr>
        <w:t xml:space="preserve">Ohio. </w:t>
      </w:r>
      <w:r>
        <w:rPr>
          <w:rFonts w:ascii="Arial" w:cs="Arial" w:eastAsia="Arial" w:hAnsi="Arial"/>
          <w:sz w:val="14"/>
          <w:szCs w:val="14"/>
          <w:color w:val="auto"/>
        </w:rPr>
        <w:t>In late April 2019, CMS approved the Ohio Medicaid agency’s request for a three-year extension of its duals demonstration program, through December 31, 2022. We</w:t>
      </w:r>
      <w:r>
        <w:rPr>
          <w:rFonts w:ascii="Arial" w:cs="Arial" w:eastAsia="Arial" w:hAnsi="Arial"/>
          <w:sz w:val="14"/>
          <w:szCs w:val="14"/>
          <w:i w:val="1"/>
          <w:iCs w:val="1"/>
          <w:color w:val="auto"/>
        </w:rPr>
        <w:t xml:space="preserve"> </w:t>
      </w:r>
      <w:r>
        <w:rPr>
          <w:rFonts w:ascii="Arial" w:cs="Arial" w:eastAsia="Arial" w:hAnsi="Arial"/>
          <w:sz w:val="14"/>
          <w:szCs w:val="14"/>
          <w:color w:val="auto"/>
        </w:rPr>
        <w:t>estimate annualized premium revenues of approximately $580 million in 2019 under our Ohio MMP program.</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Pressures on Medicaid Funding</w:t>
      </w:r>
    </w:p>
    <w:p>
      <w:pPr>
        <w:spacing w:after="0" w:line="114"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Due to states’ budget challenges and political agendas at both the state and federal levels, there are a number of different legislative proposals being considered, some of which would involve significantly reduced federal or state spending on the Medicaid program, constitute a fundamental change to the federal role in healthcare and, if enacted, could have a material adverse effect on our business, financial condition, cash flows and results of operations. These proposals include elements such as the following, as well as numerous other potential changes and reforms:</w:t>
      </w:r>
    </w:p>
    <w:p>
      <w:pPr>
        <w:spacing w:after="0" w:line="73" w:lineRule="exact"/>
        <w:rPr>
          <w:sz w:val="20"/>
          <w:szCs w:val="20"/>
          <w:color w:val="auto"/>
        </w:rPr>
      </w:pPr>
    </w:p>
    <w:p>
      <w:pPr>
        <w:ind w:left="520" w:right="40" w:hanging="255"/>
        <w:spacing w:after="0" w:line="257"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Changes in the entitlement nature of Medicaid (and perhaps Medicare as well) by capping future increases in federal health spending for these programs, and shifting much more of the risk for health costs in the future to states and consumers;</w:t>
      </w: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Reversing the ACA’s expansion of Medicaid that enables states to cover low-income childless adults;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Changing Medicaid to a state block grant program, including potentially capping spending on a per-enrollee basis;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Requiring Medicaid beneficiaries to work; and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Limiting the amount of lifetime benefits for Medicaid beneficiaries.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ACA</w:t>
      </w:r>
    </w:p>
    <w:p>
      <w:pPr>
        <w:spacing w:after="0" w:line="114"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In December 2018, in a case brought by the state of Texas and nineteen other states, a federal judge in Texas held that the ACA’s individual mandate is unconstitutional. He further held that the individual mandate is inseverable from the entire body of the ACA, and thus the entire ACA is unconstitutional. The District Court stayed its order pending appeal, and the decision has now been appealed to and argued before a three judge panel of the Fifth Circuit Court of Appeals. A decision of that court is expected by October of 2019, after which the case may be further appealed to the United States Supreme Court. Any final, not-appealable determination that the ACA is unconstitutional would have a material adverse effect on our business, financial condition, cash flows, and results of operations.</w:t>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36</w:t>
      </w:r>
    </w:p>
    <w:p>
      <w:pPr>
        <w:sectPr>
          <w:pgSz w:w="11900" w:h="16838" w:orient="portrait"/>
          <w:cols w:equalWidth="0" w:num="1">
            <w:col w:w="11460"/>
          </w:cols>
          <w:pgMar w:left="220" w:top="140" w:right="21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828282"/>
        </w:rPr>
        <w:t>MEMBERSHIP</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set forth our Health Plans membership as of the dates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780" w:type="dxa"/>
            <w:vAlign w:val="bottom"/>
          </w:tcPr>
          <w:p>
            <w:pPr>
              <w:spacing w:after="0"/>
              <w:rPr>
                <w:sz w:val="11"/>
                <w:szCs w:val="11"/>
                <w:color w:val="auto"/>
              </w:rPr>
            </w:pPr>
          </w:p>
        </w:tc>
        <w:tc>
          <w:tcPr>
            <w:tcW w:w="1620" w:type="dxa"/>
            <w:vAlign w:val="bottom"/>
            <w:gridSpan w:val="2"/>
          </w:tcPr>
          <w:p>
            <w:pPr>
              <w:ind w:left="500"/>
              <w:spacing w:after="0"/>
              <w:rPr>
                <w:sz w:val="20"/>
                <w:szCs w:val="20"/>
                <w:color w:val="auto"/>
              </w:rPr>
            </w:pPr>
            <w:r>
              <w:rPr>
                <w:rFonts w:ascii="Arial" w:cs="Arial" w:eastAsia="Arial" w:hAnsi="Arial"/>
                <w:sz w:val="11"/>
                <w:szCs w:val="11"/>
                <w:b w:val="1"/>
                <w:bCs w:val="1"/>
                <w:color w:val="auto"/>
              </w:rPr>
              <w:t>June 30,</w:t>
            </w:r>
          </w:p>
        </w:tc>
        <w:tc>
          <w:tcPr>
            <w:tcW w:w="1580" w:type="dxa"/>
            <w:vAlign w:val="bottom"/>
            <w:gridSpan w:val="2"/>
          </w:tcPr>
          <w:p>
            <w:pPr>
              <w:ind w:left="360"/>
              <w:spacing w:after="0"/>
              <w:rPr>
                <w:sz w:val="20"/>
                <w:szCs w:val="20"/>
                <w:color w:val="auto"/>
              </w:rPr>
            </w:pPr>
            <w:r>
              <w:rPr>
                <w:rFonts w:ascii="Arial" w:cs="Arial" w:eastAsia="Arial" w:hAnsi="Arial"/>
                <w:sz w:val="11"/>
                <w:szCs w:val="11"/>
                <w:b w:val="1"/>
                <w:bCs w:val="1"/>
                <w:color w:val="auto"/>
              </w:rPr>
              <w:t>December 31,</w:t>
            </w:r>
          </w:p>
        </w:tc>
        <w:tc>
          <w:tcPr>
            <w:tcW w:w="1480" w:type="dxa"/>
            <w:vAlign w:val="bottom"/>
          </w:tcPr>
          <w:p>
            <w:pPr>
              <w:jc w:val="right"/>
              <w:ind w:right="456"/>
              <w:spacing w:after="0"/>
              <w:rPr>
                <w:sz w:val="20"/>
                <w:szCs w:val="20"/>
                <w:color w:val="auto"/>
              </w:rPr>
            </w:pPr>
            <w:r>
              <w:rPr>
                <w:rFonts w:ascii="Arial" w:cs="Arial" w:eastAsia="Arial" w:hAnsi="Arial"/>
                <w:sz w:val="11"/>
                <w:szCs w:val="11"/>
                <w:b w:val="1"/>
                <w:bCs w:val="1"/>
                <w:color w:val="auto"/>
              </w:rPr>
              <w:t>June 30,</w:t>
            </w:r>
          </w:p>
        </w:tc>
        <w:tc>
          <w:tcPr>
            <w:tcW w:w="0" w:type="dxa"/>
            <w:vAlign w:val="bottom"/>
          </w:tcPr>
          <w:p>
            <w:pPr>
              <w:spacing w:after="0"/>
              <w:rPr>
                <w:sz w:val="1"/>
                <w:szCs w:val="1"/>
                <w:color w:val="auto"/>
              </w:rPr>
            </w:pPr>
          </w:p>
        </w:tc>
      </w:tr>
      <w:tr>
        <w:trPr>
          <w:trHeight w:val="157"/>
        </w:trPr>
        <w:tc>
          <w:tcPr>
            <w:tcW w:w="678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249"/>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Ending Membership by Program:</w:t>
            </w: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67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6780" w:type="dxa"/>
            <w:vAlign w:val="bottom"/>
          </w:tcPr>
          <w:p>
            <w:pPr>
              <w:ind w:left="20"/>
              <w:spacing w:after="0"/>
              <w:rPr>
                <w:sz w:val="20"/>
                <w:szCs w:val="20"/>
                <w:color w:val="auto"/>
              </w:rPr>
            </w:pPr>
            <w:r>
              <w:rPr>
                <w:rFonts w:ascii="Arial" w:cs="Arial" w:eastAsia="Arial" w:hAnsi="Arial"/>
                <w:sz w:val="13"/>
                <w:szCs w:val="13"/>
                <w:color w:val="auto"/>
              </w:rPr>
              <w:t>TANF and CHIP</w:t>
            </w: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2,008,000</w:t>
            </w:r>
          </w:p>
        </w:tc>
        <w:tc>
          <w:tcPr>
            <w:tcW w:w="120" w:type="dxa"/>
            <w:vAlign w:val="bottom"/>
          </w:tcPr>
          <w:p>
            <w:pPr>
              <w:spacing w:after="0"/>
              <w:rPr>
                <w:sz w:val="18"/>
                <w:szCs w:val="18"/>
                <w:color w:val="auto"/>
              </w:rPr>
            </w:pPr>
          </w:p>
        </w:tc>
        <w:tc>
          <w:tcPr>
            <w:tcW w:w="1480" w:type="dxa"/>
            <w:vAlign w:val="bottom"/>
          </w:tcPr>
          <w:p>
            <w:pPr>
              <w:jc w:val="right"/>
              <w:ind w:right="56"/>
              <w:spacing w:after="0"/>
              <w:rPr>
                <w:sz w:val="20"/>
                <w:szCs w:val="20"/>
                <w:color w:val="auto"/>
              </w:rPr>
            </w:pPr>
            <w:r>
              <w:rPr>
                <w:rFonts w:ascii="Arial" w:cs="Arial" w:eastAsia="Arial" w:hAnsi="Arial"/>
                <w:sz w:val="13"/>
                <w:szCs w:val="13"/>
                <w:color w:val="auto"/>
              </w:rPr>
              <w:t>2,295,000</w:t>
            </w:r>
          </w:p>
        </w:tc>
        <w:tc>
          <w:tcPr>
            <w:tcW w:w="100" w:type="dxa"/>
            <w:vAlign w:val="bottom"/>
          </w:tcPr>
          <w:p>
            <w:pPr>
              <w:spacing w:after="0"/>
              <w:rPr>
                <w:sz w:val="18"/>
                <w:szCs w:val="18"/>
                <w:color w:val="auto"/>
              </w:rPr>
            </w:pP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2,464,000</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Medicaid Expansion</w:t>
            </w: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595,000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660,000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675,000</w:t>
            </w:r>
          </w:p>
        </w:tc>
        <w:tc>
          <w:tcPr>
            <w:tcW w:w="0" w:type="dxa"/>
            <w:vAlign w:val="bottom"/>
          </w:tcPr>
          <w:p>
            <w:pPr>
              <w:spacing w:after="0"/>
              <w:rPr>
                <w:sz w:val="1"/>
                <w:szCs w:val="1"/>
                <w:color w:val="auto"/>
              </w:rPr>
            </w:pPr>
          </w:p>
        </w:tc>
      </w:tr>
      <w:tr>
        <w:trPr>
          <w:trHeight w:val="208"/>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ABD</w:t>
            </w: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359,000</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406,000</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415,000</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Medicaid</w:t>
            </w:r>
          </w:p>
        </w:tc>
        <w:tc>
          <w:tcPr>
            <w:tcW w:w="15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2,962,000</w:t>
            </w:r>
          </w:p>
        </w:tc>
        <w:tc>
          <w:tcPr>
            <w:tcW w:w="12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3,361,000</w:t>
            </w:r>
          </w:p>
        </w:tc>
        <w:tc>
          <w:tcPr>
            <w:tcW w:w="10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3,554,000</w:t>
            </w:r>
          </w:p>
        </w:tc>
        <w:tc>
          <w:tcPr>
            <w:tcW w:w="0" w:type="dxa"/>
            <w:vAlign w:val="bottom"/>
          </w:tcPr>
          <w:p>
            <w:pPr>
              <w:spacing w:after="0"/>
              <w:rPr>
                <w:sz w:val="1"/>
                <w:szCs w:val="1"/>
                <w:color w:val="auto"/>
              </w:rPr>
            </w:pPr>
          </w:p>
        </w:tc>
      </w:tr>
      <w:tr>
        <w:trPr>
          <w:trHeight w:val="196"/>
        </w:trPr>
        <w:tc>
          <w:tcPr>
            <w:tcW w:w="6780" w:type="dxa"/>
            <w:vAlign w:val="bottom"/>
          </w:tcPr>
          <w:p>
            <w:pPr>
              <w:ind w:left="20"/>
              <w:spacing w:after="0"/>
              <w:rPr>
                <w:sz w:val="20"/>
                <w:szCs w:val="20"/>
                <w:color w:val="auto"/>
              </w:rPr>
            </w:pPr>
            <w:r>
              <w:rPr>
                <w:rFonts w:ascii="Arial" w:cs="Arial" w:eastAsia="Arial" w:hAnsi="Arial"/>
                <w:sz w:val="13"/>
                <w:szCs w:val="13"/>
                <w:color w:val="auto"/>
              </w:rPr>
              <w:t xml:space="preserve">MMP – Integrated </w:t>
            </w:r>
            <w:r>
              <w:rPr>
                <w:rFonts w:ascii="Arial" w:cs="Arial" w:eastAsia="Arial" w:hAnsi="Arial"/>
                <w:sz w:val="17"/>
                <w:szCs w:val="17"/>
                <w:color w:val="auto"/>
                <w:vertAlign w:val="superscript"/>
              </w:rPr>
              <w:t>(1)</w:t>
            </w: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57,000</w:t>
            </w:r>
          </w:p>
        </w:tc>
        <w:tc>
          <w:tcPr>
            <w:tcW w:w="120" w:type="dxa"/>
            <w:vAlign w:val="bottom"/>
          </w:tcPr>
          <w:p>
            <w:pPr>
              <w:spacing w:after="0"/>
              <w:rPr>
                <w:sz w:val="17"/>
                <w:szCs w:val="17"/>
                <w:color w:val="auto"/>
              </w:rPr>
            </w:pPr>
          </w:p>
        </w:tc>
        <w:tc>
          <w:tcPr>
            <w:tcW w:w="1480" w:type="dxa"/>
            <w:vAlign w:val="bottom"/>
          </w:tcPr>
          <w:p>
            <w:pPr>
              <w:jc w:val="right"/>
              <w:ind w:right="56"/>
              <w:spacing w:after="0"/>
              <w:rPr>
                <w:sz w:val="20"/>
                <w:szCs w:val="20"/>
                <w:color w:val="auto"/>
              </w:rPr>
            </w:pPr>
            <w:r>
              <w:rPr>
                <w:rFonts w:ascii="Arial" w:cs="Arial" w:eastAsia="Arial" w:hAnsi="Arial"/>
                <w:sz w:val="13"/>
                <w:szCs w:val="13"/>
                <w:color w:val="auto"/>
              </w:rPr>
              <w:t>54,000</w:t>
            </w:r>
          </w:p>
        </w:tc>
        <w:tc>
          <w:tcPr>
            <w:tcW w:w="100" w:type="dxa"/>
            <w:vAlign w:val="bottom"/>
          </w:tcPr>
          <w:p>
            <w:pPr>
              <w:spacing w:after="0"/>
              <w:rPr>
                <w:sz w:val="17"/>
                <w:szCs w:val="17"/>
                <w:color w:val="auto"/>
              </w:rPr>
            </w:pP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55,000</w:t>
            </w:r>
          </w:p>
        </w:tc>
        <w:tc>
          <w:tcPr>
            <w:tcW w:w="0" w:type="dxa"/>
            <w:vAlign w:val="bottom"/>
          </w:tcPr>
          <w:p>
            <w:pPr>
              <w:spacing w:after="0"/>
              <w:rPr>
                <w:sz w:val="1"/>
                <w:szCs w:val="1"/>
                <w:color w:val="auto"/>
              </w:rPr>
            </w:pPr>
          </w:p>
        </w:tc>
      </w:tr>
      <w:tr>
        <w:trPr>
          <w:trHeight w:val="208"/>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Special Needs Plans (“Medicare”)</w:t>
            </w:r>
          </w:p>
        </w:tc>
        <w:tc>
          <w:tcPr>
            <w:tcW w:w="15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43,000</w:t>
            </w:r>
          </w:p>
        </w:tc>
        <w:tc>
          <w:tcPr>
            <w:tcW w:w="12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44,000</w:t>
            </w:r>
          </w:p>
        </w:tc>
        <w:tc>
          <w:tcPr>
            <w:tcW w:w="10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45,000</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Medicare</w:t>
            </w: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100,000</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98,000</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Medicaid and Medicare</w:t>
            </w:r>
          </w:p>
        </w:tc>
        <w:tc>
          <w:tcPr>
            <w:tcW w:w="15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3,062,000</w:t>
            </w:r>
          </w:p>
        </w:tc>
        <w:tc>
          <w:tcPr>
            <w:tcW w:w="12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3,459,000</w:t>
            </w:r>
          </w:p>
        </w:tc>
        <w:tc>
          <w:tcPr>
            <w:tcW w:w="10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3,654,000</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Marketplace</w:t>
            </w: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308,000</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362,000</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409,000</w:t>
            </w:r>
          </w:p>
        </w:tc>
        <w:tc>
          <w:tcPr>
            <w:tcW w:w="0" w:type="dxa"/>
            <w:vAlign w:val="bottom"/>
          </w:tcPr>
          <w:p>
            <w:pPr>
              <w:spacing w:after="0"/>
              <w:rPr>
                <w:sz w:val="1"/>
                <w:szCs w:val="1"/>
                <w:color w:val="auto"/>
              </w:rPr>
            </w:pPr>
          </w:p>
        </w:tc>
      </w:tr>
      <w:tr>
        <w:trPr>
          <w:trHeight w:val="185"/>
        </w:trPr>
        <w:tc>
          <w:tcPr>
            <w:tcW w:w="67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3,370,000</w:t>
            </w:r>
          </w:p>
        </w:tc>
        <w:tc>
          <w:tcPr>
            <w:tcW w:w="1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3,821,000</w:t>
            </w: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4,063,000</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Ending Membership by Health Plan:</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8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590,000</w:t>
            </w:r>
          </w:p>
        </w:tc>
        <w:tc>
          <w:tcPr>
            <w:tcW w:w="120" w:type="dxa"/>
            <w:vAlign w:val="bottom"/>
          </w:tcPr>
          <w:p>
            <w:pPr>
              <w:spacing w:after="0"/>
              <w:rPr>
                <w:sz w:val="18"/>
                <w:szCs w:val="18"/>
                <w:color w:val="auto"/>
              </w:rPr>
            </w:pPr>
          </w:p>
        </w:tc>
        <w:tc>
          <w:tcPr>
            <w:tcW w:w="1480" w:type="dxa"/>
            <w:vAlign w:val="bottom"/>
          </w:tcPr>
          <w:p>
            <w:pPr>
              <w:jc w:val="right"/>
              <w:ind w:right="56"/>
              <w:spacing w:after="0"/>
              <w:rPr>
                <w:sz w:val="20"/>
                <w:szCs w:val="20"/>
                <w:color w:val="auto"/>
              </w:rPr>
            </w:pPr>
            <w:r>
              <w:rPr>
                <w:rFonts w:ascii="Arial" w:cs="Arial" w:eastAsia="Arial" w:hAnsi="Arial"/>
                <w:sz w:val="13"/>
                <w:szCs w:val="13"/>
                <w:color w:val="auto"/>
              </w:rPr>
              <w:t>608,000</w:t>
            </w:r>
          </w:p>
        </w:tc>
        <w:tc>
          <w:tcPr>
            <w:tcW w:w="100" w:type="dxa"/>
            <w:vAlign w:val="bottom"/>
          </w:tcPr>
          <w:p>
            <w:pPr>
              <w:spacing w:after="0"/>
              <w:rPr>
                <w:sz w:val="18"/>
                <w:szCs w:val="18"/>
                <w:color w:val="auto"/>
              </w:rPr>
            </w:pP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639,000</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Florida </w:t>
            </w:r>
            <w:r>
              <w:rPr>
                <w:rFonts w:ascii="Arial" w:cs="Arial" w:eastAsia="Arial" w:hAnsi="Arial"/>
                <w:sz w:val="17"/>
                <w:szCs w:val="17"/>
                <w:color w:val="auto"/>
                <w:vertAlign w:val="superscript"/>
              </w:rPr>
              <w:t>(2)</w:t>
            </w: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142,000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313,000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398,000</w:t>
            </w:r>
          </w:p>
        </w:tc>
        <w:tc>
          <w:tcPr>
            <w:tcW w:w="0" w:type="dxa"/>
            <w:vAlign w:val="bottom"/>
          </w:tcPr>
          <w:p>
            <w:pPr>
              <w:spacing w:after="0"/>
              <w:rPr>
                <w:sz w:val="1"/>
                <w:szCs w:val="1"/>
                <w:color w:val="auto"/>
              </w:rPr>
            </w:pPr>
          </w:p>
        </w:tc>
      </w:tr>
      <w:tr>
        <w:trPr>
          <w:trHeight w:val="208"/>
        </w:trPr>
        <w:tc>
          <w:tcPr>
            <w:tcW w:w="6780" w:type="dxa"/>
            <w:vAlign w:val="bottom"/>
          </w:tcPr>
          <w:p>
            <w:pPr>
              <w:ind w:left="20"/>
              <w:spacing w:after="0"/>
              <w:rPr>
                <w:sz w:val="20"/>
                <w:szCs w:val="20"/>
                <w:color w:val="auto"/>
              </w:rPr>
            </w:pPr>
            <w:r>
              <w:rPr>
                <w:rFonts w:ascii="Arial" w:cs="Arial" w:eastAsia="Arial" w:hAnsi="Arial"/>
                <w:sz w:val="13"/>
                <w:szCs w:val="13"/>
                <w:color w:val="auto"/>
              </w:rPr>
              <w:t>Illinois</w:t>
            </w: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221,000</w:t>
            </w:r>
          </w:p>
        </w:tc>
        <w:tc>
          <w:tcPr>
            <w:tcW w:w="120" w:type="dxa"/>
            <w:vAlign w:val="bottom"/>
          </w:tcPr>
          <w:p>
            <w:pPr>
              <w:spacing w:after="0"/>
              <w:rPr>
                <w:sz w:val="18"/>
                <w:szCs w:val="18"/>
                <w:color w:val="auto"/>
              </w:rPr>
            </w:pPr>
          </w:p>
        </w:tc>
        <w:tc>
          <w:tcPr>
            <w:tcW w:w="1480" w:type="dxa"/>
            <w:vAlign w:val="bottom"/>
          </w:tcPr>
          <w:p>
            <w:pPr>
              <w:jc w:val="right"/>
              <w:ind w:right="56"/>
              <w:spacing w:after="0"/>
              <w:rPr>
                <w:sz w:val="20"/>
                <w:szCs w:val="20"/>
                <w:color w:val="auto"/>
              </w:rPr>
            </w:pPr>
            <w:r>
              <w:rPr>
                <w:rFonts w:ascii="Arial" w:cs="Arial" w:eastAsia="Arial" w:hAnsi="Arial"/>
                <w:sz w:val="13"/>
                <w:szCs w:val="13"/>
                <w:color w:val="auto"/>
              </w:rPr>
              <w:t>224,000</w:t>
            </w:r>
          </w:p>
        </w:tc>
        <w:tc>
          <w:tcPr>
            <w:tcW w:w="100" w:type="dxa"/>
            <w:vAlign w:val="bottom"/>
          </w:tcPr>
          <w:p>
            <w:pPr>
              <w:spacing w:after="0"/>
              <w:rPr>
                <w:sz w:val="18"/>
                <w:szCs w:val="18"/>
                <w:color w:val="auto"/>
              </w:rPr>
            </w:pP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219,000</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Michigan</w:t>
            </w: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360,000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383,000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397,000</w:t>
            </w:r>
          </w:p>
        </w:tc>
        <w:tc>
          <w:tcPr>
            <w:tcW w:w="0" w:type="dxa"/>
            <w:vAlign w:val="bottom"/>
          </w:tcPr>
          <w:p>
            <w:pPr>
              <w:spacing w:after="0"/>
              <w:rPr>
                <w:sz w:val="1"/>
                <w:szCs w:val="1"/>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3"/>
                <w:szCs w:val="13"/>
                <w:color w:val="auto"/>
              </w:rPr>
              <w:t xml:space="preserve">New Mexico </w:t>
            </w:r>
            <w:r>
              <w:rPr>
                <w:rFonts w:ascii="Arial" w:cs="Arial" w:eastAsia="Arial" w:hAnsi="Arial"/>
                <w:sz w:val="17"/>
                <w:szCs w:val="17"/>
                <w:color w:val="auto"/>
                <w:vertAlign w:val="superscript"/>
              </w:rPr>
              <w:t>(2)</w:t>
            </w: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26,000</w:t>
            </w:r>
          </w:p>
        </w:tc>
        <w:tc>
          <w:tcPr>
            <w:tcW w:w="120" w:type="dxa"/>
            <w:vAlign w:val="bottom"/>
          </w:tcPr>
          <w:p>
            <w:pPr>
              <w:spacing w:after="0"/>
              <w:rPr>
                <w:sz w:val="18"/>
                <w:szCs w:val="18"/>
                <w:color w:val="auto"/>
              </w:rPr>
            </w:pPr>
          </w:p>
        </w:tc>
        <w:tc>
          <w:tcPr>
            <w:tcW w:w="1480" w:type="dxa"/>
            <w:vAlign w:val="bottom"/>
          </w:tcPr>
          <w:p>
            <w:pPr>
              <w:jc w:val="right"/>
              <w:ind w:right="56"/>
              <w:spacing w:after="0"/>
              <w:rPr>
                <w:sz w:val="20"/>
                <w:szCs w:val="20"/>
                <w:color w:val="auto"/>
              </w:rPr>
            </w:pPr>
            <w:r>
              <w:rPr>
                <w:rFonts w:ascii="Arial" w:cs="Arial" w:eastAsia="Arial" w:hAnsi="Arial"/>
                <w:sz w:val="13"/>
                <w:szCs w:val="13"/>
                <w:color w:val="auto"/>
              </w:rPr>
              <w:t>222,000</w:t>
            </w:r>
          </w:p>
        </w:tc>
        <w:tc>
          <w:tcPr>
            <w:tcW w:w="100" w:type="dxa"/>
            <w:vAlign w:val="bottom"/>
          </w:tcPr>
          <w:p>
            <w:pPr>
              <w:spacing w:after="0"/>
              <w:rPr>
                <w:sz w:val="18"/>
                <w:szCs w:val="18"/>
                <w:color w:val="auto"/>
              </w:rPr>
            </w:pP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241,000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Ohio</w:t>
            </w: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297,000</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302,000</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320,000</w:t>
            </w:r>
          </w:p>
        </w:tc>
        <w:tc>
          <w:tcPr>
            <w:tcW w:w="0" w:type="dxa"/>
            <w:vAlign w:val="bottom"/>
          </w:tcPr>
          <w:p>
            <w:pPr>
              <w:spacing w:after="0"/>
              <w:rPr>
                <w:sz w:val="1"/>
                <w:szCs w:val="1"/>
                <w:color w:val="auto"/>
              </w:rPr>
            </w:pPr>
          </w:p>
        </w:tc>
      </w:tr>
      <w:tr>
        <w:trPr>
          <w:trHeight w:val="208"/>
        </w:trPr>
        <w:tc>
          <w:tcPr>
            <w:tcW w:w="6780" w:type="dxa"/>
            <w:vAlign w:val="bottom"/>
          </w:tcPr>
          <w:p>
            <w:pPr>
              <w:ind w:left="20"/>
              <w:spacing w:after="0"/>
              <w:rPr>
                <w:sz w:val="20"/>
                <w:szCs w:val="20"/>
                <w:color w:val="auto"/>
              </w:rPr>
            </w:pPr>
            <w:r>
              <w:rPr>
                <w:rFonts w:ascii="Arial" w:cs="Arial" w:eastAsia="Arial" w:hAnsi="Arial"/>
                <w:sz w:val="13"/>
                <w:szCs w:val="13"/>
                <w:color w:val="auto"/>
              </w:rPr>
              <w:t>Puerto Rico</w:t>
            </w: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200,000</w:t>
            </w:r>
          </w:p>
        </w:tc>
        <w:tc>
          <w:tcPr>
            <w:tcW w:w="120" w:type="dxa"/>
            <w:vAlign w:val="bottom"/>
          </w:tcPr>
          <w:p>
            <w:pPr>
              <w:spacing w:after="0"/>
              <w:rPr>
                <w:sz w:val="18"/>
                <w:szCs w:val="18"/>
                <w:color w:val="auto"/>
              </w:rPr>
            </w:pPr>
          </w:p>
        </w:tc>
        <w:tc>
          <w:tcPr>
            <w:tcW w:w="1480" w:type="dxa"/>
            <w:vAlign w:val="bottom"/>
          </w:tcPr>
          <w:p>
            <w:pPr>
              <w:jc w:val="right"/>
              <w:ind w:right="56"/>
              <w:spacing w:after="0"/>
              <w:rPr>
                <w:sz w:val="20"/>
                <w:szCs w:val="20"/>
                <w:color w:val="auto"/>
              </w:rPr>
            </w:pPr>
            <w:r>
              <w:rPr>
                <w:rFonts w:ascii="Arial" w:cs="Arial" w:eastAsia="Arial" w:hAnsi="Arial"/>
                <w:sz w:val="13"/>
                <w:szCs w:val="13"/>
                <w:color w:val="auto"/>
              </w:rPr>
              <w:t>252,000</w:t>
            </w:r>
          </w:p>
        </w:tc>
        <w:tc>
          <w:tcPr>
            <w:tcW w:w="100" w:type="dxa"/>
            <w:vAlign w:val="bottom"/>
          </w:tcPr>
          <w:p>
            <w:pPr>
              <w:spacing w:after="0"/>
              <w:rPr>
                <w:sz w:val="18"/>
                <w:szCs w:val="18"/>
                <w:color w:val="auto"/>
              </w:rPr>
            </w:pP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326,000</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 Carolina</w:t>
            </w: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130,000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120,000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114,000</w:t>
            </w:r>
          </w:p>
        </w:tc>
        <w:tc>
          <w:tcPr>
            <w:tcW w:w="0" w:type="dxa"/>
            <w:vAlign w:val="bottom"/>
          </w:tcPr>
          <w:p>
            <w:pPr>
              <w:spacing w:after="0"/>
              <w:rPr>
                <w:sz w:val="1"/>
                <w:szCs w:val="1"/>
                <w:color w:val="auto"/>
              </w:rPr>
            </w:pPr>
          </w:p>
        </w:tc>
      </w:tr>
      <w:tr>
        <w:trPr>
          <w:trHeight w:val="208"/>
        </w:trPr>
        <w:tc>
          <w:tcPr>
            <w:tcW w:w="6780" w:type="dxa"/>
            <w:vAlign w:val="bottom"/>
          </w:tcPr>
          <w:p>
            <w:pPr>
              <w:ind w:left="20"/>
              <w:spacing w:after="0"/>
              <w:rPr>
                <w:sz w:val="20"/>
                <w:szCs w:val="20"/>
                <w:color w:val="auto"/>
              </w:rPr>
            </w:pPr>
            <w:r>
              <w:rPr>
                <w:rFonts w:ascii="Arial" w:cs="Arial" w:eastAsia="Arial" w:hAnsi="Arial"/>
                <w:sz w:val="13"/>
                <w:szCs w:val="13"/>
                <w:color w:val="auto"/>
              </w:rPr>
              <w:t>Texas</w:t>
            </w: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360,000</w:t>
            </w:r>
          </w:p>
        </w:tc>
        <w:tc>
          <w:tcPr>
            <w:tcW w:w="120" w:type="dxa"/>
            <w:vAlign w:val="bottom"/>
          </w:tcPr>
          <w:p>
            <w:pPr>
              <w:spacing w:after="0"/>
              <w:rPr>
                <w:sz w:val="18"/>
                <w:szCs w:val="18"/>
                <w:color w:val="auto"/>
              </w:rPr>
            </w:pPr>
          </w:p>
        </w:tc>
        <w:tc>
          <w:tcPr>
            <w:tcW w:w="1480" w:type="dxa"/>
            <w:vAlign w:val="bottom"/>
          </w:tcPr>
          <w:p>
            <w:pPr>
              <w:jc w:val="right"/>
              <w:ind w:right="56"/>
              <w:spacing w:after="0"/>
              <w:rPr>
                <w:sz w:val="20"/>
                <w:szCs w:val="20"/>
                <w:color w:val="auto"/>
              </w:rPr>
            </w:pPr>
            <w:r>
              <w:rPr>
                <w:rFonts w:ascii="Arial" w:cs="Arial" w:eastAsia="Arial" w:hAnsi="Arial"/>
                <w:sz w:val="13"/>
                <w:szCs w:val="13"/>
                <w:color w:val="auto"/>
              </w:rPr>
              <w:t>423,000</w:t>
            </w:r>
          </w:p>
        </w:tc>
        <w:tc>
          <w:tcPr>
            <w:tcW w:w="100" w:type="dxa"/>
            <w:vAlign w:val="bottom"/>
          </w:tcPr>
          <w:p>
            <w:pPr>
              <w:spacing w:after="0"/>
              <w:rPr>
                <w:sz w:val="18"/>
                <w:szCs w:val="18"/>
                <w:color w:val="auto"/>
              </w:rPr>
            </w:pP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450,000</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w:t>
            </w: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811,000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781,000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776,000</w:t>
            </w:r>
          </w:p>
        </w:tc>
        <w:tc>
          <w:tcPr>
            <w:tcW w:w="0" w:type="dxa"/>
            <w:vAlign w:val="bottom"/>
          </w:tcPr>
          <w:p>
            <w:pPr>
              <w:spacing w:after="0"/>
              <w:rPr>
                <w:sz w:val="1"/>
                <w:szCs w:val="1"/>
                <w:color w:val="auto"/>
              </w:rPr>
            </w:pPr>
          </w:p>
        </w:tc>
      </w:tr>
      <w:tr>
        <w:trPr>
          <w:trHeight w:val="216"/>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 xml:space="preserve">Other </w:t>
            </w:r>
            <w:r>
              <w:rPr>
                <w:rFonts w:ascii="Arial" w:cs="Arial" w:eastAsia="Arial" w:hAnsi="Arial"/>
                <w:sz w:val="17"/>
                <w:szCs w:val="17"/>
                <w:color w:val="auto"/>
                <w:vertAlign w:val="superscript"/>
              </w:rPr>
              <w:t>(3)</w:t>
            </w: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233,000</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193,000</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183,000</w:t>
            </w:r>
          </w:p>
        </w:tc>
        <w:tc>
          <w:tcPr>
            <w:tcW w:w="0" w:type="dxa"/>
            <w:vAlign w:val="bottom"/>
          </w:tcPr>
          <w:p>
            <w:pPr>
              <w:spacing w:after="0"/>
              <w:rPr>
                <w:sz w:val="1"/>
                <w:szCs w:val="1"/>
                <w:color w:val="auto"/>
              </w:rPr>
            </w:pPr>
          </w:p>
        </w:tc>
      </w:tr>
      <w:tr>
        <w:trPr>
          <w:trHeight w:val="177"/>
        </w:trPr>
        <w:tc>
          <w:tcPr>
            <w:tcW w:w="67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3,370,000</w:t>
            </w: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3,821,000</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4,063,000</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4"/>
                <w:szCs w:val="14"/>
                <w:color w:val="auto"/>
              </w:rPr>
              <w:t>_________________________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780" w:type="dxa"/>
            <w:vAlign w:val="bottom"/>
            <w:vMerge w:val="continue"/>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60" w:hanging="254"/>
        <w:spacing w:after="0"/>
        <w:tabs>
          <w:tab w:leader="none" w:pos="2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MMP members receive both Medicaid and Medicare coverage from Molina Healthcare.</w:t>
      </w:r>
    </w:p>
    <w:p>
      <w:pPr>
        <w:spacing w:after="0" w:line="1" w:lineRule="exact"/>
        <w:rPr>
          <w:rFonts w:ascii="Arial" w:cs="Arial" w:eastAsia="Arial" w:hAnsi="Arial"/>
          <w:sz w:val="13"/>
          <w:szCs w:val="13"/>
          <w:color w:val="auto"/>
        </w:rPr>
      </w:pPr>
    </w:p>
    <w:p>
      <w:pPr>
        <w:ind w:left="260" w:right="120" w:hanging="254"/>
        <w:spacing w:after="0" w:line="242" w:lineRule="auto"/>
        <w:tabs>
          <w:tab w:leader="none" w:pos="2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Medicaid contracts in New Mexico and in all but two regions in Florida terminated in late 2018 and early 2019. During 2019, we continue to serve Medicare and Marketplace members in both Florida and New Mexico, as well as Medicaid members in two regions in Florida.</w:t>
      </w:r>
    </w:p>
    <w:p>
      <w:pPr>
        <w:ind w:left="260" w:hanging="254"/>
        <w:spacing w:after="0"/>
        <w:tabs>
          <w:tab w:leader="none" w:pos="2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“Other” includes the Idaho, Mississippi, New York, Utah and Wisconsin health plans, which are not individually significant to our consolidated operating results.</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37</w:t>
      </w:r>
    </w:p>
    <w:p>
      <w:pPr>
        <w:sectPr>
          <w:pgSz w:w="11900" w:h="16838" w:orient="portrait"/>
          <w:cols w:equalWidth="0" w:num="1">
            <w:col w:w="11460"/>
          </w:cols>
          <w:pgMar w:left="220" w:top="140" w:right="21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828282"/>
        </w:rPr>
        <w:t>THREE AND SIX MONTHS ENDED JUNE 30, 2019, COMPARED WITH THREE AND SIX MONTHS ENDED JUNE 30, 2018</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color w:val="828282"/>
        </w:rPr>
        <w:t>FINANCIAL PERFORMANCE BY PROGRAM</w:t>
      </w:r>
    </w:p>
    <w:p>
      <w:pPr>
        <w:spacing w:after="0" w:line="91" w:lineRule="exact"/>
        <w:rPr>
          <w:sz w:val="20"/>
          <w:szCs w:val="20"/>
          <w:color w:val="auto"/>
        </w:rPr>
      </w:pPr>
    </w:p>
    <w:p>
      <w:pPr>
        <w:ind w:right="340"/>
        <w:spacing w:after="0" w:line="273" w:lineRule="auto"/>
        <w:rPr>
          <w:sz w:val="20"/>
          <w:szCs w:val="20"/>
          <w:color w:val="auto"/>
        </w:rPr>
      </w:pPr>
      <w:r>
        <w:rPr>
          <w:rFonts w:ascii="Arial" w:cs="Arial" w:eastAsia="Arial" w:hAnsi="Arial"/>
          <w:sz w:val="14"/>
          <w:szCs w:val="14"/>
          <w:color w:val="auto"/>
        </w:rPr>
        <w:t>The following tables summarize member months, premium revenue, medical care costs, MCR and medical margin by program for the periods indicated (PMPM amounts are in whole dollars; member months and other dollar amounts are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42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5"/>
          </w:tcPr>
          <w:p>
            <w:pPr>
              <w:ind w:left="340"/>
              <w:spacing w:after="0"/>
              <w:rPr>
                <w:sz w:val="20"/>
                <w:szCs w:val="20"/>
                <w:color w:val="auto"/>
              </w:rPr>
            </w:pPr>
            <w:r>
              <w:rPr>
                <w:rFonts w:ascii="Arial" w:cs="Arial" w:eastAsia="Arial" w:hAnsi="Arial"/>
                <w:sz w:val="11"/>
                <w:szCs w:val="11"/>
                <w:b w:val="1"/>
                <w:bCs w:val="1"/>
                <w:color w:val="auto"/>
              </w:rPr>
              <w:t>Three Months Ended June 30, 2019</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rPr>
              <w:t>Member</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Premium Revenue</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1"/>
                <w:szCs w:val="11"/>
                <w:b w:val="1"/>
                <w:bCs w:val="1"/>
                <w:color w:val="auto"/>
              </w:rPr>
              <w:t>Medical Care Costs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42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4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 xml:space="preserve">Months </w:t>
            </w:r>
            <w:r>
              <w:rPr>
                <w:rFonts w:ascii="Arial" w:cs="Arial" w:eastAsia="Arial" w:hAnsi="Arial"/>
                <w:sz w:val="14"/>
                <w:szCs w:val="14"/>
                <w:b w:val="1"/>
                <w:bCs w:val="1"/>
                <w:color w:val="auto"/>
                <w:w w:val="96"/>
                <w:vertAlign w:val="superscript"/>
              </w:rPr>
              <w:t>(1)</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Total</w:t>
            </w: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w w:val="96"/>
              </w:rPr>
              <w:t>PMPM</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PMPM</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ind w:left="340"/>
              <w:spacing w:after="0" w:line="161" w:lineRule="exact"/>
              <w:rPr>
                <w:sz w:val="20"/>
                <w:szCs w:val="20"/>
                <w:color w:val="auto"/>
              </w:rPr>
            </w:pPr>
            <w:r>
              <w:rPr>
                <w:rFonts w:ascii="Arial" w:cs="Arial" w:eastAsia="Arial" w:hAnsi="Arial"/>
                <w:sz w:val="18"/>
                <w:szCs w:val="18"/>
                <w:b w:val="1"/>
                <w:bCs w:val="1"/>
                <w:color w:val="auto"/>
                <w:vertAlign w:val="subscript"/>
              </w:rPr>
              <w:t>MCR</w:t>
            </w:r>
            <w:r>
              <w:rPr>
                <w:rFonts w:ascii="Arial" w:cs="Arial" w:eastAsia="Arial" w:hAnsi="Arial"/>
                <w:sz w:val="6"/>
                <w:szCs w:val="6"/>
                <w:b w:val="1"/>
                <w:bCs w:val="1"/>
                <w:color w:val="auto"/>
              </w:rPr>
              <w:t xml:space="preserve"> (2)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Medical Margin</w:t>
            </w: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TANF and CHIP</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1,196</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196.36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172.13</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Medicaid Expansion</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695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384.94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594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328.85</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ABD</w:t>
            </w:r>
          </w:p>
        </w:tc>
        <w:tc>
          <w:tcPr>
            <w:tcW w:w="12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1,176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1,088.48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981.84</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90.2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Medicaid</w:t>
            </w: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3,067</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ind w:right="57"/>
              <w:spacing w:after="0"/>
              <w:rPr>
                <w:sz w:val="20"/>
                <w:szCs w:val="20"/>
                <w:color w:val="auto"/>
              </w:rPr>
            </w:pPr>
            <w:r>
              <w:rPr>
                <w:rFonts w:ascii="Arial" w:cs="Arial" w:eastAsia="Arial" w:hAnsi="Arial"/>
                <w:sz w:val="13"/>
                <w:szCs w:val="13"/>
                <w:color w:val="auto"/>
              </w:rPr>
              <w:t>341.72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2,703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jc w:val="right"/>
              <w:ind w:right="56"/>
              <w:spacing w:after="0"/>
              <w:rPr>
                <w:sz w:val="20"/>
                <w:szCs w:val="20"/>
                <w:color w:val="auto"/>
              </w:rPr>
            </w:pPr>
            <w:r>
              <w:rPr>
                <w:rFonts w:ascii="Arial" w:cs="Arial" w:eastAsia="Arial" w:hAnsi="Arial"/>
                <w:sz w:val="13"/>
                <w:szCs w:val="13"/>
                <w:color w:val="auto"/>
              </w:rPr>
              <w:t>301.15</w:t>
            </w:r>
          </w:p>
        </w:tc>
        <w:tc>
          <w:tcPr>
            <w:tcW w:w="1160" w:type="dxa"/>
            <w:vAlign w:val="bottom"/>
            <w:tcBorders>
              <w:bottom w:val="single" w:sz="8" w:color="CCEEFF"/>
            </w:tcBorders>
            <w:gridSpan w:val="2"/>
          </w:tcPr>
          <w:p>
            <w:pPr>
              <w:ind w:left="760"/>
              <w:spacing w:after="0"/>
              <w:rPr>
                <w:sz w:val="20"/>
                <w:szCs w:val="20"/>
                <w:color w:val="auto"/>
              </w:rPr>
            </w:pPr>
            <w:r>
              <w:rPr>
                <w:rFonts w:ascii="Arial" w:cs="Arial" w:eastAsia="Arial" w:hAnsi="Arial"/>
                <w:sz w:val="13"/>
                <w:szCs w:val="13"/>
                <w:color w:val="auto"/>
              </w:rPr>
              <w:t>88.1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MMP</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2,421.89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2,118.95</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08"/>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Medicare</w:t>
            </w: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ind w:right="57"/>
              <w:spacing w:after="0"/>
              <w:rPr>
                <w:sz w:val="20"/>
                <w:szCs w:val="20"/>
                <w:color w:val="auto"/>
              </w:rPr>
            </w:pPr>
            <w:r>
              <w:rPr>
                <w:rFonts w:ascii="Arial" w:cs="Arial" w:eastAsia="Arial" w:hAnsi="Arial"/>
                <w:sz w:val="13"/>
                <w:szCs w:val="13"/>
                <w:color w:val="auto"/>
              </w:rPr>
              <w:t>1,296.99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ind w:right="56"/>
              <w:spacing w:after="0"/>
              <w:rPr>
                <w:sz w:val="20"/>
                <w:szCs w:val="20"/>
                <w:color w:val="auto"/>
              </w:rPr>
            </w:pPr>
            <w:r>
              <w:rPr>
                <w:rFonts w:ascii="Arial" w:cs="Arial" w:eastAsia="Arial" w:hAnsi="Arial"/>
                <w:sz w:val="13"/>
                <w:szCs w:val="13"/>
                <w:color w:val="auto"/>
              </w:rPr>
              <w:t>1,034.43</w:t>
            </w:r>
          </w:p>
        </w:tc>
        <w:tc>
          <w:tcPr>
            <w:tcW w:w="1160" w:type="dxa"/>
            <w:vAlign w:val="bottom"/>
            <w:tcBorders>
              <w:bottom w:val="single" w:sz="8" w:color="CCEEFF"/>
            </w:tcBorders>
            <w:gridSpan w:val="2"/>
          </w:tcPr>
          <w:p>
            <w:pPr>
              <w:ind w:left="760"/>
              <w:spacing w:after="0"/>
              <w:rPr>
                <w:sz w:val="20"/>
                <w:szCs w:val="20"/>
                <w:color w:val="auto"/>
              </w:rPr>
            </w:pPr>
            <w:r>
              <w:rPr>
                <w:rFonts w:ascii="Arial" w:cs="Arial" w:eastAsia="Arial" w:hAnsi="Arial"/>
                <w:sz w:val="13"/>
                <w:szCs w:val="13"/>
                <w:color w:val="auto"/>
              </w:rPr>
              <w:t>79.8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Medicare</w:t>
            </w:r>
          </w:p>
        </w:tc>
        <w:tc>
          <w:tcPr>
            <w:tcW w:w="12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572</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1,934.17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488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1,648.73</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85.2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rPr>
                <w:sz w:val="20"/>
                <w:szCs w:val="20"/>
                <w:color w:val="auto"/>
              </w:rPr>
            </w:pPr>
            <w:r>
              <w:rPr>
                <w:rFonts w:ascii="Arial" w:cs="Arial" w:eastAsia="Arial" w:hAnsi="Arial"/>
                <w:sz w:val="13"/>
                <w:szCs w:val="13"/>
                <w:color w:val="auto"/>
              </w:rPr>
              <w:t>Total Medicaid and Medicare</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9.3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3,639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392.52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3,191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344.14</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448</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12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440.20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295.71</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67.2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4,049</w:t>
            </w:r>
          </w:p>
        </w:tc>
        <w:tc>
          <w:tcPr>
            <w:tcW w:w="58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396.87</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3,466</w:t>
            </w:r>
          </w:p>
        </w:tc>
        <w:tc>
          <w:tcPr>
            <w:tcW w:w="100" w:type="dxa"/>
            <w:vAlign w:val="bottom"/>
          </w:tcPr>
          <w:p>
            <w:pPr>
              <w:spacing w:after="0"/>
              <w:rPr>
                <w:sz w:val="16"/>
                <w:szCs w:val="16"/>
                <w:color w:val="auto"/>
              </w:rPr>
            </w:pP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339.72</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85.6%</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583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4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ind w:left="340"/>
              <w:spacing w:after="0"/>
              <w:rPr>
                <w:sz w:val="20"/>
                <w:szCs w:val="20"/>
                <w:color w:val="auto"/>
              </w:rPr>
            </w:pPr>
            <w:r>
              <w:rPr>
                <w:rFonts w:ascii="Arial" w:cs="Arial" w:eastAsia="Arial" w:hAnsi="Arial"/>
                <w:sz w:val="11"/>
                <w:szCs w:val="11"/>
                <w:b w:val="1"/>
                <w:bCs w:val="1"/>
                <w:color w:val="auto"/>
              </w:rPr>
              <w:t>Three Months Ended June 30, 2018</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rPr>
              <w:t>Member</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Premium Revenue</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1"/>
                <w:szCs w:val="11"/>
                <w:b w:val="1"/>
                <w:bCs w:val="1"/>
                <w:color w:val="auto"/>
              </w:rPr>
              <w:t>Medical Care Costs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42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4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 xml:space="preserve">Months </w:t>
            </w:r>
            <w:r>
              <w:rPr>
                <w:rFonts w:ascii="Arial" w:cs="Arial" w:eastAsia="Arial" w:hAnsi="Arial"/>
                <w:sz w:val="14"/>
                <w:szCs w:val="14"/>
                <w:b w:val="1"/>
                <w:bCs w:val="1"/>
                <w:color w:val="auto"/>
                <w:w w:val="96"/>
                <w:vertAlign w:val="superscript"/>
              </w:rPr>
              <w:t>(1)</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Total</w:t>
            </w: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w w:val="96"/>
              </w:rPr>
              <w:t>PMPM</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PMPM</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ind w:left="340"/>
              <w:spacing w:after="0"/>
              <w:rPr>
                <w:sz w:val="20"/>
                <w:szCs w:val="20"/>
                <w:color w:val="auto"/>
              </w:rPr>
            </w:pPr>
            <w:r>
              <w:rPr>
                <w:rFonts w:ascii="Arial" w:cs="Arial" w:eastAsia="Arial" w:hAnsi="Arial"/>
                <w:sz w:val="11"/>
                <w:szCs w:val="11"/>
                <w:b w:val="1"/>
                <w:bCs w:val="1"/>
                <w:color w:val="auto"/>
              </w:rPr>
              <w:t xml:space="preserve">MCR </w:t>
            </w:r>
            <w:r>
              <w:rPr>
                <w:rFonts w:ascii="Arial" w:cs="Arial" w:eastAsia="Arial" w:hAnsi="Arial"/>
                <w:sz w:val="14"/>
                <w:szCs w:val="14"/>
                <w:b w:val="1"/>
                <w:bCs w:val="1"/>
                <w:color w:val="auto"/>
                <w:vertAlign w:val="superscript"/>
              </w:rPr>
              <w:t>(2)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Medical Margin</w:t>
            </w: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TANF and CHIP</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1,393</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186.18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161.13</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Medicaid Expansion</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761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372.04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676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330.83</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ABD</w:t>
            </w:r>
          </w:p>
        </w:tc>
        <w:tc>
          <w:tcPr>
            <w:tcW w:w="12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1,288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1,033.34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969.27</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93.8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Medicaid</w:t>
            </w: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3,442</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ind w:right="57"/>
              <w:spacing w:after="0"/>
              <w:rPr>
                <w:sz w:val="20"/>
                <w:szCs w:val="20"/>
                <w:color w:val="auto"/>
              </w:rPr>
            </w:pPr>
            <w:r>
              <w:rPr>
                <w:rFonts w:ascii="Arial" w:cs="Arial" w:eastAsia="Arial" w:hAnsi="Arial"/>
                <w:sz w:val="13"/>
                <w:szCs w:val="13"/>
                <w:color w:val="auto"/>
              </w:rPr>
              <w:t>319.52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3,090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jc w:val="right"/>
              <w:ind w:right="56"/>
              <w:spacing w:after="0"/>
              <w:rPr>
                <w:sz w:val="20"/>
                <w:szCs w:val="20"/>
                <w:color w:val="auto"/>
              </w:rPr>
            </w:pPr>
            <w:r>
              <w:rPr>
                <w:rFonts w:ascii="Arial" w:cs="Arial" w:eastAsia="Arial" w:hAnsi="Arial"/>
                <w:sz w:val="13"/>
                <w:szCs w:val="13"/>
                <w:color w:val="auto"/>
              </w:rPr>
              <w:t>286.89</w:t>
            </w:r>
          </w:p>
        </w:tc>
        <w:tc>
          <w:tcPr>
            <w:tcW w:w="1160" w:type="dxa"/>
            <w:vAlign w:val="bottom"/>
            <w:tcBorders>
              <w:bottom w:val="single" w:sz="8" w:color="CCEEFF"/>
            </w:tcBorders>
            <w:gridSpan w:val="2"/>
          </w:tcPr>
          <w:p>
            <w:pPr>
              <w:ind w:left="760"/>
              <w:spacing w:after="0"/>
              <w:rPr>
                <w:sz w:val="20"/>
                <w:szCs w:val="20"/>
                <w:color w:val="auto"/>
              </w:rPr>
            </w:pPr>
            <w:r>
              <w:rPr>
                <w:rFonts w:ascii="Arial" w:cs="Arial" w:eastAsia="Arial" w:hAnsi="Arial"/>
                <w:sz w:val="13"/>
                <w:szCs w:val="13"/>
                <w:color w:val="auto"/>
              </w:rPr>
              <w:t>89.8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352</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MMP</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367</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2,224.30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1,893.91</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08"/>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Medicare</w:t>
            </w: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157</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ind w:right="57"/>
              <w:spacing w:after="0"/>
              <w:rPr>
                <w:sz w:val="20"/>
                <w:szCs w:val="20"/>
                <w:color w:val="auto"/>
              </w:rPr>
            </w:pPr>
            <w:r>
              <w:rPr>
                <w:rFonts w:ascii="Arial" w:cs="Arial" w:eastAsia="Arial" w:hAnsi="Arial"/>
                <w:sz w:val="13"/>
                <w:szCs w:val="13"/>
                <w:color w:val="auto"/>
              </w:rPr>
              <w:t>1,168.40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ind w:right="56"/>
              <w:spacing w:after="0"/>
              <w:rPr>
                <w:sz w:val="20"/>
                <w:szCs w:val="20"/>
                <w:color w:val="auto"/>
              </w:rPr>
            </w:pPr>
            <w:r>
              <w:rPr>
                <w:rFonts w:ascii="Arial" w:cs="Arial" w:eastAsia="Arial" w:hAnsi="Arial"/>
                <w:sz w:val="13"/>
                <w:szCs w:val="13"/>
                <w:color w:val="auto"/>
              </w:rPr>
              <w:t>989.33</w:t>
            </w:r>
          </w:p>
        </w:tc>
        <w:tc>
          <w:tcPr>
            <w:tcW w:w="1160" w:type="dxa"/>
            <w:vAlign w:val="bottom"/>
            <w:tcBorders>
              <w:bottom w:val="single" w:sz="8" w:color="CCEEFF"/>
            </w:tcBorders>
            <w:gridSpan w:val="2"/>
          </w:tcPr>
          <w:p>
            <w:pPr>
              <w:ind w:left="760"/>
              <w:spacing w:after="0"/>
              <w:rPr>
                <w:sz w:val="20"/>
                <w:szCs w:val="20"/>
                <w:color w:val="auto"/>
              </w:rPr>
            </w:pPr>
            <w:r>
              <w:rPr>
                <w:rFonts w:ascii="Arial" w:cs="Arial" w:eastAsia="Arial" w:hAnsi="Arial"/>
                <w:sz w:val="13"/>
                <w:szCs w:val="13"/>
                <w:color w:val="auto"/>
              </w:rPr>
              <w:t>84.7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Medicare</w:t>
            </w:r>
          </w:p>
        </w:tc>
        <w:tc>
          <w:tcPr>
            <w:tcW w:w="12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524</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1,751.49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446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1,488.85</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85.0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rPr>
                <w:sz w:val="20"/>
                <w:szCs w:val="20"/>
                <w:color w:val="auto"/>
              </w:rPr>
            </w:pPr>
            <w:r>
              <w:rPr>
                <w:rFonts w:ascii="Arial" w:cs="Arial" w:eastAsia="Arial" w:hAnsi="Arial"/>
                <w:sz w:val="13"/>
                <w:szCs w:val="13"/>
                <w:color w:val="auto"/>
              </w:rPr>
              <w:t>Total Medicaid and Medicare</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11.2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3,966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358.23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3,536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319.37</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430</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12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548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440.93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253.04</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57.4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12.4</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4,514</w:t>
            </w:r>
          </w:p>
        </w:tc>
        <w:tc>
          <w:tcPr>
            <w:tcW w:w="58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366.57</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3,850</w:t>
            </w:r>
          </w:p>
        </w:tc>
        <w:tc>
          <w:tcPr>
            <w:tcW w:w="100" w:type="dxa"/>
            <w:vAlign w:val="bottom"/>
          </w:tcPr>
          <w:p>
            <w:pPr>
              <w:spacing w:after="0"/>
              <w:rPr>
                <w:sz w:val="16"/>
                <w:szCs w:val="16"/>
                <w:color w:val="auto"/>
              </w:rPr>
            </w:pP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312.68</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85.3%</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664</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ind w:left="8040"/>
        <w:spacing w:after="0"/>
        <w:rPr>
          <w:sz w:val="20"/>
          <w:szCs w:val="20"/>
          <w:color w:val="auto"/>
        </w:rPr>
      </w:pPr>
      <w:r>
        <w:rPr>
          <w:rFonts w:ascii="Arial" w:cs="Arial" w:eastAsia="Arial" w:hAnsi="Arial"/>
          <w:sz w:val="14"/>
          <w:szCs w:val="14"/>
          <w:color w:val="auto"/>
        </w:rPr>
        <w:t>Molina Healthcare, Inc. June 30, 2019 Form 10-Q | 38</w:t>
      </w:r>
    </w:p>
    <w:p>
      <w:pPr>
        <w:sectPr>
          <w:pgSz w:w="11900" w:h="16838" w:orient="portrait"/>
          <w:cols w:equalWidth="0" w:num="1">
            <w:col w:w="11460"/>
          </w:cols>
          <w:pgMar w:left="220" w:top="140" w:right="21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5"/>
          </w:tcPr>
          <w:p>
            <w:pPr>
              <w:ind w:left="460"/>
              <w:spacing w:after="0"/>
              <w:rPr>
                <w:sz w:val="20"/>
                <w:szCs w:val="20"/>
                <w:color w:val="auto"/>
              </w:rPr>
            </w:pPr>
            <w:r>
              <w:rPr>
                <w:rFonts w:ascii="Arial" w:cs="Arial" w:eastAsia="Arial" w:hAnsi="Arial"/>
                <w:sz w:val="11"/>
                <w:szCs w:val="11"/>
                <w:b w:val="1"/>
                <w:bCs w:val="1"/>
                <w:color w:val="auto"/>
              </w:rPr>
              <w:t>Six Months Ended June 30, 2019</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rPr>
              <w:t>Member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gridSpan w:val="7"/>
          </w:tcPr>
          <w:p>
            <w:pPr>
              <w:ind w:left="540"/>
              <w:spacing w:after="0"/>
              <w:rPr>
                <w:sz w:val="20"/>
                <w:szCs w:val="20"/>
                <w:color w:val="auto"/>
              </w:rPr>
            </w:pPr>
            <w:r>
              <w:rPr>
                <w:rFonts w:ascii="Arial" w:cs="Arial" w:eastAsia="Arial" w:hAnsi="Arial"/>
                <w:sz w:val="11"/>
                <w:szCs w:val="11"/>
                <w:b w:val="1"/>
                <w:bCs w:val="1"/>
                <w:color w:val="auto"/>
              </w:rPr>
              <w:t>Premium Revenue</w:t>
            </w:r>
          </w:p>
        </w:tc>
        <w:tc>
          <w:tcPr>
            <w:tcW w:w="280" w:type="dxa"/>
            <w:vAlign w:val="bottom"/>
          </w:tcPr>
          <w:p>
            <w:pPr>
              <w:spacing w:after="0"/>
              <w:rPr>
                <w:sz w:val="17"/>
                <w:szCs w:val="17"/>
                <w:color w:val="auto"/>
              </w:rPr>
            </w:pPr>
          </w:p>
        </w:tc>
        <w:tc>
          <w:tcPr>
            <w:tcW w:w="2300" w:type="dxa"/>
            <w:vAlign w:val="bottom"/>
            <w:gridSpan w:val="4"/>
          </w:tcPr>
          <w:p>
            <w:pPr>
              <w:jc w:val="right"/>
              <w:ind w:right="696"/>
              <w:spacing w:after="0"/>
              <w:rPr>
                <w:sz w:val="20"/>
                <w:szCs w:val="20"/>
                <w:color w:val="auto"/>
              </w:rPr>
            </w:pPr>
            <w:r>
              <w:rPr>
                <w:rFonts w:ascii="Arial" w:cs="Arial" w:eastAsia="Arial" w:hAnsi="Arial"/>
                <w:sz w:val="11"/>
                <w:szCs w:val="11"/>
                <w:b w:val="1"/>
                <w:bCs w:val="1"/>
                <w:color w:val="auto"/>
              </w:rPr>
              <w:t>Medical Care Costs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6"/>
              </w:rPr>
              <w:t xml:space="preserve">Months </w:t>
            </w:r>
            <w:r>
              <w:rPr>
                <w:rFonts w:ascii="Arial" w:cs="Arial" w:eastAsia="Arial" w:hAnsi="Arial"/>
                <w:sz w:val="14"/>
                <w:szCs w:val="14"/>
                <w:b w:val="1"/>
                <w:bCs w:val="1"/>
                <w:color w:val="auto"/>
                <w:w w:val="96"/>
                <w:vertAlign w:val="superscript"/>
              </w:rPr>
              <w:t>(1)</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260"/>
              <w:spacing w:after="0"/>
              <w:rPr>
                <w:sz w:val="20"/>
                <w:szCs w:val="20"/>
                <w:color w:val="auto"/>
              </w:rPr>
            </w:pPr>
            <w:r>
              <w:rPr>
                <w:rFonts w:ascii="Arial" w:cs="Arial" w:eastAsia="Arial" w:hAnsi="Arial"/>
                <w:sz w:val="11"/>
                <w:szCs w:val="11"/>
                <w:b w:val="1"/>
                <w:bCs w:val="1"/>
                <w:color w:val="auto"/>
              </w:rPr>
              <w:t>Total</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rPr>
              <w:t>PMPM</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PMPM</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ind w:left="340"/>
              <w:spacing w:after="0"/>
              <w:rPr>
                <w:sz w:val="20"/>
                <w:szCs w:val="20"/>
                <w:color w:val="auto"/>
              </w:rPr>
            </w:pPr>
            <w:r>
              <w:rPr>
                <w:rFonts w:ascii="Arial" w:cs="Arial" w:eastAsia="Arial" w:hAnsi="Arial"/>
                <w:sz w:val="11"/>
                <w:szCs w:val="11"/>
                <w:b w:val="1"/>
                <w:bCs w:val="1"/>
                <w:color w:val="auto"/>
              </w:rPr>
              <w:t xml:space="preserve">MCR </w:t>
            </w:r>
            <w:r>
              <w:rPr>
                <w:rFonts w:ascii="Arial" w:cs="Arial" w:eastAsia="Arial" w:hAnsi="Arial"/>
                <w:sz w:val="14"/>
                <w:szCs w:val="14"/>
                <w:b w:val="1"/>
                <w:bCs w:val="1"/>
                <w:color w:val="auto"/>
                <w:vertAlign w:val="superscript"/>
              </w:rPr>
              <w:t>(2)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Medical Margin</w:t>
            </w:r>
          </w:p>
        </w:tc>
        <w:tc>
          <w:tcPr>
            <w:tcW w:w="0" w:type="dxa"/>
            <w:vAlign w:val="bottom"/>
          </w:tcPr>
          <w:p>
            <w:pPr>
              <w:spacing w:after="0"/>
              <w:rPr>
                <w:sz w:val="1"/>
                <w:szCs w:val="1"/>
                <w:color w:val="auto"/>
              </w:rPr>
            </w:pPr>
          </w:p>
        </w:tc>
      </w:tr>
      <w:tr>
        <w:trPr>
          <w:trHeight w:val="19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TANF and CHIP</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2,369</w:t>
            </w: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192.83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2,070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168.56</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208"/>
        </w:trPr>
        <w:tc>
          <w:tcPr>
            <w:tcW w:w="2520" w:type="dxa"/>
            <w:vAlign w:val="bottom"/>
            <w:gridSpan w:val="2"/>
          </w:tcPr>
          <w:p>
            <w:pPr>
              <w:ind w:left="20"/>
              <w:spacing w:after="0"/>
              <w:rPr>
                <w:sz w:val="20"/>
                <w:szCs w:val="20"/>
                <w:color w:val="auto"/>
              </w:rPr>
            </w:pPr>
            <w:r>
              <w:rPr>
                <w:rFonts w:ascii="Arial" w:cs="Arial" w:eastAsia="Arial" w:hAnsi="Arial"/>
                <w:sz w:val="13"/>
                <w:szCs w:val="13"/>
                <w:color w:val="auto"/>
              </w:rPr>
              <w:t>Medicaid Expansion</w:t>
            </w:r>
          </w:p>
        </w:tc>
        <w:tc>
          <w:tcPr>
            <w:tcW w:w="118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1,359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377.30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1,188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329.65</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ABD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2,343</w:t>
            </w: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1,078.40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2,103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967.59</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89.7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Total Medicaid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6,071</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ind w:right="57"/>
              <w:spacing w:after="0"/>
              <w:rPr>
                <w:sz w:val="20"/>
                <w:szCs w:val="20"/>
                <w:color w:val="auto"/>
              </w:rPr>
            </w:pPr>
            <w:r>
              <w:rPr>
                <w:rFonts w:ascii="Arial" w:cs="Arial" w:eastAsia="Arial" w:hAnsi="Arial"/>
                <w:sz w:val="13"/>
                <w:szCs w:val="13"/>
                <w:color w:val="auto"/>
              </w:rPr>
              <w:t>336.20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5,361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jc w:val="right"/>
              <w:ind w:right="56"/>
              <w:spacing w:after="0"/>
              <w:rPr>
                <w:sz w:val="20"/>
                <w:szCs w:val="20"/>
                <w:color w:val="auto"/>
              </w:rPr>
            </w:pPr>
            <w:r>
              <w:rPr>
                <w:rFonts w:ascii="Arial" w:cs="Arial" w:eastAsia="Arial" w:hAnsi="Arial"/>
                <w:sz w:val="13"/>
                <w:szCs w:val="13"/>
                <w:color w:val="auto"/>
              </w:rPr>
              <w:t>296.85</w:t>
            </w:r>
          </w:p>
        </w:tc>
        <w:tc>
          <w:tcPr>
            <w:tcW w:w="1160" w:type="dxa"/>
            <w:vAlign w:val="bottom"/>
            <w:tcBorders>
              <w:bottom w:val="single" w:sz="8" w:color="CCEEFF"/>
            </w:tcBorders>
            <w:gridSpan w:val="2"/>
          </w:tcPr>
          <w:p>
            <w:pPr>
              <w:ind w:left="760"/>
              <w:spacing w:after="0"/>
              <w:rPr>
                <w:sz w:val="20"/>
                <w:szCs w:val="20"/>
                <w:color w:val="auto"/>
              </w:rPr>
            </w:pPr>
            <w:r>
              <w:rPr>
                <w:rFonts w:ascii="Arial" w:cs="Arial" w:eastAsia="Arial" w:hAnsi="Arial"/>
                <w:sz w:val="13"/>
                <w:szCs w:val="13"/>
                <w:color w:val="auto"/>
              </w:rPr>
              <w:t>88.3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710</w:t>
            </w: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MMP</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2,388.88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2,073.30</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208"/>
        </w:trPr>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Medicare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ind w:right="57"/>
              <w:spacing w:after="0"/>
              <w:rPr>
                <w:sz w:val="20"/>
                <w:szCs w:val="20"/>
                <w:color w:val="auto"/>
              </w:rPr>
            </w:pPr>
            <w:r>
              <w:rPr>
                <w:rFonts w:ascii="Arial" w:cs="Arial" w:eastAsia="Arial" w:hAnsi="Arial"/>
                <w:sz w:val="13"/>
                <w:szCs w:val="13"/>
                <w:color w:val="auto"/>
              </w:rPr>
              <w:t>1,290.88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ind w:right="56"/>
              <w:spacing w:after="0"/>
              <w:rPr>
                <w:sz w:val="20"/>
                <w:szCs w:val="20"/>
                <w:color w:val="auto"/>
              </w:rPr>
            </w:pPr>
            <w:r>
              <w:rPr>
                <w:rFonts w:ascii="Arial" w:cs="Arial" w:eastAsia="Arial" w:hAnsi="Arial"/>
                <w:sz w:val="13"/>
                <w:szCs w:val="13"/>
                <w:color w:val="auto"/>
              </w:rPr>
              <w:t>1,041.06</w:t>
            </w:r>
          </w:p>
        </w:tc>
        <w:tc>
          <w:tcPr>
            <w:tcW w:w="1160" w:type="dxa"/>
            <w:vAlign w:val="bottom"/>
            <w:tcBorders>
              <w:bottom w:val="single" w:sz="8" w:color="CCEEFF"/>
            </w:tcBorders>
            <w:gridSpan w:val="2"/>
          </w:tcPr>
          <w:p>
            <w:pPr>
              <w:ind w:left="760"/>
              <w:spacing w:after="0"/>
              <w:rPr>
                <w:sz w:val="20"/>
                <w:szCs w:val="20"/>
                <w:color w:val="auto"/>
              </w:rPr>
            </w:pPr>
            <w:r>
              <w:rPr>
                <w:rFonts w:ascii="Arial" w:cs="Arial" w:eastAsia="Arial" w:hAnsi="Arial"/>
                <w:sz w:val="13"/>
                <w:szCs w:val="13"/>
                <w:color w:val="auto"/>
              </w:rPr>
              <w:t>80.6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96"/>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Medicare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1,123</w:t>
            </w: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1,911.98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954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1,624.97</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85.0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96"/>
        </w:trPr>
        <w:tc>
          <w:tcPr>
            <w:tcW w:w="2520" w:type="dxa"/>
            <w:vAlign w:val="bottom"/>
            <w:gridSpan w:val="2"/>
          </w:tcPr>
          <w:p>
            <w:pPr>
              <w:ind w:left="20"/>
              <w:spacing w:after="0"/>
              <w:rPr>
                <w:sz w:val="20"/>
                <w:szCs w:val="20"/>
                <w:color w:val="auto"/>
              </w:rPr>
            </w:pPr>
            <w:r>
              <w:rPr>
                <w:rFonts w:ascii="Arial" w:cs="Arial" w:eastAsia="Arial" w:hAnsi="Arial"/>
                <w:sz w:val="13"/>
                <w:szCs w:val="13"/>
                <w:color w:val="auto"/>
              </w:rPr>
              <w:t>Total Medicaid and Medicare</w:t>
            </w:r>
          </w:p>
        </w:tc>
        <w:tc>
          <w:tcPr>
            <w:tcW w:w="1180" w:type="dxa"/>
            <w:vAlign w:val="bottom"/>
          </w:tcPr>
          <w:p>
            <w:pPr>
              <w:jc w:val="right"/>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7,194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385.82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6,315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338.67</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879</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807</w:t>
            </w: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415.94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269.14</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64.7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w:t>
            </w:r>
          </w:p>
        </w:tc>
        <w:tc>
          <w:tcPr>
            <w:tcW w:w="100" w:type="dxa"/>
            <w:vAlign w:val="bottom"/>
            <w:tcBorders>
              <w:bottom w:val="single" w:sz="8" w:color="auto"/>
            </w:tcBorders>
          </w:tcPr>
          <w:p>
            <w:pPr>
              <w:spacing w:after="0"/>
              <w:rPr>
                <w:sz w:val="16"/>
                <w:szCs w:val="16"/>
                <w:color w:val="auto"/>
              </w:rPr>
            </w:pPr>
          </w:p>
        </w:tc>
        <w:tc>
          <w:tcPr>
            <w:tcW w:w="120" w:type="dxa"/>
            <w:vAlign w:val="bottom"/>
            <w:gridSpan w:val="2"/>
          </w:tcPr>
          <w:p>
            <w:pPr>
              <w:spacing w:after="0"/>
              <w:rPr>
                <w:sz w:val="16"/>
                <w:szCs w:val="16"/>
                <w:color w:val="auto"/>
              </w:rPr>
            </w:pPr>
          </w:p>
        </w:tc>
        <w:tc>
          <w:tcPr>
            <w:tcW w:w="24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8,001</w:t>
            </w:r>
          </w:p>
        </w:tc>
        <w:tc>
          <w:tcPr>
            <w:tcW w:w="100" w:type="dxa"/>
            <w:vAlign w:val="bottom"/>
            <w:tcBorders>
              <w:bottom w:val="single" w:sz="8" w:color="auto"/>
            </w:tcBorders>
          </w:tcPr>
          <w:p>
            <w:pPr>
              <w:spacing w:after="0"/>
              <w:rPr>
                <w:sz w:val="16"/>
                <w:szCs w:val="16"/>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388.66</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6,837</w:t>
            </w:r>
          </w:p>
        </w:tc>
        <w:tc>
          <w:tcPr>
            <w:tcW w:w="100" w:type="dxa"/>
            <w:vAlign w:val="bottom"/>
          </w:tcPr>
          <w:p>
            <w:pPr>
              <w:spacing w:after="0"/>
              <w:rPr>
                <w:sz w:val="16"/>
                <w:szCs w:val="16"/>
                <w:color w:val="auto"/>
              </w:rPr>
            </w:pP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332.11</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85.5%</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1,164</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rPr>
              <w:t>Six Months Ended June 30, 2018</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Member</w:t>
            </w: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rPr>
              <w:t>Premium Revenue</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1"/>
                <w:szCs w:val="11"/>
                <w:b w:val="1"/>
                <w:bCs w:val="1"/>
                <w:color w:val="auto"/>
              </w:rPr>
              <w:t>Medical Care Costs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17"/>
              <w:spacing w:after="0"/>
              <w:rPr>
                <w:sz w:val="20"/>
                <w:szCs w:val="20"/>
                <w:color w:val="auto"/>
              </w:rPr>
            </w:pPr>
            <w:r>
              <w:rPr>
                <w:rFonts w:ascii="Arial" w:cs="Arial" w:eastAsia="Arial" w:hAnsi="Arial"/>
                <w:sz w:val="11"/>
                <w:szCs w:val="11"/>
                <w:b w:val="1"/>
                <w:bCs w:val="1"/>
                <w:color w:val="auto"/>
              </w:rPr>
              <w:t xml:space="preserve">Months </w:t>
            </w:r>
            <w:r>
              <w:rPr>
                <w:rFonts w:ascii="Arial" w:cs="Arial" w:eastAsia="Arial" w:hAnsi="Arial"/>
                <w:sz w:val="14"/>
                <w:szCs w:val="14"/>
                <w:b w:val="1"/>
                <w:bCs w:val="1"/>
                <w:color w:val="auto"/>
                <w:vertAlign w:val="superscript"/>
              </w:rPr>
              <w:t>(1)</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w w:val="96"/>
              </w:rPr>
              <w:t>PMPM</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PMPM</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ind w:left="340"/>
              <w:spacing w:after="0" w:line="161" w:lineRule="exact"/>
              <w:rPr>
                <w:sz w:val="20"/>
                <w:szCs w:val="20"/>
                <w:color w:val="auto"/>
              </w:rPr>
            </w:pPr>
            <w:r>
              <w:rPr>
                <w:rFonts w:ascii="Arial" w:cs="Arial" w:eastAsia="Arial" w:hAnsi="Arial"/>
                <w:sz w:val="18"/>
                <w:szCs w:val="18"/>
                <w:b w:val="1"/>
                <w:bCs w:val="1"/>
                <w:color w:val="auto"/>
                <w:vertAlign w:val="subscript"/>
              </w:rPr>
              <w:t>MCR</w:t>
            </w:r>
            <w:r>
              <w:rPr>
                <w:rFonts w:ascii="Arial" w:cs="Arial" w:eastAsia="Arial" w:hAnsi="Arial"/>
                <w:sz w:val="6"/>
                <w:szCs w:val="6"/>
                <w:b w:val="1"/>
                <w:bCs w:val="1"/>
                <w:color w:val="auto"/>
              </w:rPr>
              <w:t xml:space="preserve"> (2)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Medical Margin</w:t>
            </w:r>
          </w:p>
        </w:tc>
        <w:tc>
          <w:tcPr>
            <w:tcW w:w="0" w:type="dxa"/>
            <w:vAlign w:val="bottom"/>
          </w:tcPr>
          <w:p>
            <w:pPr>
              <w:spacing w:after="0"/>
              <w:rPr>
                <w:sz w:val="1"/>
                <w:szCs w:val="1"/>
                <w:color w:val="auto"/>
              </w:rPr>
            </w:pPr>
          </w:p>
        </w:tc>
      </w:tr>
      <w:tr>
        <w:trPr>
          <w:trHeight w:val="19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TANF and CHIP</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14.9</w:t>
            </w: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2,766</w:t>
            </w: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185.66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2,477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166.32</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208"/>
        </w:trPr>
        <w:tc>
          <w:tcPr>
            <w:tcW w:w="2520" w:type="dxa"/>
            <w:vAlign w:val="bottom"/>
            <w:gridSpan w:val="2"/>
          </w:tcPr>
          <w:p>
            <w:pPr>
              <w:ind w:left="20"/>
              <w:spacing w:after="0"/>
              <w:rPr>
                <w:sz w:val="20"/>
                <w:szCs w:val="20"/>
                <w:color w:val="auto"/>
              </w:rPr>
            </w:pPr>
            <w:r>
              <w:rPr>
                <w:rFonts w:ascii="Arial" w:cs="Arial" w:eastAsia="Arial" w:hAnsi="Arial"/>
                <w:sz w:val="13"/>
                <w:szCs w:val="13"/>
                <w:color w:val="auto"/>
              </w:rPr>
              <w:t>Medicaid Expansion</w:t>
            </w: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1,513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372.39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1,317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324.19</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ABD</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2,542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1,023.83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2,364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951.99</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93.0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Medicaid</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21.5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6,821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ind w:right="57"/>
              <w:spacing w:after="0"/>
              <w:rPr>
                <w:sz w:val="20"/>
                <w:szCs w:val="20"/>
                <w:color w:val="auto"/>
              </w:rPr>
            </w:pPr>
            <w:r>
              <w:rPr>
                <w:rFonts w:ascii="Arial" w:cs="Arial" w:eastAsia="Arial" w:hAnsi="Arial"/>
                <w:sz w:val="13"/>
                <w:szCs w:val="13"/>
                <w:color w:val="auto"/>
              </w:rPr>
              <w:t>318.11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6,158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jc w:val="right"/>
              <w:ind w:right="56"/>
              <w:spacing w:after="0"/>
              <w:rPr>
                <w:sz w:val="20"/>
                <w:szCs w:val="20"/>
                <w:color w:val="auto"/>
              </w:rPr>
            </w:pPr>
            <w:r>
              <w:rPr>
                <w:rFonts w:ascii="Arial" w:cs="Arial" w:eastAsia="Arial" w:hAnsi="Arial"/>
                <w:sz w:val="13"/>
                <w:szCs w:val="13"/>
                <w:color w:val="auto"/>
              </w:rPr>
              <w:t>287.22</w:t>
            </w:r>
          </w:p>
        </w:tc>
        <w:tc>
          <w:tcPr>
            <w:tcW w:w="1160" w:type="dxa"/>
            <w:vAlign w:val="bottom"/>
            <w:tcBorders>
              <w:bottom w:val="single" w:sz="8" w:color="CCEEFF"/>
            </w:tcBorders>
            <w:gridSpan w:val="2"/>
          </w:tcPr>
          <w:p>
            <w:pPr>
              <w:ind w:left="760"/>
              <w:spacing w:after="0"/>
              <w:rPr>
                <w:sz w:val="20"/>
                <w:szCs w:val="20"/>
                <w:color w:val="auto"/>
              </w:rPr>
            </w:pPr>
            <w:r>
              <w:rPr>
                <w:rFonts w:ascii="Arial" w:cs="Arial" w:eastAsia="Arial" w:hAnsi="Arial"/>
                <w:sz w:val="13"/>
                <w:szCs w:val="13"/>
                <w:color w:val="auto"/>
              </w:rPr>
              <w:t>90.3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663</w:t>
            </w: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MMP</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2,180.86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1,858.87</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208"/>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Medicare</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0.3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ind w:right="57"/>
              <w:spacing w:after="0"/>
              <w:rPr>
                <w:sz w:val="20"/>
                <w:szCs w:val="20"/>
                <w:color w:val="auto"/>
              </w:rPr>
            </w:pPr>
            <w:r>
              <w:rPr>
                <w:rFonts w:ascii="Arial" w:cs="Arial" w:eastAsia="Arial" w:hAnsi="Arial"/>
                <w:sz w:val="13"/>
                <w:szCs w:val="13"/>
                <w:color w:val="auto"/>
              </w:rPr>
              <w:t>1,178.58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ind w:right="56"/>
              <w:spacing w:after="0"/>
              <w:rPr>
                <w:sz w:val="20"/>
                <w:szCs w:val="20"/>
                <w:color w:val="auto"/>
              </w:rPr>
            </w:pPr>
            <w:r>
              <w:rPr>
                <w:rFonts w:ascii="Arial" w:cs="Arial" w:eastAsia="Arial" w:hAnsi="Arial"/>
                <w:sz w:val="13"/>
                <w:szCs w:val="13"/>
                <w:color w:val="auto"/>
              </w:rPr>
              <w:t>992.05</w:t>
            </w:r>
          </w:p>
        </w:tc>
        <w:tc>
          <w:tcPr>
            <w:tcW w:w="1160" w:type="dxa"/>
            <w:vAlign w:val="bottom"/>
            <w:tcBorders>
              <w:bottom w:val="single" w:sz="8" w:color="CCEEFF"/>
            </w:tcBorders>
            <w:gridSpan w:val="2"/>
          </w:tcPr>
          <w:p>
            <w:pPr>
              <w:ind w:left="760"/>
              <w:spacing w:after="0"/>
              <w:rPr>
                <w:sz w:val="20"/>
                <w:szCs w:val="20"/>
                <w:color w:val="auto"/>
              </w:rPr>
            </w:pPr>
            <w:r>
              <w:rPr>
                <w:rFonts w:ascii="Arial" w:cs="Arial" w:eastAsia="Arial" w:hAnsi="Arial"/>
                <w:sz w:val="13"/>
                <w:szCs w:val="13"/>
                <w:color w:val="auto"/>
              </w:rPr>
              <w:t>84.2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Medicare</w:t>
            </w: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1,038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1,735.05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1,473.30</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84.9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96"/>
        </w:trPr>
        <w:tc>
          <w:tcPr>
            <w:tcW w:w="2520" w:type="dxa"/>
            <w:vAlign w:val="bottom"/>
            <w:gridSpan w:val="2"/>
          </w:tcPr>
          <w:p>
            <w:pPr>
              <w:ind w:left="20"/>
              <w:spacing w:after="0"/>
              <w:rPr>
                <w:sz w:val="20"/>
                <w:szCs w:val="20"/>
                <w:color w:val="auto"/>
              </w:rPr>
            </w:pPr>
            <w:r>
              <w:rPr>
                <w:rFonts w:ascii="Arial" w:cs="Arial" w:eastAsia="Arial" w:hAnsi="Arial"/>
                <w:sz w:val="13"/>
                <w:szCs w:val="13"/>
                <w:color w:val="auto"/>
              </w:rPr>
              <w:t>Total Medicaid and Medicare</w:t>
            </w: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22.1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7,859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356.59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7,040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319.43</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819</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978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373.67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203.34</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54.4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446</w:t>
            </w: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24.7</w:t>
            </w:r>
          </w:p>
        </w:tc>
        <w:tc>
          <w:tcPr>
            <w:tcW w:w="100" w:type="dxa"/>
            <w:vAlign w:val="bottom"/>
          </w:tcPr>
          <w:p>
            <w:pPr>
              <w:spacing w:after="0"/>
              <w:rPr>
                <w:sz w:val="16"/>
                <w:szCs w:val="16"/>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8,837</w:t>
            </w:r>
          </w:p>
        </w:tc>
        <w:tc>
          <w:tcPr>
            <w:tcW w:w="10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358.40</w:t>
            </w:r>
          </w:p>
        </w:tc>
        <w:tc>
          <w:tcPr>
            <w:tcW w:w="120" w:type="dxa"/>
            <w:vAlign w:val="bottom"/>
          </w:tcPr>
          <w:p>
            <w:pPr>
              <w:spacing w:after="0"/>
              <w:rPr>
                <w:sz w:val="16"/>
                <w:szCs w:val="16"/>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7,572</w:t>
            </w:r>
          </w:p>
        </w:tc>
        <w:tc>
          <w:tcPr>
            <w:tcW w:w="100" w:type="dxa"/>
            <w:vAlign w:val="bottom"/>
          </w:tcPr>
          <w:p>
            <w:pPr>
              <w:spacing w:after="0"/>
              <w:rPr>
                <w:sz w:val="16"/>
                <w:szCs w:val="16"/>
                <w:color w:val="auto"/>
              </w:rPr>
            </w:pP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307.11</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85.7%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1,265</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4"/>
                <w:szCs w:val="14"/>
                <w:color w:val="auto"/>
              </w:rPr>
              <w:t>_______________________</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60" w:hanging="254"/>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 member month is defined as the aggregate of each month’s ending membership for the period presented.</w:t>
      </w:r>
    </w:p>
    <w:p>
      <w:pPr>
        <w:spacing w:after="0" w:line="1" w:lineRule="exact"/>
        <w:rPr>
          <w:rFonts w:ascii="Arial" w:cs="Arial" w:eastAsia="Arial" w:hAnsi="Arial"/>
          <w:sz w:val="13"/>
          <w:szCs w:val="13"/>
          <w:color w:val="auto"/>
        </w:rPr>
      </w:pPr>
    </w:p>
    <w:p>
      <w:pPr>
        <w:ind w:left="260" w:hanging="254"/>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“MCR” represents medical costs as a percentage of premium revenue.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Medicaid Program</w:t>
      </w:r>
    </w:p>
    <w:p>
      <w:pPr>
        <w:spacing w:after="0" w:line="200" w:lineRule="exact"/>
        <w:rPr>
          <w:sz w:val="20"/>
          <w:szCs w:val="20"/>
          <w:color w:val="auto"/>
        </w:rPr>
      </w:pPr>
    </w:p>
    <w:p>
      <w:pPr>
        <w:ind w:right="160"/>
        <w:spacing w:after="0" w:line="261" w:lineRule="auto"/>
        <w:rPr>
          <w:sz w:val="20"/>
          <w:szCs w:val="20"/>
          <w:color w:val="auto"/>
        </w:rPr>
      </w:pPr>
      <w:r>
        <w:rPr>
          <w:rFonts w:ascii="Arial" w:cs="Arial" w:eastAsia="Arial" w:hAnsi="Arial"/>
          <w:sz w:val="14"/>
          <w:szCs w:val="14"/>
          <w:color w:val="auto"/>
        </w:rPr>
        <w:t>The Medical Margin of our Medicaid program increased $12 million, or 3% in the second quarter of 2019 when compared with the second quarter of 2018, and increased $47 million, or 7% in the six months ended June 30, 2019, when compared with the six months ended June 30, 2018. The increase in both periods was due to improvement in the overall Medicaid MCR, which more than offset the impact of declining Medicaid premium revenue. The Medicaid MCR decreased to 88.1% from 89.8%, or 170 basis points, in the second quarter of 2019 when compared to the same period in 2018, and decreased to 88.3% from 90.3%, or 200 basis points, in the six months ended June 30, 2019, when compared with the same period in 2018.</w:t>
      </w:r>
    </w:p>
    <w:p>
      <w:pPr>
        <w:spacing w:after="0" w:line="159"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The improved Medicaid MCR for both periods in 2019 mainly resulted from a lower MCR in the ABD program, which was principally driven by lower pharmacy costs from re-contracted pharmacy benefits management and our continued focus on medical cost management. The improvement in the MCR for the second quarter of 2019 was additionally driven by a decrease in the Medicaid Expansion MCR, which improved 350 basis points when compared with the second quarter of 2018, mainly due to the impact of rate increases and retrospective premium increases. The Medicaid Expansion MCR increased slightly in the six months ended June 30, 2019, when compared with the six months ended June 30, 2018, due to lower premium revenue in California and higher inpatient and outpatient fee for service costs in California. The decline in Expansion premium revenue in California mainly resulted from the rate reduction we received in July 2018.</w:t>
      </w:r>
    </w:p>
    <w:p>
      <w:pPr>
        <w:spacing w:after="0" w:line="161" w:lineRule="exact"/>
        <w:rPr>
          <w:sz w:val="20"/>
          <w:szCs w:val="20"/>
          <w:color w:val="auto"/>
        </w:rPr>
      </w:pPr>
    </w:p>
    <w:p>
      <w:pPr>
        <w:ind w:right="120"/>
        <w:spacing w:after="0" w:line="273" w:lineRule="auto"/>
        <w:rPr>
          <w:sz w:val="20"/>
          <w:szCs w:val="20"/>
          <w:color w:val="auto"/>
        </w:rPr>
      </w:pPr>
      <w:r>
        <w:rPr>
          <w:rFonts w:ascii="Arial" w:cs="Arial" w:eastAsia="Arial" w:hAnsi="Arial"/>
          <w:sz w:val="14"/>
          <w:szCs w:val="14"/>
          <w:color w:val="auto"/>
        </w:rPr>
        <w:t>Medicaid premium revenue decreased $375 million and $750 million in the second quarter of 2019 and the six months ended June 30, 2019, respectively, mainly due to the loss in membership in connection with the termination of our Medicaid contracts in New Mexico and in all but two regions in Florida in late 2018 and early 2019, partially</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39</w:t>
      </w:r>
    </w:p>
    <w:p>
      <w:pPr>
        <w:sectPr>
          <w:pgSz w:w="11900" w:h="16838" w:orient="portrait"/>
          <w:cols w:equalWidth="0" w:num="1">
            <w:col w:w="11460"/>
          </w:cols>
          <w:pgMar w:left="220" w:top="140" w:right="21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offset by net rate increases in certain other markets. As noted above, we expect lower Medicaid premium revenue throughout 2019, when compared with 2018.</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Medicare Program</w:t>
      </w:r>
    </w:p>
    <w:p>
      <w:pPr>
        <w:spacing w:after="0" w:line="200"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The Medical Margin of our Medicare program increased $6 million, or 8%, in the second quarter of 2019, when compared with the second quarter of 2018, and increased $13 million, or 8%, in the six months ended June 30, 2019 when compared with the six months ended June 30, 2018. Premiums continue to increase and are higher compared with the prior year, mainly due to risk scores that are more commensurate with the acuity of our population.</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Marketplace Program</w:t>
      </w:r>
    </w:p>
    <w:p>
      <w:pPr>
        <w:spacing w:after="0" w:line="200" w:lineRule="exact"/>
        <w:rPr>
          <w:sz w:val="20"/>
          <w:szCs w:val="20"/>
          <w:color w:val="auto"/>
        </w:rPr>
      </w:pPr>
    </w:p>
    <w:p>
      <w:pPr>
        <w:ind w:right="340"/>
        <w:spacing w:after="0" w:line="261" w:lineRule="auto"/>
        <w:rPr>
          <w:sz w:val="20"/>
          <w:szCs w:val="20"/>
          <w:color w:val="auto"/>
        </w:rPr>
      </w:pPr>
      <w:r>
        <w:rPr>
          <w:rFonts w:ascii="Arial" w:cs="Arial" w:eastAsia="Arial" w:hAnsi="Arial"/>
          <w:sz w:val="14"/>
          <w:szCs w:val="14"/>
          <w:color w:val="auto"/>
        </w:rPr>
        <w:t>The Marketplace Medical Margin decreased $99 million in the second quarter of 2019, when compared with the second quarter of 2018, and decreased $161 million in the six months ended June 30, 2019, when compared with the six months ended June 30, 2018. The decrease in both periods in 2019 is mostly attributed to a decrease in premium revenues, driven by a decrease in membership of over 20%, partially offset by premium rate increases and increased premiums tied to risk scores. Additionally, the decrease in premiums in both periods in 2019 reflects a relatively smaller benefit from prior year Marketplace risk adjustment in 2019 compared with 2018, and the impact of higher acuity membership. As noted above, we expect Marketplace premium revenue to be lower in 2019, when compared with 2018.</w:t>
      </w:r>
    </w:p>
    <w:p>
      <w:pPr>
        <w:spacing w:after="0" w:line="159" w:lineRule="exact"/>
        <w:rPr>
          <w:sz w:val="20"/>
          <w:szCs w:val="20"/>
          <w:color w:val="auto"/>
        </w:rPr>
      </w:pPr>
    </w:p>
    <w:p>
      <w:pPr>
        <w:ind w:right="340"/>
        <w:spacing w:after="0" w:line="262" w:lineRule="auto"/>
        <w:rPr>
          <w:sz w:val="20"/>
          <w:szCs w:val="20"/>
          <w:color w:val="auto"/>
        </w:rPr>
      </w:pPr>
      <w:r>
        <w:rPr>
          <w:rFonts w:ascii="Arial" w:cs="Arial" w:eastAsia="Arial" w:hAnsi="Arial"/>
          <w:sz w:val="14"/>
          <w:szCs w:val="14"/>
          <w:color w:val="auto"/>
        </w:rPr>
        <w:t>The decrease in Medical Margin for the six months ended June 30, 2019, was partially driven by the impact of $76 million of CSR reimbursement recognized in the six months ended June 30, 2018. The CSR benefit related to 2017 dates of service and was recognized following the federal government’s confirmation that the reconciliation would be performed on an annual basis. In the fourth quarter of 2017, we had assumed a nine-month reconciliation of this item pending confirmation of the time period to which the 2017 reconciliation would be applied.</w:t>
      </w:r>
    </w:p>
    <w:p>
      <w:pPr>
        <w:spacing w:after="0" w:line="159"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The MCR for the Marketplace program amounted to 67.2% in the second quarter of 2019, compared with 57.4% in the second quarter of 2018, and 64.7% in the six months ended June 30, 2019, compared with 54.4% in the six months ended June 30, 2018. The increased MCR in both periods in 2019 reflects a relatively smaller benefit from prior year Marketplace risk adjustment in 2019 compared with 2018, and the impact of higher acuity membership, partially offset by the impact of rate increases and increased premiums tied to risk scores. Additionally, the increase in MCR for the six months ended June 30, 2019, reflects the impact of the CSR reimbursement recognized in the six months ended June 30, 2018.</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828282"/>
        </w:rPr>
        <w:t>FINANCIAL PERFORMANCE BY HEALTH PLAN</w:t>
      </w:r>
    </w:p>
    <w:p>
      <w:pPr>
        <w:spacing w:after="0" w:line="221" w:lineRule="exact"/>
        <w:rPr>
          <w:sz w:val="20"/>
          <w:szCs w:val="20"/>
          <w:color w:val="auto"/>
        </w:rPr>
      </w:pPr>
    </w:p>
    <w:p>
      <w:pPr>
        <w:ind w:right="180"/>
        <w:spacing w:after="0" w:line="273" w:lineRule="auto"/>
        <w:rPr>
          <w:sz w:val="20"/>
          <w:szCs w:val="20"/>
          <w:color w:val="auto"/>
        </w:rPr>
      </w:pPr>
      <w:r>
        <w:rPr>
          <w:rFonts w:ascii="Arial" w:cs="Arial" w:eastAsia="Arial" w:hAnsi="Arial"/>
          <w:sz w:val="14"/>
          <w:szCs w:val="14"/>
          <w:color w:val="auto"/>
        </w:rPr>
        <w:t>The following tables summarize member months, premium revenue, medical care costs, MCR, and medical margin by state health plan for the periods indicated (PMPM amounts are in whole dollars; member months and other dollar amounts are in millions):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Health Plans Segment Financial Data — Medicaid and Medicare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52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1"/>
                <w:szCs w:val="11"/>
                <w:b w:val="1"/>
                <w:bCs w:val="1"/>
                <w:color w:val="auto"/>
              </w:rPr>
              <w:t>Three Months Ended June 30, 2019</w:t>
            </w: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520" w:type="dxa"/>
            <w:vAlign w:val="bottom"/>
          </w:tcPr>
          <w:p>
            <w:pPr>
              <w:spacing w:after="0"/>
              <w:rPr>
                <w:sz w:val="17"/>
                <w:szCs w:val="17"/>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Member</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Premium Revenue</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1"/>
                <w:szCs w:val="11"/>
                <w:b w:val="1"/>
                <w:bCs w:val="1"/>
                <w:color w:val="auto"/>
              </w:rPr>
              <w:t>Medical Care Costs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52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5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376"/>
              <w:spacing w:after="0"/>
              <w:rPr>
                <w:sz w:val="20"/>
                <w:szCs w:val="20"/>
                <w:color w:val="auto"/>
              </w:rPr>
            </w:pPr>
            <w:r>
              <w:rPr>
                <w:rFonts w:ascii="Arial" w:cs="Arial" w:eastAsia="Arial" w:hAnsi="Arial"/>
                <w:sz w:val="11"/>
                <w:szCs w:val="11"/>
                <w:b w:val="1"/>
                <w:bCs w:val="1"/>
                <w:color w:val="auto"/>
              </w:rPr>
              <w:t>Months</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Total</w:t>
            </w: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6"/>
              <w:spacing w:after="0"/>
              <w:rPr>
                <w:sz w:val="20"/>
                <w:szCs w:val="20"/>
                <w:color w:val="auto"/>
              </w:rPr>
            </w:pPr>
            <w:r>
              <w:rPr>
                <w:rFonts w:ascii="Arial" w:cs="Arial" w:eastAsia="Arial" w:hAnsi="Arial"/>
                <w:sz w:val="11"/>
                <w:szCs w:val="11"/>
                <w:b w:val="1"/>
                <w:bCs w:val="1"/>
                <w:color w:val="auto"/>
                <w:w w:val="96"/>
              </w:rPr>
              <w:t>PMPM</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PMPM</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MCR</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Medical Margin</w:t>
            </w:r>
          </w:p>
        </w:tc>
        <w:tc>
          <w:tcPr>
            <w:tcW w:w="0" w:type="dxa"/>
            <w:vAlign w:val="bottom"/>
          </w:tcPr>
          <w:p>
            <w:pPr>
              <w:spacing w:after="0"/>
              <w:rPr>
                <w:sz w:val="1"/>
                <w:szCs w:val="1"/>
                <w:color w:val="auto"/>
              </w:rPr>
            </w:pPr>
          </w:p>
        </w:tc>
      </w:tr>
      <w:tr>
        <w:trPr>
          <w:trHeight w:val="200"/>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499</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305.40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415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253.85</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208"/>
        </w:trPr>
        <w:tc>
          <w:tcPr>
            <w:tcW w:w="2520" w:type="dxa"/>
            <w:vAlign w:val="bottom"/>
          </w:tcPr>
          <w:p>
            <w:pPr>
              <w:ind w:left="20"/>
              <w:spacing w:after="0"/>
              <w:rPr>
                <w:sz w:val="20"/>
                <w:szCs w:val="20"/>
                <w:color w:val="auto"/>
              </w:rPr>
            </w:pPr>
            <w:r>
              <w:rPr>
                <w:rFonts w:ascii="Arial" w:cs="Arial" w:eastAsia="Arial" w:hAnsi="Arial"/>
                <w:sz w:val="13"/>
                <w:szCs w:val="13"/>
                <w:color w:val="auto"/>
              </w:rPr>
              <w:t>Florida</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417.10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399.22</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95.7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Illinois</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364.15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323.96</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08"/>
        </w:trPr>
        <w:tc>
          <w:tcPr>
            <w:tcW w:w="2520" w:type="dxa"/>
            <w:vAlign w:val="bottom"/>
          </w:tcPr>
          <w:p>
            <w:pPr>
              <w:ind w:left="20"/>
              <w:spacing w:after="0"/>
              <w:rPr>
                <w:sz w:val="20"/>
                <w:szCs w:val="20"/>
                <w:color w:val="auto"/>
              </w:rPr>
            </w:pPr>
            <w:r>
              <w:rPr>
                <w:rFonts w:ascii="Arial" w:cs="Arial" w:eastAsia="Arial" w:hAnsi="Arial"/>
                <w:sz w:val="13"/>
                <w:szCs w:val="13"/>
                <w:color w:val="auto"/>
              </w:rPr>
              <w:t>Michigan</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403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376.39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332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310.08</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Ohio</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701.22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615.59</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208"/>
        </w:trPr>
        <w:tc>
          <w:tcPr>
            <w:tcW w:w="2520" w:type="dxa"/>
            <w:vAlign w:val="bottom"/>
          </w:tcPr>
          <w:p>
            <w:pPr>
              <w:ind w:left="20"/>
              <w:spacing w:after="0"/>
              <w:rPr>
                <w:sz w:val="20"/>
                <w:szCs w:val="20"/>
                <w:color w:val="auto"/>
              </w:rPr>
            </w:pPr>
            <w:r>
              <w:rPr>
                <w:rFonts w:ascii="Arial" w:cs="Arial" w:eastAsia="Arial" w:hAnsi="Arial"/>
                <w:sz w:val="13"/>
                <w:szCs w:val="13"/>
                <w:color w:val="auto"/>
              </w:rPr>
              <w:t>Puerto Rico</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122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198.95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177.56</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 Carolina</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362.24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322.55</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8"/>
        </w:trPr>
        <w:tc>
          <w:tcPr>
            <w:tcW w:w="2520" w:type="dxa"/>
            <w:vAlign w:val="bottom"/>
          </w:tcPr>
          <w:p>
            <w:pPr>
              <w:ind w:left="20"/>
              <w:spacing w:after="0"/>
              <w:rPr>
                <w:sz w:val="20"/>
                <w:szCs w:val="20"/>
                <w:color w:val="auto"/>
              </w:rPr>
            </w:pPr>
            <w:r>
              <w:rPr>
                <w:rFonts w:ascii="Arial" w:cs="Arial" w:eastAsia="Arial" w:hAnsi="Arial"/>
                <w:sz w:val="13"/>
                <w:szCs w:val="13"/>
                <w:color w:val="auto"/>
              </w:rPr>
              <w:t>Texas</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598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916.74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551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844.02</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92.1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257.79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225.67</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216"/>
        </w:trPr>
        <w:tc>
          <w:tcPr>
            <w:tcW w:w="25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24"/>
                <w:szCs w:val="24"/>
                <w:color w:val="auto"/>
                <w:vertAlign w:val="subscript"/>
              </w:rPr>
              <w:t>Other</w:t>
            </w:r>
            <w:r>
              <w:rPr>
                <w:rFonts w:ascii="Arial" w:cs="Arial" w:eastAsia="Arial" w:hAnsi="Arial"/>
                <w:sz w:val="8"/>
                <w:szCs w:val="8"/>
                <w:color w:val="auto"/>
              </w:rPr>
              <w:t xml:space="preserve"> (1) (2)</w:t>
            </w:r>
          </w:p>
        </w:tc>
        <w:tc>
          <w:tcPr>
            <w:tcW w:w="12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0.7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268</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ind w:right="56"/>
              <w:spacing w:after="0"/>
              <w:rPr>
                <w:sz w:val="20"/>
                <w:szCs w:val="20"/>
                <w:color w:val="auto"/>
              </w:rPr>
            </w:pPr>
            <w:r>
              <w:rPr>
                <w:rFonts w:ascii="Arial" w:cs="Arial" w:eastAsia="Arial" w:hAnsi="Arial"/>
                <w:sz w:val="13"/>
                <w:szCs w:val="13"/>
                <w:color w:val="auto"/>
              </w:rPr>
              <w:t>394.85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236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ind w:right="56"/>
              <w:spacing w:after="0"/>
              <w:rPr>
                <w:sz w:val="20"/>
                <w:szCs w:val="20"/>
                <w:color w:val="auto"/>
              </w:rPr>
            </w:pPr>
            <w:r>
              <w:rPr>
                <w:rFonts w:ascii="Arial" w:cs="Arial" w:eastAsia="Arial" w:hAnsi="Arial"/>
                <w:sz w:val="13"/>
                <w:szCs w:val="13"/>
                <w:color w:val="auto"/>
              </w:rPr>
              <w:t>347.43</w:t>
            </w:r>
          </w:p>
        </w:tc>
        <w:tc>
          <w:tcPr>
            <w:tcW w:w="1160" w:type="dxa"/>
            <w:vAlign w:val="bottom"/>
            <w:tcBorders>
              <w:bottom w:val="single" w:sz="8" w:color="CCEEFF"/>
            </w:tcBorders>
            <w:gridSpan w:val="2"/>
          </w:tcPr>
          <w:p>
            <w:pPr>
              <w:ind w:left="760"/>
              <w:spacing w:after="0"/>
              <w:rPr>
                <w:sz w:val="20"/>
                <w:szCs w:val="20"/>
                <w:color w:val="auto"/>
              </w:rPr>
            </w:pPr>
            <w:r>
              <w:rPr>
                <w:rFonts w:ascii="Arial" w:cs="Arial" w:eastAsia="Arial" w:hAnsi="Arial"/>
                <w:sz w:val="13"/>
                <w:szCs w:val="13"/>
                <w:color w:val="auto"/>
              </w:rPr>
              <w:t>88.0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82"/>
        </w:trPr>
        <w:tc>
          <w:tcPr>
            <w:tcW w:w="25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9.3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3,639</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392.52</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3,191</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344.14</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3"/>
                <w:szCs w:val="13"/>
                <w:color w:val="auto"/>
              </w:rPr>
              <w:t>87.7%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448</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40</w:t>
      </w:r>
    </w:p>
    <w:p>
      <w:pPr>
        <w:sectPr>
          <w:pgSz w:w="11900" w:h="16838" w:orient="portrait"/>
          <w:cols w:equalWidth="0" w:num="1">
            <w:col w:w="11460"/>
          </w:cols>
          <w:pgMar w:left="220" w:top="140" w:right="21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42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5"/>
          </w:tcPr>
          <w:p>
            <w:pPr>
              <w:jc w:val="center"/>
              <w:ind w:left="236"/>
              <w:spacing w:after="0"/>
              <w:rPr>
                <w:sz w:val="20"/>
                <w:szCs w:val="20"/>
                <w:color w:val="auto"/>
              </w:rPr>
            </w:pPr>
            <w:r>
              <w:rPr>
                <w:rFonts w:ascii="Arial" w:cs="Arial" w:eastAsia="Arial" w:hAnsi="Arial"/>
                <w:sz w:val="11"/>
                <w:szCs w:val="11"/>
                <w:b w:val="1"/>
                <w:bCs w:val="1"/>
                <w:color w:val="auto"/>
              </w:rPr>
              <w:t>Three Months Ended June 30, 2018</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Member</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Premium Revenue</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1"/>
                <w:szCs w:val="11"/>
                <w:b w:val="1"/>
                <w:bCs w:val="1"/>
                <w:color w:val="auto"/>
              </w:rPr>
              <w:t>Medical Care Costs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42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4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Months</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Total</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6"/>
              <w:spacing w:after="0"/>
              <w:rPr>
                <w:sz w:val="20"/>
                <w:szCs w:val="20"/>
                <w:color w:val="auto"/>
              </w:rPr>
            </w:pPr>
            <w:r>
              <w:rPr>
                <w:rFonts w:ascii="Arial" w:cs="Arial" w:eastAsia="Arial" w:hAnsi="Arial"/>
                <w:sz w:val="11"/>
                <w:szCs w:val="11"/>
                <w:b w:val="1"/>
                <w:bCs w:val="1"/>
                <w:color w:val="auto"/>
                <w:w w:val="96"/>
              </w:rPr>
              <w:t>PMPM</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PMPM</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MCR</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Medical Margin</w:t>
            </w: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517</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289.80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441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247.36</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Florida</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377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353.81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362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339.31</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95.9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Illinois</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311.60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261.59</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Michigan</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388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342.45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331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292.20</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New Mexico </w:t>
            </w:r>
            <w:r>
              <w:rPr>
                <w:rFonts w:ascii="Arial" w:cs="Arial" w:eastAsia="Arial" w:hAnsi="Arial"/>
                <w:sz w:val="17"/>
                <w:szCs w:val="17"/>
                <w:color w:val="auto"/>
                <w:vertAlign w:val="superscript"/>
              </w:rPr>
              <w:t>(2)</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313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469.88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435.36</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92.7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Ohio</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535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571.08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482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514.57</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90.1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Puerto Rico</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188.26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168.20</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South Carolina</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350.22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304.20</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576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835.66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740.55</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88.6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Washington</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571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252.61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526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232.49</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92.0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Other </w:t>
            </w:r>
            <w:r>
              <w:rPr>
                <w:rFonts w:ascii="Arial" w:cs="Arial" w:eastAsia="Arial" w:hAnsi="Arial"/>
                <w:sz w:val="17"/>
                <w:szCs w:val="17"/>
                <w:color w:val="auto"/>
                <w:vertAlign w:val="superscript"/>
              </w:rPr>
              <w:t>(1)</w:t>
            </w:r>
          </w:p>
        </w:tc>
        <w:tc>
          <w:tcPr>
            <w:tcW w:w="1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179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322.99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274.59</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85.0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82"/>
        </w:trPr>
        <w:tc>
          <w:tcPr>
            <w:tcW w:w="2420" w:type="dxa"/>
            <w:vAlign w:val="bottom"/>
          </w:tcPr>
          <w:p>
            <w:pPr>
              <w:spacing w:after="0"/>
              <w:rPr>
                <w:sz w:val="15"/>
                <w:szCs w:val="15"/>
                <w:color w:val="auto"/>
              </w:rPr>
            </w:pPr>
          </w:p>
        </w:tc>
        <w:tc>
          <w:tcPr>
            <w:tcW w:w="12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11.2</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3,966</w:t>
            </w:r>
          </w:p>
        </w:tc>
        <w:tc>
          <w:tcPr>
            <w:tcW w:w="58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358.23</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3,536</w:t>
            </w:r>
          </w:p>
        </w:tc>
        <w:tc>
          <w:tcPr>
            <w:tcW w:w="100" w:type="dxa"/>
            <w:vAlign w:val="bottom"/>
          </w:tcPr>
          <w:p>
            <w:pPr>
              <w:spacing w:after="0"/>
              <w:rPr>
                <w:sz w:val="15"/>
                <w:szCs w:val="15"/>
                <w:color w:val="auto"/>
              </w:rPr>
            </w:pP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319.37</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89.2%</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430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4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left="236"/>
              <w:spacing w:after="0"/>
              <w:rPr>
                <w:sz w:val="20"/>
                <w:szCs w:val="20"/>
                <w:color w:val="auto"/>
              </w:rPr>
            </w:pPr>
            <w:r>
              <w:rPr>
                <w:rFonts w:ascii="Arial" w:cs="Arial" w:eastAsia="Arial" w:hAnsi="Arial"/>
                <w:sz w:val="11"/>
                <w:szCs w:val="11"/>
                <w:b w:val="1"/>
                <w:bCs w:val="1"/>
                <w:color w:val="auto"/>
              </w:rPr>
              <w:t>Six Months Ended June 30, 2019</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Member</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Premium Revenue</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1"/>
                <w:szCs w:val="11"/>
                <w:b w:val="1"/>
                <w:bCs w:val="1"/>
                <w:color w:val="auto"/>
              </w:rPr>
              <w:t>Medical Care Costs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42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4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Months</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Total</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6"/>
              <w:spacing w:after="0"/>
              <w:rPr>
                <w:sz w:val="20"/>
                <w:szCs w:val="20"/>
                <w:color w:val="auto"/>
              </w:rPr>
            </w:pPr>
            <w:r>
              <w:rPr>
                <w:rFonts w:ascii="Arial" w:cs="Arial" w:eastAsia="Arial" w:hAnsi="Arial"/>
                <w:sz w:val="11"/>
                <w:szCs w:val="11"/>
                <w:b w:val="1"/>
                <w:bCs w:val="1"/>
                <w:color w:val="auto"/>
                <w:w w:val="96"/>
              </w:rPr>
              <w:t>PMPM</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PMPM</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MCR</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Medical Margin</w:t>
            </w: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998</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302.59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863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261.66</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Florida</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288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399.86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247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343.24</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Illinois</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469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356.16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303.50</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Michigan</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798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369.66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658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305.00</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Ohio</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680.20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607.85</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Puerto Rico</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224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181.91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161.40</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 Carolina</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276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362.68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315.84</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Texas</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1,197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909.59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1,083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822.59</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90.4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1,225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258.10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236.19</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91.5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24"/>
                <w:szCs w:val="24"/>
                <w:color w:val="auto"/>
                <w:vertAlign w:val="subscript"/>
              </w:rPr>
              <w:t>Other</w:t>
            </w:r>
            <w:r>
              <w:rPr>
                <w:rFonts w:ascii="Arial" w:cs="Arial" w:eastAsia="Arial" w:hAnsi="Arial"/>
                <w:sz w:val="8"/>
                <w:szCs w:val="8"/>
                <w:color w:val="auto"/>
              </w:rPr>
              <w:t xml:space="preserve"> (1) (2)</w:t>
            </w:r>
          </w:p>
        </w:tc>
        <w:tc>
          <w:tcPr>
            <w:tcW w:w="12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499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ind w:right="56"/>
              <w:spacing w:after="0"/>
              <w:rPr>
                <w:sz w:val="20"/>
                <w:szCs w:val="20"/>
                <w:color w:val="auto"/>
              </w:rPr>
            </w:pPr>
            <w:r>
              <w:rPr>
                <w:rFonts w:ascii="Arial" w:cs="Arial" w:eastAsia="Arial" w:hAnsi="Arial"/>
                <w:sz w:val="13"/>
                <w:szCs w:val="13"/>
                <w:color w:val="auto"/>
              </w:rPr>
              <w:t>383.07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414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ind w:right="56"/>
              <w:spacing w:after="0"/>
              <w:rPr>
                <w:sz w:val="20"/>
                <w:szCs w:val="20"/>
                <w:color w:val="auto"/>
              </w:rPr>
            </w:pPr>
            <w:r>
              <w:rPr>
                <w:rFonts w:ascii="Arial" w:cs="Arial" w:eastAsia="Arial" w:hAnsi="Arial"/>
                <w:sz w:val="13"/>
                <w:szCs w:val="13"/>
                <w:color w:val="auto"/>
              </w:rPr>
              <w:t>317.56</w:t>
            </w:r>
          </w:p>
        </w:tc>
        <w:tc>
          <w:tcPr>
            <w:tcW w:w="1160" w:type="dxa"/>
            <w:vAlign w:val="bottom"/>
            <w:tcBorders>
              <w:bottom w:val="single" w:sz="8" w:color="CCEEFF"/>
            </w:tcBorders>
            <w:gridSpan w:val="2"/>
          </w:tcPr>
          <w:p>
            <w:pPr>
              <w:ind w:left="760"/>
              <w:spacing w:after="0"/>
              <w:rPr>
                <w:sz w:val="20"/>
                <w:szCs w:val="20"/>
                <w:color w:val="auto"/>
              </w:rPr>
            </w:pPr>
            <w:r>
              <w:rPr>
                <w:rFonts w:ascii="Arial" w:cs="Arial" w:eastAsia="Arial" w:hAnsi="Arial"/>
                <w:sz w:val="13"/>
                <w:szCs w:val="13"/>
                <w:color w:val="auto"/>
              </w:rPr>
              <w:t>82.9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82"/>
        </w:trPr>
        <w:tc>
          <w:tcPr>
            <w:tcW w:w="24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18.7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7,194</w:t>
            </w:r>
          </w:p>
        </w:tc>
        <w:tc>
          <w:tcPr>
            <w:tcW w:w="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385.82</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6,315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338.67</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3"/>
                <w:szCs w:val="13"/>
                <w:color w:val="auto"/>
              </w:rPr>
              <w:t>87.8%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879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4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left="236"/>
              <w:spacing w:after="0"/>
              <w:rPr>
                <w:sz w:val="20"/>
                <w:szCs w:val="20"/>
                <w:color w:val="auto"/>
              </w:rPr>
            </w:pPr>
            <w:r>
              <w:rPr>
                <w:rFonts w:ascii="Arial" w:cs="Arial" w:eastAsia="Arial" w:hAnsi="Arial"/>
                <w:sz w:val="11"/>
                <w:szCs w:val="11"/>
                <w:b w:val="1"/>
                <w:bCs w:val="1"/>
                <w:color w:val="auto"/>
              </w:rPr>
              <w:t>Six Months Ended June 30, 2018</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Member</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Premium Revenue</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1"/>
                <w:szCs w:val="11"/>
                <w:b w:val="1"/>
                <w:bCs w:val="1"/>
                <w:color w:val="auto"/>
              </w:rPr>
              <w:t>Medical Care Costs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42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4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Months</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Total</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6"/>
              <w:spacing w:after="0"/>
              <w:rPr>
                <w:sz w:val="20"/>
                <w:szCs w:val="20"/>
                <w:color w:val="auto"/>
              </w:rPr>
            </w:pPr>
            <w:r>
              <w:rPr>
                <w:rFonts w:ascii="Arial" w:cs="Arial" w:eastAsia="Arial" w:hAnsi="Arial"/>
                <w:sz w:val="11"/>
                <w:szCs w:val="11"/>
                <w:b w:val="1"/>
                <w:bCs w:val="1"/>
                <w:color w:val="auto"/>
                <w:w w:val="96"/>
              </w:rPr>
              <w:t>PMPM</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PMPM</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MCR</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Medical Margin</w:t>
            </w: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1,011</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281.14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853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237.26</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Florida</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759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352.68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707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328.26</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93.1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Illinois</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344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305.94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259.87</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84.9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Michigan</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764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339.56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662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294.19</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New Mexico </w:t>
            </w:r>
            <w:r>
              <w:rPr>
                <w:rFonts w:ascii="Arial" w:cs="Arial" w:eastAsia="Arial" w:hAnsi="Arial"/>
                <w:sz w:val="17"/>
                <w:szCs w:val="17"/>
                <w:color w:val="auto"/>
                <w:vertAlign w:val="superscript"/>
              </w:rPr>
              <w:t>(2)</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632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468.00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444.44</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95.0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Ohio</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1,086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573.87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942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497.75</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Puerto Rico</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370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190.68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174.74</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91.6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South Carolina</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245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349.15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211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300.87</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1,138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822.72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744.05</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90.4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Washington</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1,155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254.64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1,100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242.48</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95.2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Other </w:t>
            </w:r>
            <w:r>
              <w:rPr>
                <w:rFonts w:ascii="Arial" w:cs="Arial" w:eastAsia="Arial" w:hAnsi="Arial"/>
                <w:sz w:val="17"/>
                <w:szCs w:val="17"/>
                <w:color w:val="auto"/>
                <w:vertAlign w:val="superscript"/>
              </w:rPr>
              <w:t>(1)</w:t>
            </w:r>
          </w:p>
        </w:tc>
        <w:tc>
          <w:tcPr>
            <w:tcW w:w="1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318.94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273.97</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85.9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12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22.1</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7,859</w:t>
            </w:r>
          </w:p>
        </w:tc>
        <w:tc>
          <w:tcPr>
            <w:tcW w:w="58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356.59</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7,040</w:t>
            </w:r>
          </w:p>
        </w:tc>
        <w:tc>
          <w:tcPr>
            <w:tcW w:w="100" w:type="dxa"/>
            <w:vAlign w:val="bottom"/>
          </w:tcPr>
          <w:p>
            <w:pPr>
              <w:spacing w:after="0"/>
              <w:rPr>
                <w:sz w:val="15"/>
                <w:szCs w:val="15"/>
                <w:color w:val="auto"/>
              </w:rPr>
            </w:pP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319.43</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89.6%</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819</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3"/>
                <w:szCs w:val="13"/>
                <w:color w:val="auto"/>
              </w:rPr>
              <w:t>______________________</w:t>
            </w: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42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(1)  “Other” includes the Idaho, Mississippi, New York, Utah and Wisconsin health plans, which are not individually significant to our consolidated operating results.</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41</w:t>
      </w:r>
    </w:p>
    <w:p>
      <w:pPr>
        <w:sectPr>
          <w:pgSz w:w="11900" w:h="16838" w:orient="portrait"/>
          <w:cols w:equalWidth="0" w:num="1">
            <w:col w:w="11460"/>
          </w:cols>
          <w:pgMar w:left="220" w:top="140" w:right="21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ind w:left="260" w:hanging="254"/>
        <w:spacing w:after="0" w:line="251" w:lineRule="auto"/>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 2019, “Other” includes the New Mexico health plan. The New Mexico health plan’s Medicaid contract terminated on December 31, 2018, and therefore its 2019 results are not individually significant to our consolidated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Health Plans Segment Financial Data — Marketplace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42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5"/>
          </w:tcPr>
          <w:p>
            <w:pPr>
              <w:jc w:val="center"/>
              <w:ind w:left="237"/>
              <w:spacing w:after="0"/>
              <w:rPr>
                <w:sz w:val="20"/>
                <w:szCs w:val="20"/>
                <w:color w:val="auto"/>
              </w:rPr>
            </w:pPr>
            <w:r>
              <w:rPr>
                <w:rFonts w:ascii="Arial" w:cs="Arial" w:eastAsia="Arial" w:hAnsi="Arial"/>
                <w:sz w:val="11"/>
                <w:szCs w:val="11"/>
                <w:b w:val="1"/>
                <w:bCs w:val="1"/>
                <w:color w:val="auto"/>
              </w:rPr>
              <w:t>Three Months Ended June 30, 2019</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Member</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Premium Revenue</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1"/>
                <w:szCs w:val="11"/>
                <w:b w:val="1"/>
                <w:bCs w:val="1"/>
                <w:color w:val="auto"/>
              </w:rPr>
              <w:t>Medical Care Costs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42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4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Months</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Total</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w w:val="96"/>
              </w:rPr>
              <w:t>PMPM</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PMPM</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MCR</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Medical Margin</w:t>
            </w: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382.22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220.31</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57.6%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Florida</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390.03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236.50</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60.6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Michigan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521.67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308.37</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59.1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Ohio</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754.67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565.69</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75.0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379.29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267.12</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70.4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Washington</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803.11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548.48</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68.3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Other </w:t>
            </w:r>
            <w:r>
              <w:rPr>
                <w:rFonts w:ascii="Arial" w:cs="Arial" w:eastAsia="Arial" w:hAnsi="Arial"/>
                <w:sz w:val="17"/>
                <w:szCs w:val="17"/>
                <w:color w:val="auto"/>
                <w:vertAlign w:val="superscript"/>
              </w:rPr>
              <w:t>(1)</w:t>
            </w:r>
          </w:p>
        </w:tc>
        <w:tc>
          <w:tcPr>
            <w:tcW w:w="12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527.41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376.04</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71.3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82"/>
        </w:trPr>
        <w:tc>
          <w:tcPr>
            <w:tcW w:w="2420" w:type="dxa"/>
            <w:vAlign w:val="bottom"/>
          </w:tcPr>
          <w:p>
            <w:pPr>
              <w:spacing w:after="0"/>
              <w:rPr>
                <w:sz w:val="15"/>
                <w:szCs w:val="15"/>
                <w:color w:val="auto"/>
              </w:rPr>
            </w:pP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0.9</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410</w:t>
            </w:r>
          </w:p>
        </w:tc>
        <w:tc>
          <w:tcPr>
            <w:tcW w:w="58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440.20</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275</w:t>
            </w:r>
          </w:p>
        </w:tc>
        <w:tc>
          <w:tcPr>
            <w:tcW w:w="100" w:type="dxa"/>
            <w:vAlign w:val="bottom"/>
          </w:tcPr>
          <w:p>
            <w:pPr>
              <w:spacing w:after="0"/>
              <w:rPr>
                <w:sz w:val="15"/>
                <w:szCs w:val="15"/>
                <w:color w:val="auto"/>
              </w:rPr>
            </w:pP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295.71</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67.2%</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24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left="237"/>
              <w:spacing w:after="0"/>
              <w:rPr>
                <w:sz w:val="20"/>
                <w:szCs w:val="20"/>
                <w:color w:val="auto"/>
              </w:rPr>
            </w:pPr>
            <w:r>
              <w:rPr>
                <w:rFonts w:ascii="Arial" w:cs="Arial" w:eastAsia="Arial" w:hAnsi="Arial"/>
                <w:sz w:val="11"/>
                <w:szCs w:val="11"/>
                <w:b w:val="1"/>
                <w:bCs w:val="1"/>
                <w:color w:val="auto"/>
              </w:rPr>
              <w:t>Three Months Ended June 30, 2018</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Member</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Premium Revenue</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1"/>
                <w:szCs w:val="11"/>
                <w:b w:val="1"/>
                <w:bCs w:val="1"/>
                <w:color w:val="auto"/>
              </w:rPr>
              <w:t>Medical Care Costs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42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4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Months</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Total</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w w:val="96"/>
              </w:rPr>
              <w:t>PMPM</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PMPM</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MCR</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Medical Margin</w:t>
            </w: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426.16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117.92</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27.7%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Florida</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698.31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269.86</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38.6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Michigan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288.67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146.97</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50.9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New Mexico</w:t>
            </w: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418.82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247.06</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59.0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Ohio</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518.64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381.46</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73.6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Texas</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330.12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238.72</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72.3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787.80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572.48</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72.7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16"/>
        </w:trPr>
        <w:tc>
          <w:tcPr>
            <w:tcW w:w="2420" w:type="dxa"/>
            <w:vAlign w:val="bottom"/>
          </w:tcPr>
          <w:p>
            <w:pPr>
              <w:ind w:left="20"/>
              <w:spacing w:after="0"/>
              <w:rPr>
                <w:sz w:val="20"/>
                <w:szCs w:val="20"/>
                <w:color w:val="auto"/>
              </w:rPr>
            </w:pPr>
            <w:r>
              <w:rPr>
                <w:rFonts w:ascii="Arial" w:cs="Arial" w:eastAsia="Arial" w:hAnsi="Arial"/>
                <w:sz w:val="13"/>
                <w:szCs w:val="13"/>
                <w:color w:val="auto"/>
              </w:rPr>
              <w:t xml:space="preserve">Other </w:t>
            </w:r>
            <w:r>
              <w:rPr>
                <w:rFonts w:ascii="Arial" w:cs="Arial" w:eastAsia="Arial" w:hAnsi="Arial"/>
                <w:sz w:val="17"/>
                <w:szCs w:val="17"/>
                <w:color w:val="auto"/>
                <w:vertAlign w:val="superscript"/>
              </w:rPr>
              <w:t>(2)</w:t>
            </w: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NM</w:t>
            </w:r>
          </w:p>
        </w:tc>
        <w:tc>
          <w:tcPr>
            <w:tcW w:w="28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NM</w:t>
            </w:r>
          </w:p>
        </w:tc>
        <w:tc>
          <w:tcPr>
            <w:tcW w:w="100" w:type="dxa"/>
            <w:vAlign w:val="bottom"/>
          </w:tcPr>
          <w:p>
            <w:pPr>
              <w:spacing w:after="0"/>
              <w:rPr>
                <w:sz w:val="18"/>
                <w:szCs w:val="18"/>
                <w:color w:val="auto"/>
              </w:rPr>
            </w:pPr>
          </w:p>
        </w:tc>
        <w:tc>
          <w:tcPr>
            <w:tcW w:w="1160" w:type="dxa"/>
            <w:vAlign w:val="bottom"/>
            <w:gridSpan w:val="2"/>
          </w:tcPr>
          <w:p>
            <w:pPr>
              <w:ind w:left="720"/>
              <w:spacing w:after="0"/>
              <w:rPr>
                <w:sz w:val="20"/>
                <w:szCs w:val="20"/>
                <w:color w:val="auto"/>
              </w:rPr>
            </w:pPr>
            <w:r>
              <w:rPr>
                <w:rFonts w:ascii="Arial" w:cs="Arial" w:eastAsia="Arial" w:hAnsi="Arial"/>
                <w:sz w:val="13"/>
                <w:szCs w:val="13"/>
                <w:color w:val="auto"/>
              </w:rPr>
              <w:t>NM</w:t>
            </w: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82"/>
        </w:trPr>
        <w:tc>
          <w:tcPr>
            <w:tcW w:w="242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548</w:t>
            </w:r>
          </w:p>
        </w:tc>
        <w:tc>
          <w:tcPr>
            <w:tcW w:w="580" w:type="dxa"/>
            <w:vAlign w:val="bottom"/>
            <w:tcBorders>
              <w:top w:val="single" w:sz="8" w:color="CCEEFF"/>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CCEEFF"/>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440.93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314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CCEEFF"/>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253.04</w:t>
            </w:r>
          </w:p>
        </w:tc>
        <w:tc>
          <w:tcPr>
            <w:tcW w:w="1160" w:type="dxa"/>
            <w:vAlign w:val="bottom"/>
            <w:tcBorders>
              <w:top w:val="single" w:sz="8" w:color="CCEEFF"/>
              <w:bottom w:val="single" w:sz="8" w:color="CCEEFF"/>
            </w:tcBorders>
            <w:gridSpan w:val="2"/>
            <w:shd w:val="clear" w:color="auto" w:fill="CCEEFF"/>
          </w:tcPr>
          <w:p>
            <w:pPr>
              <w:ind w:left="760"/>
              <w:spacing w:after="0"/>
              <w:rPr>
                <w:sz w:val="20"/>
                <w:szCs w:val="20"/>
                <w:color w:val="auto"/>
              </w:rPr>
            </w:pPr>
            <w:r>
              <w:rPr>
                <w:rFonts w:ascii="Arial" w:cs="Arial" w:eastAsia="Arial" w:hAnsi="Arial"/>
                <w:sz w:val="13"/>
                <w:szCs w:val="13"/>
                <w:color w:val="auto"/>
              </w:rPr>
              <w:t>57.4%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4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left="237"/>
              <w:spacing w:after="0"/>
              <w:rPr>
                <w:sz w:val="20"/>
                <w:szCs w:val="20"/>
                <w:color w:val="auto"/>
              </w:rPr>
            </w:pPr>
            <w:r>
              <w:rPr>
                <w:rFonts w:ascii="Arial" w:cs="Arial" w:eastAsia="Arial" w:hAnsi="Arial"/>
                <w:sz w:val="11"/>
                <w:szCs w:val="11"/>
                <w:b w:val="1"/>
                <w:bCs w:val="1"/>
                <w:color w:val="auto"/>
              </w:rPr>
              <w:t>Six Months Ended June 30, 2019</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Member</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Premium Revenue</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1"/>
                <w:szCs w:val="11"/>
                <w:b w:val="1"/>
                <w:bCs w:val="1"/>
                <w:color w:val="auto"/>
              </w:rPr>
              <w:t>Medical Care Costs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42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4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Months</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Total</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w w:val="96"/>
              </w:rPr>
              <w:t>PMPM</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PMPM</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MCR</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Medical Margin</w:t>
            </w: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117</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361.73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210.71</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58.2%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Florida</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406.52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205.17</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50.5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Michigan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492.23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255.98</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52.0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Ohio</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805.96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505.10</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62.7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341.18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245.82</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72.0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Washington</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756.26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490.84</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64.9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Other </w:t>
            </w:r>
            <w:r>
              <w:rPr>
                <w:rFonts w:ascii="Arial" w:cs="Arial" w:eastAsia="Arial" w:hAnsi="Arial"/>
                <w:sz w:val="17"/>
                <w:szCs w:val="17"/>
                <w:color w:val="auto"/>
                <w:vertAlign w:val="superscript"/>
              </w:rPr>
              <w:t>(1)</w:t>
            </w:r>
          </w:p>
        </w:tc>
        <w:tc>
          <w:tcPr>
            <w:tcW w:w="12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501.13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344.61</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68.8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82"/>
        </w:trPr>
        <w:tc>
          <w:tcPr>
            <w:tcW w:w="2420" w:type="dxa"/>
            <w:vAlign w:val="bottom"/>
          </w:tcPr>
          <w:p>
            <w:pPr>
              <w:spacing w:after="0"/>
              <w:rPr>
                <w:sz w:val="15"/>
                <w:szCs w:val="15"/>
                <w:color w:val="auto"/>
              </w:rPr>
            </w:pP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807</w:t>
            </w:r>
          </w:p>
        </w:tc>
        <w:tc>
          <w:tcPr>
            <w:tcW w:w="58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415.94</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522</w:t>
            </w:r>
          </w:p>
        </w:tc>
        <w:tc>
          <w:tcPr>
            <w:tcW w:w="100" w:type="dxa"/>
            <w:vAlign w:val="bottom"/>
          </w:tcPr>
          <w:p>
            <w:pPr>
              <w:spacing w:after="0"/>
              <w:rPr>
                <w:sz w:val="15"/>
                <w:szCs w:val="15"/>
                <w:color w:val="auto"/>
              </w:rPr>
            </w:pP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269.14</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64.7%</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42</w:t>
      </w:r>
    </w:p>
    <w:p>
      <w:pPr>
        <w:sectPr>
          <w:pgSz w:w="11900" w:h="16838" w:orient="portrait"/>
          <w:cols w:equalWidth="0" w:num="1">
            <w:col w:w="11460"/>
          </w:cols>
          <w:pgMar w:left="220" w:top="140" w:right="21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42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rPr>
              <w:t>Six Months Ended June 30, 2018</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Member</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Premium Revenue</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1"/>
                <w:szCs w:val="11"/>
                <w:b w:val="1"/>
                <w:bCs w:val="1"/>
                <w:color w:val="auto"/>
              </w:rPr>
              <w:t>Medical Care Costs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42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4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Months</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Total</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w w:val="96"/>
              </w:rPr>
              <w:t>PMPM</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PMPM</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MCR</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Medical Margin</w:t>
            </w: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334.47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141.73</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42.4%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Florida</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145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468.36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73.13</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Michigan</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254.69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145.49</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57.1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New Mexico</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429.19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246.77</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57.5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Ohio</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458.48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319.53</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69.7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Texas</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451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318.93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216.83</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68.0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653.89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486.90</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74.5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16"/>
        </w:trPr>
        <w:tc>
          <w:tcPr>
            <w:tcW w:w="2420" w:type="dxa"/>
            <w:vAlign w:val="bottom"/>
          </w:tcPr>
          <w:p>
            <w:pPr>
              <w:ind w:left="20"/>
              <w:spacing w:after="0"/>
              <w:rPr>
                <w:sz w:val="20"/>
                <w:szCs w:val="20"/>
                <w:color w:val="auto"/>
              </w:rPr>
            </w:pPr>
            <w:r>
              <w:rPr>
                <w:rFonts w:ascii="Arial" w:cs="Arial" w:eastAsia="Arial" w:hAnsi="Arial"/>
                <w:sz w:val="13"/>
                <w:szCs w:val="13"/>
                <w:color w:val="auto"/>
              </w:rPr>
              <w:t xml:space="preserve">Other </w:t>
            </w:r>
            <w:r>
              <w:rPr>
                <w:rFonts w:ascii="Arial" w:cs="Arial" w:eastAsia="Arial" w:hAnsi="Arial"/>
                <w:sz w:val="17"/>
                <w:szCs w:val="17"/>
                <w:color w:val="auto"/>
                <w:vertAlign w:val="superscript"/>
              </w:rPr>
              <w:t>(2)</w:t>
            </w: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NM</w:t>
            </w:r>
          </w:p>
        </w:tc>
        <w:tc>
          <w:tcPr>
            <w:tcW w:w="28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NM</w:t>
            </w:r>
          </w:p>
        </w:tc>
        <w:tc>
          <w:tcPr>
            <w:tcW w:w="100" w:type="dxa"/>
            <w:vAlign w:val="bottom"/>
          </w:tcPr>
          <w:p>
            <w:pPr>
              <w:spacing w:after="0"/>
              <w:rPr>
                <w:sz w:val="18"/>
                <w:szCs w:val="18"/>
                <w:color w:val="auto"/>
              </w:rPr>
            </w:pPr>
          </w:p>
        </w:tc>
        <w:tc>
          <w:tcPr>
            <w:tcW w:w="1160" w:type="dxa"/>
            <w:vAlign w:val="bottom"/>
            <w:gridSpan w:val="2"/>
          </w:tcPr>
          <w:p>
            <w:pPr>
              <w:ind w:left="720"/>
              <w:spacing w:after="0"/>
              <w:rPr>
                <w:sz w:val="20"/>
                <w:szCs w:val="20"/>
                <w:color w:val="auto"/>
              </w:rPr>
            </w:pPr>
            <w:r>
              <w:rPr>
                <w:rFonts w:ascii="Arial" w:cs="Arial" w:eastAsia="Arial" w:hAnsi="Arial"/>
                <w:sz w:val="13"/>
                <w:szCs w:val="13"/>
                <w:color w:val="auto"/>
              </w:rPr>
              <w:t>NM</w:t>
            </w: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82"/>
        </w:trPr>
        <w:tc>
          <w:tcPr>
            <w:tcW w:w="242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978</w:t>
            </w:r>
          </w:p>
        </w:tc>
        <w:tc>
          <w:tcPr>
            <w:tcW w:w="580" w:type="dxa"/>
            <w:vAlign w:val="bottom"/>
            <w:tcBorders>
              <w:top w:val="single" w:sz="8" w:color="CCEEFF"/>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CCEEFF"/>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373.67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532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CCEEFF"/>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203.34</w:t>
            </w:r>
          </w:p>
        </w:tc>
        <w:tc>
          <w:tcPr>
            <w:tcW w:w="1160" w:type="dxa"/>
            <w:vAlign w:val="bottom"/>
            <w:tcBorders>
              <w:top w:val="single" w:sz="8" w:color="CCEEFF"/>
              <w:bottom w:val="single" w:sz="8" w:color="CCEEFF"/>
            </w:tcBorders>
            <w:gridSpan w:val="2"/>
            <w:shd w:val="clear" w:color="auto" w:fill="CCEEFF"/>
          </w:tcPr>
          <w:p>
            <w:pPr>
              <w:ind w:left="760"/>
              <w:spacing w:after="0"/>
              <w:rPr>
                <w:sz w:val="20"/>
                <w:szCs w:val="20"/>
                <w:color w:val="auto"/>
              </w:rPr>
            </w:pPr>
            <w:r>
              <w:rPr>
                <w:rFonts w:ascii="Arial" w:cs="Arial" w:eastAsia="Arial" w:hAnsi="Arial"/>
                <w:sz w:val="13"/>
                <w:szCs w:val="13"/>
                <w:color w:val="auto"/>
              </w:rPr>
              <w:t>54.4%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446</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4"/>
                <w:szCs w:val="14"/>
                <w:color w:val="auto"/>
              </w:rPr>
              <w:t>_________________________</w:t>
            </w: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42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60" w:hanging="254"/>
        <w:spacing w:after="0"/>
        <w:tabs>
          <w:tab w:leader="none" w:pos="2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“Other” includes the New Mexico, Utah and Wisconsin health plans, which are not individually significant to our consolidated operating results in 2019.</w:t>
      </w:r>
    </w:p>
    <w:p>
      <w:pPr>
        <w:spacing w:after="0" w:line="1" w:lineRule="exact"/>
        <w:rPr>
          <w:rFonts w:ascii="Arial" w:cs="Arial" w:eastAsia="Arial" w:hAnsi="Arial"/>
          <w:sz w:val="13"/>
          <w:szCs w:val="13"/>
          <w:color w:val="auto"/>
        </w:rPr>
      </w:pPr>
    </w:p>
    <w:p>
      <w:pPr>
        <w:ind w:left="260" w:hanging="254"/>
        <w:spacing w:after="0"/>
        <w:tabs>
          <w:tab w:leader="none" w:pos="2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“Other” includes the Utah and Wisconsin health plans, where we did not participate in the Marketplace in 2018. Therefore, the ratios for 2018 periods are not meaningful (NM).</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Health Plans Segment Financial Data — Total</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42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5"/>
          </w:tcPr>
          <w:p>
            <w:pPr>
              <w:ind w:left="340"/>
              <w:spacing w:after="0"/>
              <w:rPr>
                <w:sz w:val="20"/>
                <w:szCs w:val="20"/>
                <w:color w:val="auto"/>
              </w:rPr>
            </w:pPr>
            <w:r>
              <w:rPr>
                <w:rFonts w:ascii="Arial" w:cs="Arial" w:eastAsia="Arial" w:hAnsi="Arial"/>
                <w:sz w:val="11"/>
                <w:szCs w:val="11"/>
                <w:b w:val="1"/>
                <w:bCs w:val="1"/>
                <w:color w:val="auto"/>
              </w:rPr>
              <w:t>Three Months Ended June 30, 2019</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Member</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Premium Revenue</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1"/>
                <w:szCs w:val="11"/>
                <w:b w:val="1"/>
                <w:bCs w:val="1"/>
                <w:color w:val="auto"/>
              </w:rPr>
              <w:t>Medical Care Costs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42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4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Months</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Total</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6"/>
              <w:spacing w:after="0"/>
              <w:rPr>
                <w:sz w:val="20"/>
                <w:szCs w:val="20"/>
                <w:color w:val="auto"/>
              </w:rPr>
            </w:pPr>
            <w:r>
              <w:rPr>
                <w:rFonts w:ascii="Arial" w:cs="Arial" w:eastAsia="Arial" w:hAnsi="Arial"/>
                <w:sz w:val="11"/>
                <w:szCs w:val="11"/>
                <w:b w:val="1"/>
                <w:bCs w:val="1"/>
                <w:color w:val="auto"/>
                <w:w w:val="96"/>
              </w:rPr>
              <w:t>PMPM</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PMPM</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MCR</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Medical Margin</w:t>
            </w: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560</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312.21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250.87</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Florida</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176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408.99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350.47</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Illinois</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242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364.15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323.96</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Michigan</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413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378.86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338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310.05</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Ohio</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654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703.09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613.85</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Puerto Rico</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122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198.95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177.56</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 Carolina</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362.24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322.55</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Texas</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765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700.15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668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611.53</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271.96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234.05</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24"/>
                <w:szCs w:val="24"/>
                <w:color w:val="auto"/>
                <w:vertAlign w:val="subscript"/>
              </w:rPr>
              <w:t>Other</w:t>
            </w:r>
            <w:r>
              <w:rPr>
                <w:rFonts w:ascii="Arial" w:cs="Arial" w:eastAsia="Arial" w:hAnsi="Arial"/>
                <w:sz w:val="8"/>
                <w:szCs w:val="8"/>
                <w:color w:val="auto"/>
              </w:rPr>
              <w:t xml:space="preserve"> (1) (2)</w:t>
            </w:r>
          </w:p>
        </w:tc>
        <w:tc>
          <w:tcPr>
            <w:tcW w:w="12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0.8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315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ind w:right="56"/>
              <w:spacing w:after="0"/>
              <w:rPr>
                <w:sz w:val="20"/>
                <w:szCs w:val="20"/>
                <w:color w:val="auto"/>
              </w:rPr>
            </w:pPr>
            <w:r>
              <w:rPr>
                <w:rFonts w:ascii="Arial" w:cs="Arial" w:eastAsia="Arial" w:hAnsi="Arial"/>
                <w:sz w:val="13"/>
                <w:szCs w:val="13"/>
                <w:color w:val="auto"/>
              </w:rPr>
              <w:t>410.27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269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ind w:right="56"/>
              <w:spacing w:after="0"/>
              <w:rPr>
                <w:sz w:val="20"/>
                <w:szCs w:val="20"/>
                <w:color w:val="auto"/>
              </w:rPr>
            </w:pPr>
            <w:r>
              <w:rPr>
                <w:rFonts w:ascii="Arial" w:cs="Arial" w:eastAsia="Arial" w:hAnsi="Arial"/>
                <w:sz w:val="13"/>
                <w:szCs w:val="13"/>
                <w:color w:val="auto"/>
              </w:rPr>
              <w:t>350.76</w:t>
            </w:r>
          </w:p>
        </w:tc>
        <w:tc>
          <w:tcPr>
            <w:tcW w:w="1160" w:type="dxa"/>
            <w:vAlign w:val="bottom"/>
            <w:tcBorders>
              <w:bottom w:val="single" w:sz="8" w:color="CCEEFF"/>
            </w:tcBorders>
            <w:gridSpan w:val="2"/>
          </w:tcPr>
          <w:p>
            <w:pPr>
              <w:ind w:left="760"/>
              <w:spacing w:after="0"/>
              <w:rPr>
                <w:sz w:val="20"/>
                <w:szCs w:val="20"/>
                <w:color w:val="auto"/>
              </w:rPr>
            </w:pPr>
            <w:r>
              <w:rPr>
                <w:rFonts w:ascii="Arial" w:cs="Arial" w:eastAsia="Arial" w:hAnsi="Arial"/>
                <w:sz w:val="13"/>
                <w:szCs w:val="13"/>
                <w:color w:val="auto"/>
              </w:rPr>
              <w:t>85.5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82"/>
        </w:trPr>
        <w:tc>
          <w:tcPr>
            <w:tcW w:w="24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4,049</w:t>
            </w:r>
          </w:p>
        </w:tc>
        <w:tc>
          <w:tcPr>
            <w:tcW w:w="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396.87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3,466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339.72</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3"/>
                <w:szCs w:val="13"/>
                <w:color w:val="auto"/>
              </w:rPr>
              <w:t>85.6%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583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4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ind w:left="340"/>
              <w:spacing w:after="0"/>
              <w:rPr>
                <w:sz w:val="20"/>
                <w:szCs w:val="20"/>
                <w:color w:val="auto"/>
              </w:rPr>
            </w:pPr>
            <w:r>
              <w:rPr>
                <w:rFonts w:ascii="Arial" w:cs="Arial" w:eastAsia="Arial" w:hAnsi="Arial"/>
                <w:sz w:val="11"/>
                <w:szCs w:val="11"/>
                <w:b w:val="1"/>
                <w:bCs w:val="1"/>
                <w:color w:val="auto"/>
              </w:rPr>
              <w:t>Three Months Ended June 30, 2018</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Member</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Premium Revenue</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1"/>
                <w:szCs w:val="11"/>
                <w:b w:val="1"/>
                <w:bCs w:val="1"/>
                <w:color w:val="auto"/>
              </w:rPr>
              <w:t>Medical Care Costs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42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4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Months</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Total</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6"/>
              <w:spacing w:after="0"/>
              <w:rPr>
                <w:sz w:val="20"/>
                <w:szCs w:val="20"/>
                <w:color w:val="auto"/>
              </w:rPr>
            </w:pPr>
            <w:r>
              <w:rPr>
                <w:rFonts w:ascii="Arial" w:cs="Arial" w:eastAsia="Arial" w:hAnsi="Arial"/>
                <w:sz w:val="11"/>
                <w:szCs w:val="11"/>
                <w:b w:val="1"/>
                <w:bCs w:val="1"/>
                <w:color w:val="auto"/>
                <w:w w:val="96"/>
              </w:rPr>
              <w:t>PMPM</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PMPM</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MCR</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Medical Margin</w:t>
            </w: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590</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301.73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236.04</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78.2%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Florida</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477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394.38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331.13</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Illinois</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311.60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261.59</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Michigan</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403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340.08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338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285.78</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New Mexico </w:t>
            </w:r>
            <w:r>
              <w:rPr>
                <w:rFonts w:ascii="Arial" w:cs="Arial" w:eastAsia="Arial" w:hAnsi="Arial"/>
                <w:sz w:val="17"/>
                <w:szCs w:val="17"/>
                <w:color w:val="auto"/>
                <w:vertAlign w:val="superscript"/>
              </w:rPr>
              <w:t>(2)</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344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464.90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416.99</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Ohio</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566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567.96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505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506.66</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Puerto Rico</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188.26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168.20</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South Carolina</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350.22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304.20</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798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585.50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492.23</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Washington</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627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268.84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567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242.80</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90.3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Other </w:t>
            </w:r>
            <w:r>
              <w:rPr>
                <w:rFonts w:ascii="Arial" w:cs="Arial" w:eastAsia="Arial" w:hAnsi="Arial"/>
                <w:sz w:val="17"/>
                <w:szCs w:val="17"/>
                <w:color w:val="auto"/>
                <w:vertAlign w:val="superscript"/>
              </w:rPr>
              <w:t>(1)</w:t>
            </w:r>
          </w:p>
        </w:tc>
        <w:tc>
          <w:tcPr>
            <w:tcW w:w="1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199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360.90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285.65</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79.1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82"/>
        </w:trPr>
        <w:tc>
          <w:tcPr>
            <w:tcW w:w="2420" w:type="dxa"/>
            <w:vAlign w:val="bottom"/>
          </w:tcPr>
          <w:p>
            <w:pPr>
              <w:spacing w:after="0"/>
              <w:rPr>
                <w:sz w:val="15"/>
                <w:szCs w:val="15"/>
                <w:color w:val="auto"/>
              </w:rPr>
            </w:pPr>
          </w:p>
        </w:tc>
        <w:tc>
          <w:tcPr>
            <w:tcW w:w="12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12.4</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4,514</w:t>
            </w:r>
          </w:p>
        </w:tc>
        <w:tc>
          <w:tcPr>
            <w:tcW w:w="58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366.57</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3,850</w:t>
            </w:r>
          </w:p>
        </w:tc>
        <w:tc>
          <w:tcPr>
            <w:tcW w:w="100" w:type="dxa"/>
            <w:vAlign w:val="bottom"/>
          </w:tcPr>
          <w:p>
            <w:pPr>
              <w:spacing w:after="0"/>
              <w:rPr>
                <w:sz w:val="15"/>
                <w:szCs w:val="15"/>
                <w:color w:val="auto"/>
              </w:rPr>
            </w:pP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312.68</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85.3%</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664</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43</w:t>
      </w:r>
    </w:p>
    <w:p>
      <w:pPr>
        <w:sectPr>
          <w:pgSz w:w="11900" w:h="16838" w:orient="portrait"/>
          <w:cols w:equalWidth="0" w:num="1">
            <w:col w:w="11460"/>
          </w:cols>
          <w:pgMar w:left="220" w:top="140" w:right="21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42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rPr>
              <w:t>Six Months Ended June 30, 2019</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Member</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Premium Revenue</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1"/>
                <w:szCs w:val="11"/>
                <w:b w:val="1"/>
                <w:bCs w:val="1"/>
                <w:color w:val="auto"/>
              </w:rPr>
              <w:t>Medical Care Costs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42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4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Months</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Total</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6"/>
              <w:spacing w:after="0"/>
              <w:rPr>
                <w:sz w:val="20"/>
                <w:szCs w:val="20"/>
                <w:color w:val="auto"/>
              </w:rPr>
            </w:pPr>
            <w:r>
              <w:rPr>
                <w:rFonts w:ascii="Arial" w:cs="Arial" w:eastAsia="Arial" w:hAnsi="Arial"/>
                <w:sz w:val="11"/>
                <w:szCs w:val="11"/>
                <w:b w:val="1"/>
                <w:bCs w:val="1"/>
                <w:color w:val="auto"/>
                <w:w w:val="96"/>
              </w:rPr>
              <w:t>PMPM</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PMPM</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MCR</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Medical Margin</w:t>
            </w: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1,115</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307.88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931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257.10</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Florida</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399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401.69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303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305.23</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76.0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Illinois</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469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356.16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303.50</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Michigan</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818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371.91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669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304.10</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Ohio</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684.77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604.12</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Puerto Rico</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224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181.91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161.40</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 Carolina</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276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362.68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315.84</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Texas</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1,512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675.34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1,309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584.90</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1,323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271.34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242.96</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24"/>
                <w:szCs w:val="24"/>
                <w:color w:val="auto"/>
                <w:vertAlign w:val="subscript"/>
              </w:rPr>
              <w:t>Other</w:t>
            </w:r>
            <w:r>
              <w:rPr>
                <w:rFonts w:ascii="Arial" w:cs="Arial" w:eastAsia="Arial" w:hAnsi="Arial"/>
                <w:sz w:val="8"/>
                <w:szCs w:val="8"/>
                <w:color w:val="auto"/>
              </w:rPr>
              <w:t xml:space="preserve"> (1) (2)</w:t>
            </w:r>
          </w:p>
        </w:tc>
        <w:tc>
          <w:tcPr>
            <w:tcW w:w="12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591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ind w:right="56"/>
              <w:spacing w:after="0"/>
              <w:rPr>
                <w:sz w:val="20"/>
                <w:szCs w:val="20"/>
                <w:color w:val="auto"/>
              </w:rPr>
            </w:pPr>
            <w:r>
              <w:rPr>
                <w:rFonts w:ascii="Arial" w:cs="Arial" w:eastAsia="Arial" w:hAnsi="Arial"/>
                <w:sz w:val="13"/>
                <w:szCs w:val="13"/>
                <w:color w:val="auto"/>
              </w:rPr>
              <w:t>397.61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477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ind w:right="56"/>
              <w:spacing w:after="0"/>
              <w:rPr>
                <w:sz w:val="20"/>
                <w:szCs w:val="20"/>
                <w:color w:val="auto"/>
              </w:rPr>
            </w:pPr>
            <w:r>
              <w:rPr>
                <w:rFonts w:ascii="Arial" w:cs="Arial" w:eastAsia="Arial" w:hAnsi="Arial"/>
                <w:sz w:val="13"/>
                <w:szCs w:val="13"/>
                <w:color w:val="auto"/>
              </w:rPr>
              <w:t>320.90</w:t>
            </w:r>
          </w:p>
        </w:tc>
        <w:tc>
          <w:tcPr>
            <w:tcW w:w="1160" w:type="dxa"/>
            <w:vAlign w:val="bottom"/>
            <w:tcBorders>
              <w:bottom w:val="single" w:sz="8" w:color="CCEEFF"/>
            </w:tcBorders>
            <w:gridSpan w:val="2"/>
          </w:tcPr>
          <w:p>
            <w:pPr>
              <w:ind w:left="760"/>
              <w:spacing w:after="0"/>
              <w:rPr>
                <w:sz w:val="20"/>
                <w:szCs w:val="20"/>
                <w:color w:val="auto"/>
              </w:rPr>
            </w:pPr>
            <w:r>
              <w:rPr>
                <w:rFonts w:ascii="Arial" w:cs="Arial" w:eastAsia="Arial" w:hAnsi="Arial"/>
                <w:sz w:val="13"/>
                <w:szCs w:val="13"/>
                <w:color w:val="auto"/>
              </w:rPr>
              <w:t>80.7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82"/>
        </w:trPr>
        <w:tc>
          <w:tcPr>
            <w:tcW w:w="24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20.6</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8,001</w:t>
            </w:r>
          </w:p>
        </w:tc>
        <w:tc>
          <w:tcPr>
            <w:tcW w:w="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388.66</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6,837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332.11</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3"/>
                <w:szCs w:val="13"/>
                <w:color w:val="auto"/>
              </w:rPr>
              <w:t>85.5%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1,164</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8"/>
        </w:trPr>
        <w:tc>
          <w:tcPr>
            <w:tcW w:w="24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rPr>
              <w:t>Six Months Ended June 30, 2018</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Member</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Premium Revenue</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1"/>
                <w:szCs w:val="11"/>
                <w:b w:val="1"/>
                <w:bCs w:val="1"/>
                <w:color w:val="auto"/>
              </w:rPr>
              <w:t>Medical Care Costs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42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4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Months</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Total</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6"/>
              <w:spacing w:after="0"/>
              <w:rPr>
                <w:sz w:val="20"/>
                <w:szCs w:val="20"/>
                <w:color w:val="auto"/>
              </w:rPr>
            </w:pPr>
            <w:r>
              <w:rPr>
                <w:rFonts w:ascii="Arial" w:cs="Arial" w:eastAsia="Arial" w:hAnsi="Arial"/>
                <w:sz w:val="11"/>
                <w:szCs w:val="11"/>
                <w:b w:val="1"/>
                <w:bCs w:val="1"/>
                <w:color w:val="auto"/>
                <w:w w:val="96"/>
              </w:rPr>
              <w:t>PMPM</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PMPM</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MCR</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Medical Margin</w:t>
            </w: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1,133</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286.07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228.44</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79.9%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Florida</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904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367.18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729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296.29</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Illinois</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344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305.94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259.87</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84.9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Michigan</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792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335.59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678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287.23</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New Mexico </w:t>
            </w:r>
            <w:r>
              <w:rPr>
                <w:rFonts w:ascii="Arial" w:cs="Arial" w:eastAsia="Arial" w:hAnsi="Arial"/>
                <w:sz w:val="17"/>
                <w:szCs w:val="17"/>
                <w:color w:val="auto"/>
                <w:vertAlign w:val="superscript"/>
              </w:rPr>
              <w:t>(2)</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697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464.11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424.58</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91.5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Ohio</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1,143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566.77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982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486.79</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Puerto Rico</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370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190.68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174.74</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91.6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South Carolina</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245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349.15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211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300.87</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1,589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567.95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477.43</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84.1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208"/>
        </w:trPr>
        <w:tc>
          <w:tcPr>
            <w:tcW w:w="2420" w:type="dxa"/>
            <w:vAlign w:val="bottom"/>
          </w:tcPr>
          <w:p>
            <w:pPr>
              <w:ind w:left="20"/>
              <w:spacing w:after="0"/>
              <w:rPr>
                <w:sz w:val="20"/>
                <w:szCs w:val="20"/>
                <w:color w:val="auto"/>
              </w:rPr>
            </w:pPr>
            <w:r>
              <w:rPr>
                <w:rFonts w:ascii="Arial" w:cs="Arial" w:eastAsia="Arial" w:hAnsi="Arial"/>
                <w:sz w:val="13"/>
                <w:szCs w:val="13"/>
                <w:color w:val="auto"/>
              </w:rPr>
              <w:t>Washington</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1,250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267.01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1,171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250.05</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93.6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Other </w:t>
            </w:r>
            <w:r>
              <w:rPr>
                <w:rFonts w:ascii="Arial" w:cs="Arial" w:eastAsia="Arial" w:hAnsi="Arial"/>
                <w:sz w:val="17"/>
                <w:szCs w:val="17"/>
                <w:color w:val="auto"/>
                <w:vertAlign w:val="superscript"/>
              </w:rPr>
              <w:t>(1)</w:t>
            </w:r>
          </w:p>
        </w:tc>
        <w:tc>
          <w:tcPr>
            <w:tcW w:w="1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370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333.35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263.24</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79.0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82"/>
        </w:trPr>
        <w:tc>
          <w:tcPr>
            <w:tcW w:w="2420" w:type="dxa"/>
            <w:vAlign w:val="bottom"/>
          </w:tcPr>
          <w:p>
            <w:pPr>
              <w:spacing w:after="0"/>
              <w:rPr>
                <w:sz w:val="15"/>
                <w:szCs w:val="15"/>
                <w:color w:val="auto"/>
              </w:rPr>
            </w:pPr>
          </w:p>
        </w:tc>
        <w:tc>
          <w:tcPr>
            <w:tcW w:w="12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24.7</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8,837</w:t>
            </w:r>
          </w:p>
        </w:tc>
        <w:tc>
          <w:tcPr>
            <w:tcW w:w="58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358.40</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7,572</w:t>
            </w:r>
          </w:p>
        </w:tc>
        <w:tc>
          <w:tcPr>
            <w:tcW w:w="100" w:type="dxa"/>
            <w:vAlign w:val="bottom"/>
          </w:tcPr>
          <w:p>
            <w:pPr>
              <w:spacing w:after="0"/>
              <w:rPr>
                <w:sz w:val="15"/>
                <w:szCs w:val="15"/>
                <w:color w:val="auto"/>
              </w:rPr>
            </w:pP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307.11</w:t>
            </w:r>
          </w:p>
        </w:tc>
        <w:tc>
          <w:tcPr>
            <w:tcW w:w="1160" w:type="dxa"/>
            <w:vAlign w:val="bottom"/>
            <w:gridSpan w:val="2"/>
          </w:tcPr>
          <w:p>
            <w:pPr>
              <w:ind w:left="760"/>
              <w:spacing w:after="0"/>
              <w:rPr>
                <w:sz w:val="20"/>
                <w:szCs w:val="20"/>
                <w:color w:val="auto"/>
              </w:rPr>
            </w:pPr>
            <w:r>
              <w:rPr>
                <w:rFonts w:ascii="Arial" w:cs="Arial" w:eastAsia="Arial" w:hAnsi="Arial"/>
                <w:sz w:val="13"/>
                <w:szCs w:val="13"/>
                <w:color w:val="auto"/>
              </w:rPr>
              <w:t>85.7%</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1,265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0" w:lineRule="exact"/>
        <w:rPr>
          <w:sz w:val="20"/>
          <w:szCs w:val="20"/>
          <w:color w:val="auto"/>
        </w:rPr>
      </w:pPr>
    </w:p>
    <w:p>
      <w:pPr>
        <w:ind w:left="260" w:hanging="254"/>
        <w:spacing w:after="0"/>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“Other” includes the Idaho, Mississippi, New York, Utah and Wisconsin health plans, which are not individually significant to our consolidated operating results.</w:t>
      </w:r>
    </w:p>
    <w:p>
      <w:pPr>
        <w:spacing w:after="0" w:line="1" w:lineRule="exact"/>
        <w:rPr>
          <w:rFonts w:ascii="Arial" w:cs="Arial" w:eastAsia="Arial" w:hAnsi="Arial"/>
          <w:sz w:val="13"/>
          <w:szCs w:val="13"/>
          <w:color w:val="auto"/>
        </w:rPr>
      </w:pPr>
    </w:p>
    <w:p>
      <w:pPr>
        <w:ind w:left="260" w:right="460" w:hanging="254"/>
        <w:spacing w:after="0" w:line="251" w:lineRule="auto"/>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 2019, “Other” includes the New Mexico health plan. The New Mexico health plan’s Medicaid contract terminated on December 31, 2018, and therefore its 2019 results are not individually significant to our consolidated operating results.</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OTHER</w:t>
      </w:r>
    </w:p>
    <w:p>
      <w:pPr>
        <w:spacing w:after="0" w:line="202" w:lineRule="exact"/>
        <w:rPr>
          <w:sz w:val="20"/>
          <w:szCs w:val="20"/>
          <w:color w:val="auto"/>
        </w:rPr>
      </w:pPr>
    </w:p>
    <w:p>
      <w:pPr>
        <w:ind w:right="240"/>
        <w:spacing w:after="0" w:line="265" w:lineRule="auto"/>
        <w:rPr>
          <w:sz w:val="20"/>
          <w:szCs w:val="20"/>
          <w:color w:val="auto"/>
        </w:rPr>
      </w:pPr>
      <w:r>
        <w:rPr>
          <w:rFonts w:ascii="Arial" w:cs="Arial" w:eastAsia="Arial" w:hAnsi="Arial"/>
          <w:sz w:val="14"/>
          <w:szCs w:val="14"/>
          <w:color w:val="auto"/>
        </w:rPr>
        <w:t>The Other segment includes the historical results of the Medicaid management information systems (“MMIS”) and behavioral health subsidiaries we sold in the fourth quarter of 2018, as well as certain corporate amounts not allocated to the Health Plans segment. Prior to the fourth quarter of 2018, the MMIS subsidiary was reported as a stand-alone segment. Beginning in 2019, we no longer report service revenue or cost of service revenue as a result of the sales of the MMIS and behavioral health subsidiaries noted above.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828282"/>
        </w:rPr>
        <w:t>FINANCIAL OVERVIEW</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Other segment margin in the second quarter and six months ended June 30, 2018, was insignificant.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44</w:t>
      </w:r>
    </w:p>
    <w:p>
      <w:pPr>
        <w:sectPr>
          <w:pgSz w:w="11900" w:h="16838" w:orient="portrait"/>
          <w:cols w:equalWidth="0" w:num="1">
            <w:col w:w="11460"/>
          </w:cols>
          <w:pgMar w:left="220" w:top="140" w:right="21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LIQUIDITY AND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828282"/>
        </w:rPr>
        <w:t>LIQUIDITY</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65"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We maintain liquidity at two levels: 1) the regulated health plan subsidiaries; and 2) the parent company. Our regulated health plan subsidiaries generate significant cash flows from premium revenue, which is generally received a short time before related healthcare services are paid. Such cash flows are our primary source of liquidity. Thus, any future decline in our profitability may have a negative impact on our liquidity. A majority of the assets held by our regulated health plan subsidiaries is in the form of cash, cash equivalents, and investments.</w:t>
      </w:r>
    </w:p>
    <w:p>
      <w:pPr>
        <w:spacing w:after="0" w:line="73" w:lineRule="exact"/>
        <w:rPr>
          <w:sz w:val="20"/>
          <w:szCs w:val="20"/>
          <w:color w:val="auto"/>
        </w:rPr>
      </w:pPr>
    </w:p>
    <w:p>
      <w:pPr>
        <w:jc w:val="both"/>
        <w:ind w:right="40"/>
        <w:spacing w:after="0" w:line="265" w:lineRule="auto"/>
        <w:rPr>
          <w:sz w:val="20"/>
          <w:szCs w:val="20"/>
          <w:color w:val="auto"/>
        </w:rPr>
      </w:pPr>
      <w:r>
        <w:rPr>
          <w:rFonts w:ascii="Arial" w:cs="Arial" w:eastAsia="Arial" w:hAnsi="Arial"/>
          <w:sz w:val="14"/>
          <w:szCs w:val="14"/>
          <w:color w:val="auto"/>
        </w:rPr>
        <w:t>When available and as permitted by applicable regulations, cash in excess of the capital needs of our regulated health plan subsidiaries is generally paid in the form of dividends to our parent company to be used for general corporate purposes. In the three and six months ended June 30, 2019, the parent received $345 million and $634 million, respectively, in dividends from the regulated health plan subsidiaries.</w:t>
      </w:r>
    </w:p>
    <w:p>
      <w:pPr>
        <w:spacing w:after="0" w:line="156" w:lineRule="exact"/>
        <w:rPr>
          <w:sz w:val="20"/>
          <w:szCs w:val="20"/>
          <w:color w:val="auto"/>
        </w:rPr>
      </w:pPr>
    </w:p>
    <w:p>
      <w:pPr>
        <w:ind w:right="160"/>
        <w:spacing w:after="0" w:line="273" w:lineRule="auto"/>
        <w:rPr>
          <w:sz w:val="20"/>
          <w:szCs w:val="20"/>
          <w:color w:val="auto"/>
        </w:rPr>
      </w:pPr>
      <w:r>
        <w:rPr>
          <w:rFonts w:ascii="Arial" w:cs="Arial" w:eastAsia="Arial" w:hAnsi="Arial"/>
          <w:sz w:val="14"/>
          <w:szCs w:val="14"/>
          <w:color w:val="auto"/>
        </w:rPr>
        <w:t>To satisfy minimum statutory net worth requirements, the parent company may contribute capital to the regulated health plan subsidiaries. In the three and six months ended June 30, 2019, the parent contributed capital of $6 million to the regulated health plan subsidiaries.</w:t>
      </w:r>
    </w:p>
    <w:p>
      <w:pPr>
        <w:spacing w:after="0" w:line="151"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Cash, cash equivalents and investments at the parent company amounted to $467 million and $170 million as of June 30, 2019, and December 31, 2018, respectively. The increase in 2019 was mainly due to cash dividends received from our regulated health plan subsidiaries, and proceeds from borrowings under the Term Loan Facility, partially offset by principal repayments of our outstanding 1.125% Convertible Notes, as described further below in “Cash Flow Activities.”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w:t>
      </w:r>
    </w:p>
    <w:p>
      <w:pPr>
        <w:spacing w:after="0" w:line="114"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 approved investment policies which conform to applicable state laws and regulations.</w:t>
      </w:r>
    </w:p>
    <w:p>
      <w:pPr>
        <w:spacing w:after="0" w:line="156"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10 years, or less than 10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159"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Our restricted investments are invested principally in certificates of deposit and U.S. Treasury securities; we have the ability to hold such restricted investments until maturity. All of our unrestricted investments are classified as current assets.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 Activities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Our cash flows are summarized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7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1"/>
                <w:szCs w:val="11"/>
                <w:b w:val="1"/>
                <w:bCs w:val="1"/>
                <w:color w:val="auto"/>
              </w:rPr>
              <w:t>Six Months Ended June 30,</w:t>
            </w: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206"/>
        </w:trPr>
        <w:tc>
          <w:tcPr>
            <w:tcW w:w="6780" w:type="dxa"/>
            <w:vAlign w:val="bottom"/>
          </w:tcPr>
          <w:p>
            <w:pPr>
              <w:spacing w:after="0"/>
              <w:rPr>
                <w:sz w:val="17"/>
                <w:szCs w:val="17"/>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1"/>
                <w:szCs w:val="11"/>
                <w:b w:val="1"/>
                <w:bCs w:val="1"/>
                <w:color w:val="auto"/>
              </w:rPr>
              <w:t>2019</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78"/>
              <w:spacing w:after="0"/>
              <w:rPr>
                <w:sz w:val="20"/>
                <w:szCs w:val="20"/>
                <w:color w:val="auto"/>
              </w:rPr>
            </w:pPr>
            <w:r>
              <w:rPr>
                <w:rFonts w:ascii="Arial" w:cs="Arial" w:eastAsia="Arial" w:hAnsi="Arial"/>
                <w:sz w:val="11"/>
                <w:szCs w:val="11"/>
                <w:b w:val="1"/>
                <w:bCs w:val="1"/>
                <w:color w:val="auto"/>
                <w:w w:val="97"/>
              </w:rPr>
              <w:t>2018</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1"/>
                <w:szCs w:val="11"/>
                <w:b w:val="1"/>
                <w:bCs w:val="1"/>
                <w:color w:val="auto"/>
              </w:rPr>
              <w:t>Change</w:t>
            </w:r>
          </w:p>
        </w:tc>
      </w:tr>
      <w:tr>
        <w:trPr>
          <w:trHeight w:val="196"/>
        </w:trPr>
        <w:tc>
          <w:tcPr>
            <w:tcW w:w="6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(In millions)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0"/>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1000" w:type="dxa"/>
            <w:vAlign w:val="bottom"/>
            <w:shd w:val="clear" w:color="auto" w:fill="CCEEFF"/>
          </w:tcPr>
          <w:p>
            <w:pPr>
              <w:jc w:val="right"/>
              <w:ind w:right="858"/>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156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r>
      <w:tr>
        <w:trPr>
          <w:trHeight w:val="208"/>
        </w:trPr>
        <w:tc>
          <w:tcPr>
            <w:tcW w:w="6780" w:type="dxa"/>
            <w:vAlign w:val="bottom"/>
          </w:tcPr>
          <w:p>
            <w:pPr>
              <w:ind w:left="20"/>
              <w:spacing w:after="0"/>
              <w:rPr>
                <w:sz w:val="20"/>
                <w:szCs w:val="20"/>
                <w:color w:val="auto"/>
              </w:rPr>
            </w:pPr>
            <w:r>
              <w:rPr>
                <w:rFonts w:ascii="Arial" w:cs="Arial" w:eastAsia="Arial" w:hAnsi="Arial"/>
                <w:sz w:val="13"/>
                <w:szCs w:val="13"/>
                <w:color w:val="auto"/>
              </w:rPr>
              <w:t>Net cash (used in) provided by investing activities</w:t>
            </w:r>
          </w:p>
        </w:tc>
        <w:tc>
          <w:tcPr>
            <w:tcW w:w="1000" w:type="dxa"/>
            <w:vAlign w:val="bottom"/>
          </w:tcPr>
          <w:p>
            <w:pPr>
              <w:spacing w:after="0"/>
              <w:rPr>
                <w:sz w:val="18"/>
                <w:szCs w:val="18"/>
                <w:color w:val="auto"/>
              </w:rPr>
            </w:pPr>
          </w:p>
        </w:tc>
        <w:tc>
          <w:tcPr>
            <w:tcW w:w="500" w:type="dxa"/>
            <w:vAlign w:val="bottom"/>
          </w:tcPr>
          <w:p>
            <w:pPr>
              <w:jc w:val="right"/>
              <w:ind w:right="15"/>
              <w:spacing w:after="0"/>
              <w:rPr>
                <w:sz w:val="20"/>
                <w:szCs w:val="20"/>
                <w:color w:val="auto"/>
              </w:rPr>
            </w:pPr>
            <w:r>
              <w:rPr>
                <w:rFonts w:ascii="Arial" w:cs="Arial" w:eastAsia="Arial" w:hAnsi="Arial"/>
                <w:sz w:val="13"/>
                <w:szCs w:val="13"/>
                <w:color w:val="auto"/>
              </w:rPr>
              <w:t>(393)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58"/>
              <w:spacing w:after="0"/>
              <w:rPr>
                <w:sz w:val="20"/>
                <w:szCs w:val="20"/>
                <w:color w:val="auto"/>
              </w:rPr>
            </w:pPr>
            <w:r>
              <w:rPr>
                <w:rFonts w:ascii="Arial" w:cs="Arial" w:eastAsia="Arial" w:hAnsi="Arial"/>
                <w:sz w:val="13"/>
                <w:szCs w:val="13"/>
                <w:color w:val="auto"/>
              </w:rPr>
              <w:t>398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(791)</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financing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(362)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141</w:t>
            </w:r>
          </w:p>
        </w:tc>
      </w:tr>
      <w:tr>
        <w:trPr>
          <w:trHeight w:val="190"/>
        </w:trPr>
        <w:tc>
          <w:tcPr>
            <w:tcW w:w="6780" w:type="dxa"/>
            <w:vAlign w:val="bottom"/>
          </w:tcPr>
          <w:p>
            <w:pPr>
              <w:ind w:left="140"/>
              <w:spacing w:after="0"/>
              <w:rPr>
                <w:sz w:val="20"/>
                <w:szCs w:val="20"/>
                <w:color w:val="auto"/>
              </w:rPr>
            </w:pPr>
            <w:r>
              <w:rPr>
                <w:rFonts w:ascii="Arial" w:cs="Arial" w:eastAsia="Arial" w:hAnsi="Arial"/>
                <w:sz w:val="13"/>
                <w:szCs w:val="13"/>
                <w:color w:val="auto"/>
              </w:rPr>
              <w:t>Net (decrease) increase in cash, cash equivalents, and restricted cash and cash equivalents</w:t>
            </w:r>
          </w:p>
        </w:tc>
        <w:tc>
          <w:tcPr>
            <w:tcW w:w="1000" w:type="dxa"/>
            <w:vAlign w:val="bottom"/>
          </w:tcPr>
          <w:p>
            <w:pPr>
              <w:jc w:val="right"/>
              <w:ind w:right="858"/>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15"/>
              <w:spacing w:after="0"/>
              <w:rPr>
                <w:sz w:val="20"/>
                <w:szCs w:val="20"/>
                <w:color w:val="auto"/>
              </w:rPr>
            </w:pPr>
            <w:r>
              <w:rPr>
                <w:rFonts w:ascii="Arial" w:cs="Arial" w:eastAsia="Arial" w:hAnsi="Arial"/>
                <w:sz w:val="13"/>
                <w:szCs w:val="13"/>
                <w:color w:val="auto"/>
              </w:rPr>
              <w:t>(599)</w:t>
            </w: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58"/>
              <w:spacing w:after="0"/>
              <w:rPr>
                <w:sz w:val="20"/>
                <w:szCs w:val="20"/>
                <w:color w:val="auto"/>
              </w:rPr>
            </w:pPr>
            <w:r>
              <w:rPr>
                <w:rFonts w:ascii="Arial" w:cs="Arial" w:eastAsia="Arial" w:hAnsi="Arial"/>
                <w:sz w:val="13"/>
                <w:szCs w:val="13"/>
                <w:color w:val="auto"/>
              </w:rPr>
              <w:t>209</w:t>
            </w:r>
          </w:p>
        </w:tc>
        <w:tc>
          <w:tcPr>
            <w:tcW w:w="120" w:type="dxa"/>
            <w:vAlign w:val="bottom"/>
          </w:tcPr>
          <w:p>
            <w:pPr>
              <w:spacing w:after="0"/>
              <w:rPr>
                <w:sz w:val="16"/>
                <w:szCs w:val="16"/>
                <w:color w:val="auto"/>
              </w:rPr>
            </w:pPr>
          </w:p>
        </w:tc>
        <w:tc>
          <w:tcPr>
            <w:tcW w:w="300" w:type="dxa"/>
            <w:vAlign w:val="bottom"/>
          </w:tcPr>
          <w:p>
            <w:pPr>
              <w:jc w:val="right"/>
              <w:ind w:right="15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(808)</w:t>
            </w:r>
          </w:p>
        </w:tc>
      </w:tr>
      <w:tr>
        <w:trPr>
          <w:trHeight w:val="20"/>
        </w:trPr>
        <w:tc>
          <w:tcPr>
            <w:tcW w:w="6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45</w:t>
      </w:r>
    </w:p>
    <w:p>
      <w:pPr>
        <w:sectPr>
          <w:pgSz w:w="11900" w:h="16838" w:orient="portrait"/>
          <w:cols w:equalWidth="0" w:num="1">
            <w:col w:w="11460"/>
          </w:cols>
          <w:pgMar w:left="220" w:top="140" w:right="21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Operating Activities</w:t>
      </w:r>
    </w:p>
    <w:p>
      <w:pPr>
        <w:spacing w:after="0" w:line="184"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156"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Net cash provided by operations for the six months ended June 30, 2019 was $156 million, compared with $314 million in the six months ended June 30, 2018. The $158 million decrease in cash flow was due to settlements with government agencies, mainly related to the final 2017 CSR settlement paid in 2019, timing of CMS Medicare premium receipts in 2018, and the use of cash associated with declines in Medicaid and Marketplace membership. These items were partially offset by a net benefit from timing differences in other current assets and liabilities.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Investing Activities</w:t>
      </w:r>
    </w:p>
    <w:p>
      <w:pPr>
        <w:spacing w:after="0" w:line="184"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Net cash used in investing activities was $393 million in the six months ended June 30, 2019, compared with $398 million provided by investing activities in the six months ended June 30, 2018, a decrease in cash flow of $791 million. The year over year decline was primarily due to lower proceeds from sales and maturities of investments, net of purchases, in the six months ended June 30, 2019, largely driven by cash flow needs associated with our financing activities, as described below.</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Financing Activities</w:t>
      </w:r>
    </w:p>
    <w:p>
      <w:pPr>
        <w:spacing w:after="0" w:line="184"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Net cash used in financing activities was $362 million in the six months ended June 30, 2019, compared with $503 million in the six months ended June 30, 2018, an increase in cash flow of $141 million, due to less cash used in 2019 compared with 2018. In the six months ended June 30, 2019, net cash paid for the aggregate 1.125% Convertible Notes-related transactions amounted to $609 million, partially offset by proceeds of $220 million borrowed under the Term Loan Facility. In the six months ended June 30, 2018, net cash used in financing activities included net cash paid for the aggregate 1.125% Convertible Notes-related transactions of $202 million, and the $300 million repayment of the Credit Facility.</w:t>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828282"/>
        </w:rPr>
        <w:t>FINANCIAL CONDITION</w:t>
      </w:r>
    </w:p>
    <w:p>
      <w:pPr>
        <w:spacing w:after="0" w:line="178" w:lineRule="exact"/>
        <w:rPr>
          <w:sz w:val="20"/>
          <w:szCs w:val="20"/>
          <w:color w:val="auto"/>
        </w:rPr>
      </w:pPr>
    </w:p>
    <w:p>
      <w:pPr>
        <w:ind w:right="240"/>
        <w:spacing w:after="0" w:line="265" w:lineRule="auto"/>
        <w:rPr>
          <w:sz w:val="20"/>
          <w:szCs w:val="20"/>
          <w:color w:val="auto"/>
        </w:rPr>
      </w:pPr>
      <w:r>
        <w:rPr>
          <w:rFonts w:ascii="Arial" w:cs="Arial" w:eastAsia="Arial" w:hAnsi="Arial"/>
          <w:sz w:val="14"/>
          <w:szCs w:val="14"/>
          <w:color w:val="auto"/>
        </w:rPr>
        <w:t>We believe that our cash resources, our borrowing capacity available under our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156" w:lineRule="exact"/>
        <w:rPr>
          <w:sz w:val="20"/>
          <w:szCs w:val="20"/>
          <w:color w:val="auto"/>
        </w:rPr>
      </w:pPr>
    </w:p>
    <w:p>
      <w:pPr>
        <w:ind w:right="800"/>
        <w:spacing w:after="0" w:line="273" w:lineRule="auto"/>
        <w:rPr>
          <w:sz w:val="20"/>
          <w:szCs w:val="20"/>
          <w:color w:val="auto"/>
        </w:rPr>
      </w:pPr>
      <w:r>
        <w:rPr>
          <w:rFonts w:ascii="Arial" w:cs="Arial" w:eastAsia="Arial" w:hAnsi="Arial"/>
          <w:sz w:val="14"/>
          <w:szCs w:val="14"/>
          <w:color w:val="auto"/>
        </w:rPr>
        <w:t>On a consolidated basis, at June 30, 2019, our working capital was $2,475 million, compared with $2,216 million at December 31, 2018. At June 30, 2019, our cash and investments amounted to $4,423 million, compared with $4,629 million at December 31, 2018.</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Regulatory Capital and Dividend Restrictions</w:t>
      </w:r>
    </w:p>
    <w:p>
      <w:pPr>
        <w:spacing w:after="0" w:line="114"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Each of our HMO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HMO subsidiaries must comply with these regulations, they may not have the financial flexibility to transfer funds to us. Based upon current statutes and regulations, the minimum capital and surplus (net assets) requirement, for these subsidiaries was approximately $1,050 million at June 30, 2019, and $1,040 million at December 31, 2018. Our HMO subsidiaries were in compliance with these minimum capital requirements as of both dates.</w:t>
      </w:r>
    </w:p>
    <w:p>
      <w:pPr>
        <w:spacing w:after="0" w:line="73"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Under applicable regulatory requirements, the amount of dividends that may be paid through the remainder of 2019 by our HMO subsidiaries without prior approval by regulatory authorities as of June 30, 2019, is approximately $127 million in the aggregate. Our HMO subsidiaries can pay dividends over this amount, but only after approval is granted by the regulatory authorities.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 Ratings</w:t>
      </w:r>
    </w:p>
    <w:p>
      <w:pPr>
        <w:spacing w:after="0" w:line="200" w:lineRule="exact"/>
        <w:rPr>
          <w:sz w:val="20"/>
          <w:szCs w:val="20"/>
          <w:color w:val="auto"/>
        </w:rPr>
      </w:pPr>
    </w:p>
    <w:p>
      <w:pPr>
        <w:ind w:right="460"/>
        <w:spacing w:after="0" w:line="273" w:lineRule="auto"/>
        <w:rPr>
          <w:sz w:val="20"/>
          <w:szCs w:val="20"/>
          <w:color w:val="auto"/>
        </w:rPr>
      </w:pPr>
      <w:r>
        <w:rPr>
          <w:rFonts w:ascii="Arial" w:cs="Arial" w:eastAsia="Arial" w:hAnsi="Arial"/>
          <w:sz w:val="14"/>
          <w:szCs w:val="14"/>
          <w:color w:val="auto"/>
        </w:rPr>
        <w:t>Our 5.375% Notes and 4.875% Notes are rated “BB-” by Standard &amp; Poor’s, and “B2” by Moody’s Investor Service, Inc. A downgrade in our ratings could adversely affect our borrowing capacity and increase our borrowing costs.</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46</w:t>
      </w:r>
    </w:p>
    <w:p>
      <w:pPr>
        <w:sectPr>
          <w:pgSz w:w="11900" w:h="16838" w:orient="portrait"/>
          <w:cols w:equalWidth="0" w:num="1">
            <w:col w:w="11460"/>
          </w:cols>
          <w:pgMar w:left="220" w:top="140" w:right="21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Covenants</w:t>
      </w:r>
    </w:p>
    <w:p>
      <w:pPr>
        <w:spacing w:after="0" w:line="114" w:lineRule="exact"/>
        <w:rPr>
          <w:sz w:val="20"/>
          <w:szCs w:val="20"/>
          <w:color w:val="auto"/>
        </w:rPr>
      </w:pPr>
    </w:p>
    <w:p>
      <w:pPr>
        <w:ind w:right="300"/>
        <w:spacing w:after="0" w:line="273" w:lineRule="auto"/>
        <w:rPr>
          <w:sz w:val="20"/>
          <w:szCs w:val="20"/>
          <w:color w:val="auto"/>
        </w:rPr>
      </w:pPr>
      <w:r>
        <w:rPr>
          <w:rFonts w:ascii="Arial" w:cs="Arial" w:eastAsia="Arial" w:hAnsi="Arial"/>
          <w:sz w:val="14"/>
          <w:szCs w:val="14"/>
          <w:color w:val="auto"/>
        </w:rPr>
        <w:t>Our Credit Agreement contains customary non-financial and financial covenants, including a net leverage ratio and an interest coverage ratio. Such ratios, presented below, are computed as defined by the terms of the Credit Agreement.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80" w:type="dxa"/>
            <w:vAlign w:val="bottom"/>
          </w:tcPr>
          <w:p>
            <w:pPr>
              <w:ind w:left="20"/>
              <w:spacing w:after="0"/>
              <w:rPr>
                <w:sz w:val="20"/>
                <w:szCs w:val="20"/>
                <w:color w:val="auto"/>
              </w:rPr>
            </w:pPr>
            <w:r>
              <w:rPr>
                <w:rFonts w:ascii="Arial" w:cs="Arial" w:eastAsia="Arial" w:hAnsi="Arial"/>
                <w:sz w:val="13"/>
                <w:szCs w:val="13"/>
                <w:b w:val="1"/>
                <w:bCs w:val="1"/>
                <w:color w:val="auto"/>
              </w:rPr>
              <w:t>Credit Facility Financial Covenants</w:t>
            </w:r>
          </w:p>
        </w:tc>
        <w:tc>
          <w:tcPr>
            <w:tcW w:w="4680" w:type="dxa"/>
            <w:vAlign w:val="bottom"/>
            <w:gridSpan w:val="2"/>
          </w:tcPr>
          <w:p>
            <w:pPr>
              <w:jc w:val="center"/>
              <w:ind w:left="2775"/>
              <w:spacing w:after="0"/>
              <w:rPr>
                <w:sz w:val="20"/>
                <w:szCs w:val="20"/>
                <w:color w:val="auto"/>
              </w:rPr>
            </w:pPr>
            <w:r>
              <w:rPr>
                <w:rFonts w:ascii="Arial" w:cs="Arial" w:eastAsia="Arial" w:hAnsi="Arial"/>
                <w:sz w:val="13"/>
                <w:szCs w:val="13"/>
                <w:b w:val="1"/>
                <w:bCs w:val="1"/>
                <w:color w:val="auto"/>
                <w:w w:val="99"/>
              </w:rPr>
              <w:t>Required Per Agreement</w:t>
            </w:r>
          </w:p>
        </w:tc>
        <w:tc>
          <w:tcPr>
            <w:tcW w:w="1600" w:type="dxa"/>
            <w:vAlign w:val="bottom"/>
          </w:tcPr>
          <w:p>
            <w:pPr>
              <w:ind w:left="200"/>
              <w:spacing w:after="0"/>
              <w:rPr>
                <w:sz w:val="20"/>
                <w:szCs w:val="20"/>
                <w:color w:val="auto"/>
              </w:rPr>
            </w:pPr>
            <w:r>
              <w:rPr>
                <w:rFonts w:ascii="Arial" w:cs="Arial" w:eastAsia="Arial" w:hAnsi="Arial"/>
                <w:sz w:val="13"/>
                <w:szCs w:val="13"/>
                <w:b w:val="1"/>
                <w:bCs w:val="1"/>
                <w:color w:val="auto"/>
              </w:rPr>
              <w:t>As of June 30, 2019</w:t>
            </w:r>
          </w:p>
        </w:tc>
      </w:tr>
      <w:tr>
        <w:trPr>
          <w:trHeight w:val="257"/>
        </w:trPr>
        <w:tc>
          <w:tcPr>
            <w:tcW w:w="5180" w:type="dxa"/>
            <w:vAlign w:val="bottom"/>
            <w:tcBorders>
              <w:top w:val="single" w:sz="8" w:color="auto"/>
            </w:tcBorders>
          </w:tcPr>
          <w:p>
            <w:pPr>
              <w:spacing w:after="0"/>
              <w:rPr>
                <w:sz w:val="22"/>
                <w:szCs w:val="22"/>
                <w:color w:val="auto"/>
              </w:rPr>
            </w:pPr>
          </w:p>
        </w:tc>
        <w:tc>
          <w:tcPr>
            <w:tcW w:w="4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leverage ratio</w:t>
            </w:r>
          </w:p>
        </w:tc>
        <w:tc>
          <w:tcPr>
            <w:tcW w:w="4680" w:type="dxa"/>
            <w:vAlign w:val="bottom"/>
            <w:gridSpan w:val="2"/>
            <w:shd w:val="clear" w:color="auto" w:fill="CCEEFF"/>
          </w:tcPr>
          <w:p>
            <w:pPr>
              <w:jc w:val="center"/>
              <w:ind w:left="2775"/>
              <w:spacing w:after="0"/>
              <w:rPr>
                <w:sz w:val="20"/>
                <w:szCs w:val="20"/>
                <w:color w:val="auto"/>
              </w:rPr>
            </w:pPr>
            <w:r>
              <w:rPr>
                <w:rFonts w:ascii="Arial" w:cs="Arial" w:eastAsia="Arial" w:hAnsi="Arial"/>
                <w:sz w:val="13"/>
                <w:szCs w:val="13"/>
                <w:color w:val="auto"/>
                <w:w w:val="99"/>
              </w:rPr>
              <w:t>&lt;4.0x</w:t>
            </w:r>
          </w:p>
        </w:tc>
        <w:tc>
          <w:tcPr>
            <w:tcW w:w="1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1.0x</w:t>
            </w:r>
          </w:p>
        </w:tc>
      </w:tr>
      <w:tr>
        <w:trPr>
          <w:trHeight w:val="200"/>
        </w:trPr>
        <w:tc>
          <w:tcPr>
            <w:tcW w:w="5180" w:type="dxa"/>
            <w:vAlign w:val="bottom"/>
          </w:tcPr>
          <w:p>
            <w:pPr>
              <w:ind w:left="20"/>
              <w:spacing w:after="0"/>
              <w:rPr>
                <w:sz w:val="20"/>
                <w:szCs w:val="20"/>
                <w:color w:val="auto"/>
              </w:rPr>
            </w:pPr>
            <w:r>
              <w:rPr>
                <w:rFonts w:ascii="Arial" w:cs="Arial" w:eastAsia="Arial" w:hAnsi="Arial"/>
                <w:sz w:val="13"/>
                <w:szCs w:val="13"/>
                <w:color w:val="auto"/>
              </w:rPr>
              <w:t>Interest coverage ratio</w:t>
            </w:r>
          </w:p>
        </w:tc>
        <w:tc>
          <w:tcPr>
            <w:tcW w:w="4680" w:type="dxa"/>
            <w:vAlign w:val="bottom"/>
            <w:gridSpan w:val="2"/>
          </w:tcPr>
          <w:p>
            <w:pPr>
              <w:jc w:val="center"/>
              <w:ind w:left="2775"/>
              <w:spacing w:after="0"/>
              <w:rPr>
                <w:sz w:val="20"/>
                <w:szCs w:val="20"/>
                <w:color w:val="auto"/>
              </w:rPr>
            </w:pPr>
            <w:r>
              <w:rPr>
                <w:rFonts w:ascii="Arial" w:cs="Arial" w:eastAsia="Arial" w:hAnsi="Arial"/>
                <w:sz w:val="13"/>
                <w:szCs w:val="13"/>
                <w:color w:val="auto"/>
                <w:w w:val="99"/>
              </w:rPr>
              <w:t>&gt;3.5x</w:t>
            </w:r>
          </w:p>
        </w:tc>
        <w:tc>
          <w:tcPr>
            <w:tcW w:w="1600" w:type="dxa"/>
            <w:vAlign w:val="bottom"/>
          </w:tcPr>
          <w:p>
            <w:pPr>
              <w:jc w:val="center"/>
              <w:spacing w:after="0"/>
              <w:rPr>
                <w:sz w:val="20"/>
                <w:szCs w:val="20"/>
                <w:color w:val="auto"/>
              </w:rPr>
            </w:pPr>
            <w:r>
              <w:rPr>
                <w:rFonts w:ascii="Arial" w:cs="Arial" w:eastAsia="Arial" w:hAnsi="Arial"/>
                <w:sz w:val="13"/>
                <w:szCs w:val="13"/>
                <w:color w:val="auto"/>
              </w:rPr>
              <w:t>14.7x</w:t>
            </w:r>
          </w:p>
        </w:tc>
      </w:tr>
    </w:tbl>
    <w:p>
      <w:pPr>
        <w:spacing w:after="0" w:line="188" w:lineRule="exact"/>
        <w:rPr>
          <w:sz w:val="20"/>
          <w:szCs w:val="20"/>
          <w:color w:val="auto"/>
        </w:rPr>
      </w:pPr>
    </w:p>
    <w:p>
      <w:pPr>
        <w:jc w:val="both"/>
        <w:ind w:right="100"/>
        <w:spacing w:after="0" w:line="265" w:lineRule="auto"/>
        <w:rPr>
          <w:sz w:val="20"/>
          <w:szCs w:val="20"/>
          <w:color w:val="auto"/>
        </w:rPr>
      </w:pPr>
      <w:r>
        <w:rPr>
          <w:rFonts w:ascii="Arial" w:cs="Arial" w:eastAsia="Arial" w:hAnsi="Arial"/>
          <w:sz w:val="14"/>
          <w:szCs w:val="14"/>
          <w:color w:val="auto"/>
        </w:rPr>
        <w:t>In addition, the indentures governing the 4.875% Notes, the 5.375% Notes and the 1.125% Convertible Notes contain cross-default provisions that are triggered upon default by us or any of our subsidiaries on any indebtedness in excess of the amount specified in the applicable indenture. As of June 30, 2019, we were in compliance with all covenants under the Credit Agreement and the indentures governing our outstanding notes.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 Plan Progress</w:t>
      </w:r>
    </w:p>
    <w:p>
      <w:pPr>
        <w:spacing w:after="0" w:line="114" w:lineRule="exact"/>
        <w:rPr>
          <w:sz w:val="20"/>
          <w:szCs w:val="20"/>
          <w:color w:val="auto"/>
        </w:rPr>
      </w:pPr>
    </w:p>
    <w:p>
      <w:pPr>
        <w:ind w:right="420"/>
        <w:spacing w:after="0" w:line="273" w:lineRule="auto"/>
        <w:rPr>
          <w:sz w:val="20"/>
          <w:szCs w:val="20"/>
          <w:color w:val="auto"/>
        </w:rPr>
      </w:pPr>
      <w:r>
        <w:rPr>
          <w:rFonts w:ascii="Arial" w:cs="Arial" w:eastAsia="Arial" w:hAnsi="Arial"/>
          <w:sz w:val="14"/>
          <w:szCs w:val="14"/>
          <w:color w:val="auto"/>
        </w:rPr>
        <w:t>In the first quarter of 2019, we repaid $46 million aggregate principal amount of our 1.125% Convertible Notes and entered into privately negotiated termination agreements to terminate the respective portion of the related 1.125% Call Option and 1.125% Warrants.</w:t>
      </w:r>
    </w:p>
    <w:p>
      <w:pPr>
        <w:spacing w:after="0" w:line="15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the second quarter of 2019, we repaid an additional $139 million aggregate principal amount of our 1.125% Convertible Notes and entered into privately negotiated termination agreements to terminate the respective portion of the related 1.125% Call Option and 1.125% Warrants. Following these transactions, the remaining principal amount outstanding of our 1.125% Convertible Notes is $67 million.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828282"/>
        </w:rPr>
        <w:t>FUTURE SOURCES AND USES OF LIQUIDITY</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Sources</w:t>
      </w:r>
    </w:p>
    <w:p>
      <w:pPr>
        <w:spacing w:after="0" w:line="114" w:lineRule="exact"/>
        <w:rPr>
          <w:sz w:val="20"/>
          <w:szCs w:val="20"/>
          <w:color w:val="auto"/>
        </w:rPr>
      </w:pPr>
    </w:p>
    <w:p>
      <w:pPr>
        <w:ind w:right="400"/>
        <w:spacing w:after="0" w:line="273" w:lineRule="auto"/>
        <w:rPr>
          <w:sz w:val="20"/>
          <w:szCs w:val="20"/>
          <w:color w:val="auto"/>
        </w:rPr>
      </w:pPr>
      <w:r>
        <w:rPr>
          <w:rFonts w:ascii="Arial" w:cs="Arial" w:eastAsia="Arial" w:hAnsi="Arial"/>
          <w:sz w:val="14"/>
          <w:szCs w:val="14"/>
          <w:color w:val="auto"/>
        </w:rPr>
        <w:t>Our Health Plans segment regulated subsidiaries generate significant cash flows from premium revenue, which we generally receive a short time before we pay for the related healthcare services. Such cash flows are our primary source of liquidity. Thus, any future decline in our profitability may have a negative impact on our liquidity.</w:t>
      </w:r>
    </w:p>
    <w:p>
      <w:pPr>
        <w:spacing w:after="0" w:line="137" w:lineRule="exact"/>
        <w:rPr>
          <w:sz w:val="20"/>
          <w:szCs w:val="20"/>
          <w:color w:val="auto"/>
        </w:rPr>
      </w:pPr>
    </w:p>
    <w:p>
      <w:pPr>
        <w:ind w:right="240"/>
        <w:spacing w:after="0" w:line="294" w:lineRule="auto"/>
        <w:rPr>
          <w:sz w:val="20"/>
          <w:szCs w:val="20"/>
          <w:color w:val="auto"/>
        </w:rPr>
      </w:pPr>
      <w:r>
        <w:rPr>
          <w:rFonts w:ascii="Arial" w:cs="Arial" w:eastAsia="Arial" w:hAnsi="Arial"/>
          <w:sz w:val="14"/>
          <w:szCs w:val="14"/>
          <w:i w:val="1"/>
          <w:iCs w:val="1"/>
          <w:color w:val="auto"/>
        </w:rPr>
        <w:t xml:space="preserve">Dividends from Subsidiaries. </w:t>
      </w:r>
      <w:r>
        <w:rPr>
          <w:rFonts w:ascii="Arial" w:cs="Arial" w:eastAsia="Arial" w:hAnsi="Arial"/>
          <w:sz w:val="14"/>
          <w:szCs w:val="14"/>
          <w:color w:val="auto"/>
        </w:rPr>
        <w:t>When available and as permitted by applicable regulations, cash in excess of the capital needs of our regulated health plans is generally paid in the</w:t>
      </w:r>
      <w:r>
        <w:rPr>
          <w:rFonts w:ascii="Arial" w:cs="Arial" w:eastAsia="Arial" w:hAnsi="Arial"/>
          <w:sz w:val="14"/>
          <w:szCs w:val="14"/>
          <w:i w:val="1"/>
          <w:iCs w:val="1"/>
          <w:color w:val="auto"/>
        </w:rPr>
        <w:t xml:space="preserve"> </w:t>
      </w:r>
      <w:r>
        <w:rPr>
          <w:rFonts w:ascii="Arial" w:cs="Arial" w:eastAsia="Arial" w:hAnsi="Arial"/>
          <w:sz w:val="14"/>
          <w:szCs w:val="14"/>
          <w:color w:val="auto"/>
        </w:rPr>
        <w:t>form of dividends to our unregulated parent company to be used for general corporate purposes.</w:t>
      </w:r>
    </w:p>
    <w:p>
      <w:pPr>
        <w:spacing w:after="0" w:line="123" w:lineRule="exact"/>
        <w:rPr>
          <w:sz w:val="20"/>
          <w:szCs w:val="20"/>
          <w:color w:val="auto"/>
        </w:rPr>
      </w:pPr>
    </w:p>
    <w:p>
      <w:pPr>
        <w:ind w:right="60"/>
        <w:spacing w:after="0" w:line="275" w:lineRule="auto"/>
        <w:rPr>
          <w:sz w:val="20"/>
          <w:szCs w:val="20"/>
          <w:color w:val="auto"/>
        </w:rPr>
      </w:pPr>
      <w:r>
        <w:rPr>
          <w:rFonts w:ascii="Arial" w:cs="Arial" w:eastAsia="Arial" w:hAnsi="Arial"/>
          <w:sz w:val="14"/>
          <w:szCs w:val="14"/>
          <w:i w:val="1"/>
          <w:iCs w:val="1"/>
          <w:color w:val="auto"/>
        </w:rPr>
        <w:t xml:space="preserve">Credit Agreement Borrowing Capacity. </w:t>
      </w:r>
      <w:r>
        <w:rPr>
          <w:rFonts w:ascii="Arial" w:cs="Arial" w:eastAsia="Arial" w:hAnsi="Arial"/>
          <w:sz w:val="14"/>
          <w:szCs w:val="14"/>
          <w:color w:val="auto"/>
        </w:rPr>
        <w:t>As of June 30, 2019, we had available borrowing capacity of $380 million under the Term Loan Facility, following our draw down of $220</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in the first half of 2019. Under the Term Loan Facility, we may request up to ten advances, each in a minimum principal amount of $50 million, until July 31, 2020. In addition, we have available borrowing capacity of $498 million under our Credit Facility. See further discussion in the Notes to Consolidated Financial Statements, Note 7, “Debt.”</w:t>
      </w:r>
    </w:p>
    <w:p>
      <w:pPr>
        <w:spacing w:after="0" w:line="136"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i w:val="1"/>
          <w:iCs w:val="1"/>
          <w:color w:val="auto"/>
        </w:rPr>
        <w:t xml:space="preserve">Savings from the IT Restructuring Plan. </w:t>
      </w:r>
      <w:r>
        <w:rPr>
          <w:rFonts w:ascii="Arial" w:cs="Arial" w:eastAsia="Arial" w:hAnsi="Arial"/>
          <w:sz w:val="14"/>
          <w:szCs w:val="14"/>
          <w:color w:val="auto"/>
        </w:rPr>
        <w:t>Management is focused on a margin recovery plan that includes identification and implementation of various profit improvement initiatives.</w:t>
      </w:r>
      <w:r>
        <w:rPr>
          <w:rFonts w:ascii="Arial" w:cs="Arial" w:eastAsia="Arial" w:hAnsi="Arial"/>
          <w:sz w:val="14"/>
          <w:szCs w:val="14"/>
          <w:i w:val="1"/>
          <w:iCs w:val="1"/>
          <w:color w:val="auto"/>
        </w:rPr>
        <w:t xml:space="preserve"> </w:t>
      </w:r>
      <w:r>
        <w:rPr>
          <w:rFonts w:ascii="Arial" w:cs="Arial" w:eastAsia="Arial" w:hAnsi="Arial"/>
          <w:sz w:val="14"/>
          <w:szCs w:val="14"/>
          <w:color w:val="auto"/>
        </w:rPr>
        <w:t>To that end, we began a plan to restructure our information technology department (the “IT Restructuring Plan”) in 2018. In early 2019, we entered into services agreements with our outsourcing vendor under which they manage certain of our information technology services. We expect the IT Restructuring Plan to be completed by the end of 2019. We currently estimate that this plan will reduce annualized run-rate expenses by approximately $15 million to $20 million in the first full year, increasing to approximately $30 million to $35 million by the end of the fifth full year. Such savings, if achieved, would reduce Other segment general and administrative expenses in our consolidated statements of income. Further details are described in the Notes to Consolidated Financial Statements, Note 10, “Restructuring Costs.”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Uses</w:t>
      </w:r>
    </w:p>
    <w:p>
      <w:pPr>
        <w:spacing w:after="0" w:line="186" w:lineRule="exact"/>
        <w:rPr>
          <w:sz w:val="20"/>
          <w:szCs w:val="20"/>
          <w:color w:val="auto"/>
        </w:rPr>
      </w:pPr>
    </w:p>
    <w:p>
      <w:pPr>
        <w:ind w:right="420"/>
        <w:spacing w:after="0" w:line="294" w:lineRule="auto"/>
        <w:rPr>
          <w:sz w:val="20"/>
          <w:szCs w:val="20"/>
          <w:color w:val="auto"/>
        </w:rPr>
      </w:pPr>
      <w:r>
        <w:rPr>
          <w:rFonts w:ascii="Arial" w:cs="Arial" w:eastAsia="Arial" w:hAnsi="Arial"/>
          <w:sz w:val="14"/>
          <w:szCs w:val="14"/>
          <w:i w:val="1"/>
          <w:iCs w:val="1"/>
          <w:color w:val="auto"/>
        </w:rPr>
        <w:t xml:space="preserve">Regulatory Capital Requirements and Dividend Restrictions. </w:t>
      </w:r>
      <w:r>
        <w:rPr>
          <w:rFonts w:ascii="Arial" w:cs="Arial" w:eastAsia="Arial" w:hAnsi="Arial"/>
          <w:sz w:val="14"/>
          <w:szCs w:val="14"/>
          <w:color w:val="auto"/>
        </w:rPr>
        <w:t>We have the ability, and have committed to provide, additional capital to each of our health plans as necessary to</w:t>
      </w:r>
      <w:r>
        <w:rPr>
          <w:rFonts w:ascii="Arial" w:cs="Arial" w:eastAsia="Arial" w:hAnsi="Arial"/>
          <w:sz w:val="14"/>
          <w:szCs w:val="14"/>
          <w:i w:val="1"/>
          <w:iCs w:val="1"/>
          <w:color w:val="auto"/>
        </w:rPr>
        <w:t xml:space="preserve"> </w:t>
      </w:r>
      <w:r>
        <w:rPr>
          <w:rFonts w:ascii="Arial" w:cs="Arial" w:eastAsia="Arial" w:hAnsi="Arial"/>
          <w:sz w:val="14"/>
          <w:szCs w:val="14"/>
          <w:color w:val="auto"/>
        </w:rPr>
        <w:t>ensure compliance with statutory capital and surplus requirements.</w:t>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47</w:t>
      </w:r>
    </w:p>
    <w:p>
      <w:pPr>
        <w:sectPr>
          <w:pgSz w:w="11900" w:h="16838" w:orient="portrait"/>
          <w:cols w:equalWidth="0" w:num="1">
            <w:col w:w="11460"/>
          </w:cols>
          <w:pgMar w:left="220" w:top="140" w:right="21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7" w:lineRule="exact"/>
        <w:rPr>
          <w:sz w:val="20"/>
          <w:szCs w:val="20"/>
          <w:color w:val="auto"/>
        </w:rPr>
      </w:pPr>
    </w:p>
    <w:p>
      <w:pPr>
        <w:jc w:val="both"/>
        <w:ind w:right="100"/>
        <w:spacing w:after="0" w:line="269" w:lineRule="auto"/>
        <w:rPr>
          <w:sz w:val="20"/>
          <w:szCs w:val="20"/>
          <w:color w:val="auto"/>
        </w:rPr>
      </w:pPr>
      <w:r>
        <w:rPr>
          <w:rFonts w:ascii="Arial" w:cs="Arial" w:eastAsia="Arial" w:hAnsi="Arial"/>
          <w:sz w:val="14"/>
          <w:szCs w:val="14"/>
          <w:i w:val="1"/>
          <w:iCs w:val="1"/>
          <w:color w:val="auto"/>
        </w:rPr>
        <w:t xml:space="preserve">1.125% Convertible Notes. </w:t>
      </w:r>
      <w:r>
        <w:rPr>
          <w:rFonts w:ascii="Arial" w:cs="Arial" w:eastAsia="Arial" w:hAnsi="Arial"/>
          <w:sz w:val="14"/>
          <w:szCs w:val="14"/>
          <w:color w:val="auto"/>
        </w:rPr>
        <w:t>The fair value of the 1.125% Convertible Notes was $231 million as of June 30, 2019, which amount reflects both the principal amount outstanding and</w:t>
      </w:r>
      <w:r>
        <w:rPr>
          <w:rFonts w:ascii="Arial" w:cs="Arial" w:eastAsia="Arial" w:hAnsi="Arial"/>
          <w:sz w:val="14"/>
          <w:szCs w:val="14"/>
          <w:i w:val="1"/>
          <w:iCs w:val="1"/>
          <w:color w:val="auto"/>
        </w:rPr>
        <w:t xml:space="preserve"> </w:t>
      </w:r>
      <w:r>
        <w:rPr>
          <w:rFonts w:ascii="Arial" w:cs="Arial" w:eastAsia="Arial" w:hAnsi="Arial"/>
          <w:sz w:val="14"/>
          <w:szCs w:val="14"/>
          <w:color w:val="auto"/>
        </w:rPr>
        <w:t>the estimated fair value of the 1.125% Conversion Option. The 1.125% Convertible Notes mature on January 15, 2020. As conversion requests are received, the settlement of the notes must be paid in cash pursuant to the terms of the applicable indenture. We have received conversion notices for approximately $9 million principal amount that will be settled in the third quarter of 2019.</w:t>
      </w:r>
    </w:p>
    <w:p>
      <w:pPr>
        <w:spacing w:after="0" w:line="154" w:lineRule="exact"/>
        <w:rPr>
          <w:sz w:val="20"/>
          <w:szCs w:val="20"/>
          <w:color w:val="auto"/>
        </w:rPr>
      </w:pPr>
    </w:p>
    <w:p>
      <w:pPr>
        <w:ind w:right="400"/>
        <w:spacing w:after="0" w:line="265" w:lineRule="auto"/>
        <w:rPr>
          <w:sz w:val="20"/>
          <w:szCs w:val="20"/>
          <w:color w:val="auto"/>
        </w:rPr>
      </w:pPr>
      <w:r>
        <w:rPr>
          <w:rFonts w:ascii="Arial" w:cs="Arial" w:eastAsia="Arial" w:hAnsi="Arial"/>
          <w:sz w:val="14"/>
          <w:szCs w:val="14"/>
          <w:color w:val="auto"/>
        </w:rPr>
        <w:t>We have sufficient available cash, combined with borrowing capacity available under our Credit Agreement, to fund conversions as they occur, and to repay the outstanding principal amount of the 1.125% Convertible Notes at maturity. Refer to the Notes to Consolidated Financial Statements, Note 7, “Debt,” for a detailed discussion of the 1.125% Convertible Notes, including recent transactions.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CONTRACTUAL OBLIGATIONS</w:t>
      </w:r>
    </w:p>
    <w:p>
      <w:pPr>
        <w:spacing w:after="0" w:line="115" w:lineRule="exact"/>
        <w:rPr>
          <w:sz w:val="20"/>
          <w:szCs w:val="20"/>
          <w:color w:val="auto"/>
        </w:rPr>
      </w:pPr>
    </w:p>
    <w:p>
      <w:pPr>
        <w:ind w:right="280"/>
        <w:spacing w:after="0" w:line="273" w:lineRule="auto"/>
        <w:rPr>
          <w:sz w:val="20"/>
          <w:szCs w:val="20"/>
          <w:color w:val="auto"/>
        </w:rPr>
      </w:pPr>
      <w:r>
        <w:rPr>
          <w:rFonts w:ascii="Arial" w:cs="Arial" w:eastAsia="Arial" w:hAnsi="Arial"/>
          <w:sz w:val="14"/>
          <w:szCs w:val="14"/>
          <w:color w:val="auto"/>
        </w:rPr>
        <w:t>A summary of future obligations under our various contractual obligations and commitments as of December 31, 2018, was disclosed in our Annual Report on Form 10-K for the year ended December 31, 2018.</w:t>
      </w:r>
    </w:p>
    <w:p>
      <w:pPr>
        <w:spacing w:after="0" w:line="65"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Other than the financing transactions described in the Notes to Consolidated Financial Statements, Note 7, “Debt,” there were no significant changes to this previously filed information outside the ordinary course of business during the six months ended June 30, 2019. See also Note 13, “Leases”, for a summary of the maturities of our lease liabilities as of June 30, 2019.</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CRITICAL ACCOUNTING ESTIMATES</w:t>
      </w:r>
    </w:p>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auto"/>
        </w:rPr>
        <w:t>When we prepare our consolidated financial statements, we use estimates and assumptions that may affect reported amounts and disclosures; actual results could differ from these estimates. Our critical accounting estimates relate to:</w:t>
      </w:r>
    </w:p>
    <w:p>
      <w:pPr>
        <w:spacing w:after="0" w:line="137" w:lineRule="exact"/>
        <w:rPr>
          <w:sz w:val="20"/>
          <w:szCs w:val="20"/>
          <w:color w:val="auto"/>
        </w:rPr>
      </w:pPr>
    </w:p>
    <w:p>
      <w:pPr>
        <w:ind w:left="520" w:right="60" w:hanging="255"/>
        <w:spacing w:after="0" w:line="269"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i w:val="1"/>
          <w:iCs w:val="1"/>
          <w:color w:val="auto"/>
        </w:rPr>
        <w:t>Medical claims and benefits payable</w:t>
      </w:r>
      <w:r>
        <w:rPr>
          <w:rFonts w:ascii="Arial" w:cs="Arial" w:eastAsia="Arial" w:hAnsi="Arial"/>
          <w:sz w:val="14"/>
          <w:szCs w:val="14"/>
          <w:color w:val="auto"/>
        </w:rPr>
        <w:t>. Refer to Notes to Consolidated Financial Statements, Note 6, “Medical Claims and Benefits Payable,” for a table that presents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there have been no significant changes during the six months ended June 30, 2019, to our disclosure reported in “Critical Accounting Estimates” in our Annual Report on Form 10-K for the year ended December 31, 2018.</w:t>
      </w:r>
    </w:p>
    <w:p>
      <w:pPr>
        <w:spacing w:after="0" w:line="140" w:lineRule="exact"/>
        <w:rPr>
          <w:rFonts w:ascii="Arial" w:cs="Arial" w:eastAsia="Arial" w:hAnsi="Arial"/>
          <w:sz w:val="14"/>
          <w:szCs w:val="14"/>
          <w:color w:val="auto"/>
        </w:rPr>
      </w:pPr>
    </w:p>
    <w:p>
      <w:pPr>
        <w:ind w:left="520" w:right="120" w:hanging="255"/>
        <w:spacing w:after="0" w:line="294"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i w:val="1"/>
          <w:iCs w:val="1"/>
          <w:color w:val="auto"/>
        </w:rPr>
        <w:t>Contractual provisions that may adjust or limit revenue or profit</w:t>
      </w:r>
      <w:r>
        <w:rPr>
          <w:rFonts w:ascii="Arial" w:cs="Arial" w:eastAsia="Arial" w:hAnsi="Arial"/>
          <w:sz w:val="14"/>
          <w:szCs w:val="14"/>
          <w:color w:val="auto"/>
        </w:rPr>
        <w:t>. For a discussion of this topic, including amounts recorded in our consolidated financial statements, refer to</w:t>
      </w:r>
      <w:r>
        <w:rPr>
          <w:rFonts w:ascii="Arial" w:cs="Arial" w:eastAsia="Arial" w:hAnsi="Arial"/>
          <w:sz w:val="14"/>
          <w:szCs w:val="14"/>
          <w:i w:val="1"/>
          <w:iCs w:val="1"/>
          <w:color w:val="auto"/>
        </w:rPr>
        <w:t xml:space="preserve"> </w:t>
      </w:r>
      <w:r>
        <w:rPr>
          <w:rFonts w:ascii="Arial" w:cs="Arial" w:eastAsia="Arial" w:hAnsi="Arial"/>
          <w:sz w:val="14"/>
          <w:szCs w:val="14"/>
          <w:color w:val="auto"/>
        </w:rPr>
        <w:t>Notes to Consolidated Financial Statements, Note 2, “Significant Accounting Policies.”</w:t>
      </w:r>
    </w:p>
    <w:p>
      <w:pPr>
        <w:spacing w:after="0" w:line="122" w:lineRule="exact"/>
        <w:rPr>
          <w:rFonts w:ascii="Arial" w:cs="Arial" w:eastAsia="Arial" w:hAnsi="Arial"/>
          <w:sz w:val="14"/>
          <w:szCs w:val="14"/>
          <w:color w:val="auto"/>
        </w:rPr>
      </w:pPr>
    </w:p>
    <w:p>
      <w:pPr>
        <w:ind w:left="520" w:right="120" w:hanging="255"/>
        <w:spacing w:after="0" w:line="294"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i w:val="1"/>
          <w:iCs w:val="1"/>
          <w:color w:val="auto"/>
        </w:rPr>
        <w:t>Quality incentives</w:t>
      </w:r>
      <w:r>
        <w:rPr>
          <w:rFonts w:ascii="Arial" w:cs="Arial" w:eastAsia="Arial" w:hAnsi="Arial"/>
          <w:sz w:val="14"/>
          <w:szCs w:val="14"/>
          <w:color w:val="auto"/>
        </w:rPr>
        <w:t>. For a discussion of this topic, including amounts recorded in our consolidated financial statements, refer to Notes to Consolidated Financial Statements,</w:t>
      </w:r>
      <w:r>
        <w:rPr>
          <w:rFonts w:ascii="Arial" w:cs="Arial" w:eastAsia="Arial" w:hAnsi="Arial"/>
          <w:sz w:val="14"/>
          <w:szCs w:val="14"/>
          <w:i w:val="1"/>
          <w:iCs w:val="1"/>
          <w:color w:val="auto"/>
        </w:rPr>
        <w:t xml:space="preserve"> </w:t>
      </w:r>
      <w:r>
        <w:rPr>
          <w:rFonts w:ascii="Arial" w:cs="Arial" w:eastAsia="Arial" w:hAnsi="Arial"/>
          <w:sz w:val="14"/>
          <w:szCs w:val="14"/>
          <w:color w:val="auto"/>
        </w:rPr>
        <w:t>Note 2, “Significant Accounting Policies.”</w:t>
      </w:r>
    </w:p>
    <w:p>
      <w:pPr>
        <w:spacing w:after="0" w:line="122" w:lineRule="exact"/>
        <w:rPr>
          <w:rFonts w:ascii="Arial" w:cs="Arial" w:eastAsia="Arial" w:hAnsi="Arial"/>
          <w:sz w:val="14"/>
          <w:szCs w:val="14"/>
          <w:color w:val="auto"/>
        </w:rPr>
      </w:pPr>
    </w:p>
    <w:p>
      <w:pPr>
        <w:ind w:left="520" w:right="120" w:hanging="255"/>
        <w:spacing w:after="0" w:line="294"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i w:val="1"/>
          <w:iCs w:val="1"/>
          <w:color w:val="auto"/>
        </w:rPr>
        <w:t xml:space="preserve">Goodwill and intangible assets, net. </w:t>
      </w:r>
      <w:r>
        <w:rPr>
          <w:rFonts w:ascii="Arial" w:cs="Arial" w:eastAsia="Arial" w:hAnsi="Arial"/>
          <w:sz w:val="14"/>
          <w:szCs w:val="14"/>
          <w:color w:val="auto"/>
        </w:rPr>
        <w:t>There have been no significant changes, during the six months ended June 30, 2019, to our disclosure reported in “Critical Accounting</w:t>
      </w:r>
      <w:r>
        <w:rPr>
          <w:rFonts w:ascii="Arial" w:cs="Arial" w:eastAsia="Arial" w:hAnsi="Arial"/>
          <w:sz w:val="14"/>
          <w:szCs w:val="14"/>
          <w:i w:val="1"/>
          <w:iCs w:val="1"/>
          <w:color w:val="auto"/>
        </w:rPr>
        <w:t xml:space="preserve"> </w:t>
      </w:r>
      <w:r>
        <w:rPr>
          <w:rFonts w:ascii="Arial" w:cs="Arial" w:eastAsia="Arial" w:hAnsi="Arial"/>
          <w:sz w:val="14"/>
          <w:szCs w:val="14"/>
          <w:color w:val="auto"/>
        </w:rPr>
        <w:t>Estimates” in our Annual Report on Form 10-K for the year ended December 31, 2018.</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QUANTITATIVE AND QUALITATIVE DISCLOSURES ABOUT MARKET RISK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Our earnings and financial position are exposed to financial market risk relating to changes in interest rates, and the resulting impact on investment income and interest expense.</w:t>
      </w:r>
    </w:p>
    <w:p>
      <w:pPr>
        <w:spacing w:after="0" w:line="184"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Substantially all of our investments and restricted investments are subject to interest rate risk and will decrease in value if market interest rates increase. Assuming a hypothetical and immediate 1% increase in market interest rates at June 30, 2019, the fair value of our fixed income investments would decrease by approximately $37 million. Declines in interest rates over time will reduce our investment income.</w:t>
      </w:r>
    </w:p>
    <w:p>
      <w:pPr>
        <w:spacing w:after="0" w:line="156" w:lineRule="exact"/>
        <w:rPr>
          <w:sz w:val="20"/>
          <w:szCs w:val="20"/>
          <w:color w:val="auto"/>
        </w:rPr>
      </w:pPr>
    </w:p>
    <w:p>
      <w:pPr>
        <w:ind w:right="220"/>
        <w:spacing w:after="0" w:line="273" w:lineRule="auto"/>
        <w:rPr>
          <w:sz w:val="20"/>
          <w:szCs w:val="20"/>
          <w:color w:val="auto"/>
        </w:rPr>
      </w:pPr>
      <w:r>
        <w:rPr>
          <w:rFonts w:ascii="Arial" w:cs="Arial" w:eastAsia="Arial" w:hAnsi="Arial"/>
          <w:sz w:val="14"/>
          <w:szCs w:val="14"/>
          <w:color w:val="auto"/>
        </w:rPr>
        <w:t>For further information on fair value measurements and our investment portfolio, please refer to Notes to Consolidated Financial Statements, Note 4, “Fair Value Measurements,” and Note 5, “Investments.”</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48</w:t>
      </w:r>
    </w:p>
    <w:p>
      <w:pPr>
        <w:sectPr>
          <w:pgSz w:w="11900" w:h="16838" w:orient="portrait"/>
          <w:cols w:equalWidth="0" w:num="1">
            <w:col w:w="11460"/>
          </w:cols>
          <w:pgMar w:left="220" w:top="140" w:right="21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1" w:lineRule="exact"/>
        <w:rPr>
          <w:sz w:val="20"/>
          <w:szCs w:val="20"/>
          <w:color w:val="auto"/>
        </w:rPr>
      </w:pPr>
    </w:p>
    <w:p>
      <w:pPr>
        <w:ind w:right="340"/>
        <w:spacing w:after="0" w:line="273" w:lineRule="auto"/>
        <w:rPr>
          <w:sz w:val="20"/>
          <w:szCs w:val="20"/>
          <w:color w:val="auto"/>
        </w:rPr>
      </w:pPr>
      <w:r>
        <w:rPr>
          <w:rFonts w:ascii="Arial" w:cs="Arial" w:eastAsia="Arial" w:hAnsi="Arial"/>
          <w:sz w:val="14"/>
          <w:szCs w:val="14"/>
          <w:color w:val="auto"/>
        </w:rPr>
        <w:t>Borrowings under our Credit Agreement bear interest based, at our election, on a base rate or other defined rate, plus in each case the applicable margin. As of June 30, 2019, $220 million was outstanding under the Term Loan Facility. For further information, see Notes to Consolidated Financial Statements, Note 7, “Debt.”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CONTROLS AND PROCEDURES</w:t>
      </w:r>
    </w:p>
    <w:p>
      <w:pPr>
        <w:spacing w:after="0" w:line="188" w:lineRule="exact"/>
        <w:rPr>
          <w:sz w:val="20"/>
          <w:szCs w:val="20"/>
          <w:color w:val="auto"/>
        </w:rPr>
      </w:pPr>
    </w:p>
    <w:p>
      <w:pPr>
        <w:ind w:right="120"/>
        <w:spacing w:after="0" w:line="269" w:lineRule="auto"/>
        <w:rPr>
          <w:sz w:val="20"/>
          <w:szCs w:val="20"/>
          <w:color w:val="auto"/>
        </w:rPr>
      </w:pPr>
      <w:r>
        <w:rPr>
          <w:rFonts w:ascii="Arial" w:cs="Arial" w:eastAsia="Arial" w:hAnsi="Arial"/>
          <w:sz w:val="14"/>
          <w:szCs w:val="14"/>
          <w:i w:val="1"/>
          <w:iCs w:val="1"/>
          <w:color w:val="auto"/>
        </w:rPr>
        <w:t xml:space="preserve">Evaluation of Disclosure Controls and Procedures. </w:t>
      </w:r>
      <w:r>
        <w:rPr>
          <w:rFonts w:ascii="Arial" w:cs="Arial" w:eastAsia="Arial" w:hAnsi="Arial"/>
          <w:sz w:val="14"/>
          <w:szCs w:val="14"/>
          <w:color w:val="auto"/>
        </w:rPr>
        <w:t>Our management, with the participation of our chief executive officer and our chief financial officer, has concluded, based upon</w:t>
      </w:r>
      <w:r>
        <w:rPr>
          <w:rFonts w:ascii="Arial" w:cs="Arial" w:eastAsia="Arial" w:hAnsi="Arial"/>
          <w:sz w:val="14"/>
          <w:szCs w:val="14"/>
          <w:i w:val="1"/>
          <w:iCs w:val="1"/>
          <w:color w:val="auto"/>
        </w:rPr>
        <w:t xml:space="preserve"> </w:t>
      </w:r>
      <w:r>
        <w:rPr>
          <w:rFonts w:ascii="Arial" w:cs="Arial" w:eastAsia="Arial" w:hAnsi="Arial"/>
          <w:sz w:val="14"/>
          <w:szCs w:val="14"/>
          <w:color w:val="auto"/>
        </w:rPr>
        <w:t>its evaluation as of the end of the period covered by this report, that the Company’s “disclosure controls and procedures” (as defined in Rules 13a-15(e) and 15d-15(e) under the Securities Exchange Act of 1934, as amended (the “Exchange Act”)), are effective to ensure that information required to be disclosed in the reports that we file or submit under the Exchange Act is recorded, processed, summarized, and reported within the time periods specified in the SEC’s rules and forms.</w:t>
      </w:r>
    </w:p>
    <w:p>
      <w:pPr>
        <w:spacing w:after="0" w:line="140" w:lineRule="exact"/>
        <w:rPr>
          <w:sz w:val="20"/>
          <w:szCs w:val="20"/>
          <w:color w:val="auto"/>
        </w:rPr>
      </w:pPr>
    </w:p>
    <w:p>
      <w:pPr>
        <w:ind w:right="200"/>
        <w:spacing w:after="0" w:line="294" w:lineRule="auto"/>
        <w:rPr>
          <w:sz w:val="20"/>
          <w:szCs w:val="20"/>
          <w:color w:val="auto"/>
        </w:rPr>
      </w:pPr>
      <w:r>
        <w:rPr>
          <w:rFonts w:ascii="Arial" w:cs="Arial" w:eastAsia="Arial" w:hAnsi="Arial"/>
          <w:sz w:val="14"/>
          <w:szCs w:val="14"/>
          <w:i w:val="1"/>
          <w:iCs w:val="1"/>
          <w:color w:val="auto"/>
        </w:rPr>
        <w:t xml:space="preserve">Changes in Internal Control Over Financial Reporting. </w:t>
      </w:r>
      <w:r>
        <w:rPr>
          <w:rFonts w:ascii="Arial" w:cs="Arial" w:eastAsia="Arial" w:hAnsi="Arial"/>
          <w:sz w:val="14"/>
          <w:szCs w:val="14"/>
          <w:color w:val="auto"/>
        </w:rPr>
        <w:t>There has been no change in our internal control over financial reporting during the fiscal quarter ended June 30, 2019 that</w:t>
      </w:r>
      <w:r>
        <w:rPr>
          <w:rFonts w:ascii="Arial" w:cs="Arial" w:eastAsia="Arial" w:hAnsi="Arial"/>
          <w:sz w:val="14"/>
          <w:szCs w:val="14"/>
          <w:i w:val="1"/>
          <w:iCs w:val="1"/>
          <w:color w:val="auto"/>
        </w:rPr>
        <w:t xml:space="preserve"> </w:t>
      </w:r>
      <w:r>
        <w:rPr>
          <w:rFonts w:ascii="Arial" w:cs="Arial" w:eastAsia="Arial" w:hAnsi="Arial"/>
          <w:sz w:val="14"/>
          <w:szCs w:val="14"/>
          <w:color w:val="auto"/>
        </w:rPr>
        <w:t>has materially affected, or is reasonably likely to materially affect, our internal controls over financial reporting.</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LEGAL PROCEEDINGS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For information regarding legal proceedings, see Notes to Consolidated Financial Statements, Note 12, “Commitments and Contingencies.”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RISK FACTORS</w:t>
      </w:r>
    </w:p>
    <w:p>
      <w:pPr>
        <w:spacing w:after="0" w:line="202"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discussed in “Risk Factors,” in our Annual Report on Form 10-K for the year ended December 31, 2018. The risk factors described in our Annual Report on Form 10-K for the year ended December 31, 2018, are not the only risks that we face. Additional risks and uncertainties not currently known to us or that we currently deem to be immaterial may also materially adversely affect our business, financial condition, cash flows, results of operations, or stock price.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UNREGISTERED SALES OF EQUITY SECURITIES AND USE OF PROCEEDS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828282"/>
        </w:rPr>
        <w:t>ISSUER PURCHASES OF EQUITY SECURITIES</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Purchases of common stock made by us, or on our behalf during the quarter ended June 30, 2019, including shares withheld by us to satisfy our employees’ income tax obligations, are set forth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ind w:left="20"/>
              <w:spacing w:after="0"/>
              <w:rPr>
                <w:sz w:val="20"/>
                <w:szCs w:val="20"/>
                <w:color w:val="auto"/>
              </w:rPr>
            </w:pPr>
            <w:r>
              <w:rPr>
                <w:rFonts w:ascii="Arial" w:cs="Arial" w:eastAsia="Arial" w:hAnsi="Arial"/>
                <w:sz w:val="13"/>
                <w:szCs w:val="13"/>
                <w:b w:val="1"/>
                <w:bCs w:val="1"/>
                <w:color w:val="auto"/>
                <w:w w:val="98"/>
              </w:rPr>
              <w:t>Total Number of Shares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right="95"/>
              <w:spacing w:after="0"/>
              <w:rPr>
                <w:sz w:val="20"/>
                <w:szCs w:val="20"/>
                <w:color w:val="auto"/>
              </w:rPr>
            </w:pPr>
            <w:r>
              <w:rPr>
                <w:rFonts w:ascii="Arial" w:cs="Arial" w:eastAsia="Arial" w:hAnsi="Arial"/>
                <w:sz w:val="13"/>
                <w:szCs w:val="13"/>
                <w:b w:val="1"/>
                <w:bCs w:val="1"/>
                <w:color w:val="auto"/>
                <w:w w:val="98"/>
              </w:rPr>
              <w:t>Approximate</w:t>
            </w:r>
          </w:p>
        </w:tc>
      </w:tr>
      <w:tr>
        <w:trPr>
          <w:trHeight w:val="151"/>
        </w:trPr>
        <w:tc>
          <w:tcPr>
            <w:tcW w:w="5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8"/>
              </w:rPr>
              <w:t>Purchased as Part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right="55"/>
              <w:spacing w:after="0"/>
              <w:rPr>
                <w:sz w:val="20"/>
                <w:szCs w:val="20"/>
                <w:color w:val="auto"/>
              </w:rPr>
            </w:pPr>
            <w:r>
              <w:rPr>
                <w:rFonts w:ascii="Arial" w:cs="Arial" w:eastAsia="Arial" w:hAnsi="Arial"/>
                <w:sz w:val="13"/>
                <w:szCs w:val="13"/>
                <w:b w:val="1"/>
                <w:bCs w:val="1"/>
                <w:color w:val="auto"/>
                <w:w w:val="98"/>
              </w:rPr>
              <w:t>Dollar Value</w:t>
            </w:r>
          </w:p>
        </w:tc>
      </w:tr>
      <w:tr>
        <w:trPr>
          <w:trHeight w:val="151"/>
        </w:trPr>
        <w:tc>
          <w:tcPr>
            <w:tcW w:w="5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rPr>
              <w:t>Publicly</w:t>
            </w:r>
          </w:p>
        </w:tc>
        <w:tc>
          <w:tcPr>
            <w:tcW w:w="120" w:type="dxa"/>
            <w:vAlign w:val="bottom"/>
          </w:tcPr>
          <w:p>
            <w:pPr>
              <w:spacing w:after="0"/>
              <w:rPr>
                <w:sz w:val="13"/>
                <w:szCs w:val="13"/>
                <w:color w:val="auto"/>
              </w:rPr>
            </w:pPr>
          </w:p>
        </w:tc>
        <w:tc>
          <w:tcPr>
            <w:tcW w:w="14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of Shares Authorized</w:t>
            </w:r>
          </w:p>
        </w:tc>
      </w:tr>
      <w:tr>
        <w:trPr>
          <w:trHeight w:val="151"/>
        </w:trPr>
        <w:tc>
          <w:tcPr>
            <w:tcW w:w="51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7"/>
              </w:rPr>
              <w:t>Total Number</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7"/>
              </w:rPr>
              <w:t>Announced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right="55"/>
              <w:spacing w:after="0"/>
              <w:rPr>
                <w:sz w:val="20"/>
                <w:szCs w:val="20"/>
                <w:color w:val="auto"/>
              </w:rPr>
            </w:pPr>
            <w:r>
              <w:rPr>
                <w:rFonts w:ascii="Arial" w:cs="Arial" w:eastAsia="Arial" w:hAnsi="Arial"/>
                <w:sz w:val="13"/>
                <w:szCs w:val="13"/>
                <w:b w:val="1"/>
                <w:bCs w:val="1"/>
                <w:color w:val="auto"/>
                <w:w w:val="99"/>
              </w:rPr>
              <w:t>to Be Purchased</w:t>
            </w:r>
          </w:p>
        </w:tc>
      </w:tr>
      <w:tr>
        <w:trPr>
          <w:trHeight w:val="151"/>
        </w:trPr>
        <w:tc>
          <w:tcPr>
            <w:tcW w:w="51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rPr>
              <w:t>of Shares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Arial" w:cs="Arial" w:eastAsia="Arial" w:hAnsi="Arial"/>
                <w:sz w:val="13"/>
                <w:szCs w:val="13"/>
                <w:b w:val="1"/>
                <w:bCs w:val="1"/>
                <w:color w:val="auto"/>
              </w:rPr>
              <w:t>Average Price</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rPr>
              <w:t>Plans or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right="55"/>
              <w:spacing w:after="0"/>
              <w:rPr>
                <w:sz w:val="20"/>
                <w:szCs w:val="20"/>
                <w:color w:val="auto"/>
              </w:rPr>
            </w:pPr>
            <w:r>
              <w:rPr>
                <w:rFonts w:ascii="Arial" w:cs="Arial" w:eastAsia="Arial" w:hAnsi="Arial"/>
                <w:sz w:val="13"/>
                <w:szCs w:val="13"/>
                <w:b w:val="1"/>
                <w:bCs w:val="1"/>
                <w:color w:val="auto"/>
                <w:w w:val="98"/>
              </w:rPr>
              <w:t>Under the Plans or</w:t>
            </w:r>
          </w:p>
        </w:tc>
      </w:tr>
      <w:tr>
        <w:trPr>
          <w:trHeight w:val="187"/>
        </w:trPr>
        <w:tc>
          <w:tcPr>
            <w:tcW w:w="51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line="187" w:lineRule="exact"/>
              <w:rPr>
                <w:sz w:val="20"/>
                <w:szCs w:val="20"/>
                <w:color w:val="auto"/>
              </w:rPr>
            </w:pPr>
            <w:r>
              <w:rPr>
                <w:rFonts w:ascii="Arial" w:cs="Arial" w:eastAsia="Arial" w:hAnsi="Arial"/>
                <w:sz w:val="13"/>
                <w:szCs w:val="13"/>
                <w:b w:val="1"/>
                <w:bCs w:val="1"/>
                <w:color w:val="auto"/>
                <w:w w:val="95"/>
              </w:rPr>
              <w:t xml:space="preserve">Purchased </w:t>
            </w:r>
            <w:r>
              <w:rPr>
                <w:rFonts w:ascii="Arial" w:cs="Arial" w:eastAsia="Arial" w:hAnsi="Arial"/>
                <w:sz w:val="17"/>
                <w:szCs w:val="17"/>
                <w:b w:val="1"/>
                <w:bCs w:val="1"/>
                <w:color w:val="auto"/>
                <w:w w:val="95"/>
                <w:vertAlign w:val="superscript"/>
              </w:rPr>
              <w:t>(1)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Paid per Share</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Programs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rPr>
              <w:t>Programs</w:t>
            </w:r>
          </w:p>
        </w:tc>
      </w:tr>
      <w:tr>
        <w:trPr>
          <w:trHeight w:val="196"/>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April 1 - April 30</w:t>
            </w: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136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142.69</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ind w:left="126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ind w:left="1100"/>
              <w:spacing w:after="0"/>
              <w:rPr>
                <w:sz w:val="20"/>
                <w:szCs w:val="20"/>
                <w:color w:val="auto"/>
              </w:rPr>
            </w:pPr>
            <w:r>
              <w:rPr>
                <w:rFonts w:ascii="Arial" w:cs="Arial" w:eastAsia="Arial" w:hAnsi="Arial"/>
                <w:sz w:val="13"/>
                <w:szCs w:val="13"/>
                <w:color w:val="auto"/>
              </w:rPr>
              <w:t>—</w:t>
            </w: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May 1 - May 31</w:t>
            </w: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2,195</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55"/>
              <w:spacing w:after="0"/>
              <w:rPr>
                <w:sz w:val="20"/>
                <w:szCs w:val="20"/>
                <w:color w:val="auto"/>
              </w:rPr>
            </w:pPr>
            <w:r>
              <w:rPr>
                <w:rFonts w:ascii="Arial" w:cs="Arial" w:eastAsia="Arial" w:hAnsi="Arial"/>
                <w:sz w:val="13"/>
                <w:szCs w:val="13"/>
                <w:color w:val="auto"/>
              </w:rPr>
              <w:t>130.81</w:t>
            </w:r>
          </w:p>
        </w:tc>
        <w:tc>
          <w:tcPr>
            <w:tcW w:w="120" w:type="dxa"/>
            <w:vAlign w:val="bottom"/>
          </w:tcPr>
          <w:p>
            <w:pPr>
              <w:spacing w:after="0"/>
              <w:rPr>
                <w:sz w:val="18"/>
                <w:szCs w:val="18"/>
                <w:color w:val="auto"/>
              </w:rPr>
            </w:pPr>
          </w:p>
        </w:tc>
        <w:tc>
          <w:tcPr>
            <w:tcW w:w="1480" w:type="dxa"/>
            <w:vAlign w:val="bottom"/>
          </w:tcPr>
          <w:p>
            <w:pPr>
              <w:ind w:left="126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40" w:type="dxa"/>
            <w:vAlign w:val="bottom"/>
          </w:tcPr>
          <w:p>
            <w:pPr>
              <w:ind w:left="1100"/>
              <w:spacing w:after="0"/>
              <w:rPr>
                <w:sz w:val="20"/>
                <w:szCs w:val="20"/>
                <w:color w:val="auto"/>
              </w:rPr>
            </w:pPr>
            <w:r>
              <w:rPr>
                <w:rFonts w:ascii="Arial" w:cs="Arial" w:eastAsia="Arial" w:hAnsi="Arial"/>
                <w:sz w:val="13"/>
                <w:szCs w:val="13"/>
                <w:color w:val="auto"/>
              </w:rPr>
              <w:t>—</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June 1 - June 30</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408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152.56</w:t>
            </w:r>
          </w:p>
        </w:tc>
        <w:tc>
          <w:tcPr>
            <w:tcW w:w="12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ind w:left="1100"/>
              <w:spacing w:after="0"/>
              <w:rPr>
                <w:sz w:val="20"/>
                <w:szCs w:val="20"/>
                <w:color w:val="auto"/>
              </w:rPr>
            </w:pPr>
            <w:r>
              <w:rPr>
                <w:rFonts w:ascii="Arial" w:cs="Arial" w:eastAsia="Arial" w:hAnsi="Arial"/>
                <w:sz w:val="13"/>
                <w:szCs w:val="13"/>
                <w:color w:val="auto"/>
              </w:rPr>
              <w:t>—</w:t>
            </w:r>
          </w:p>
        </w:tc>
      </w:tr>
      <w:tr>
        <w:trPr>
          <w:trHeight w:val="190"/>
        </w:trPr>
        <w:tc>
          <w:tcPr>
            <w:tcW w:w="5160" w:type="dxa"/>
            <w:vAlign w:val="bottom"/>
          </w:tcPr>
          <w:p>
            <w:pPr>
              <w:ind w:left="140"/>
              <w:spacing w:after="0"/>
              <w:rPr>
                <w:sz w:val="20"/>
                <w:szCs w:val="20"/>
                <w:color w:val="auto"/>
              </w:rPr>
            </w:pPr>
            <w:r>
              <w:rPr>
                <w:rFonts w:ascii="Arial" w:cs="Arial" w:eastAsia="Arial" w:hAnsi="Arial"/>
                <w:sz w:val="13"/>
                <w:szCs w:val="13"/>
                <w:color w:val="auto"/>
              </w:rPr>
              <w:t>Total</w:t>
            </w: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2,739</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55"/>
              <w:spacing w:after="0"/>
              <w:rPr>
                <w:sz w:val="20"/>
                <w:szCs w:val="20"/>
                <w:color w:val="auto"/>
              </w:rPr>
            </w:pPr>
            <w:r>
              <w:rPr>
                <w:rFonts w:ascii="Arial" w:cs="Arial" w:eastAsia="Arial" w:hAnsi="Arial"/>
                <w:sz w:val="13"/>
                <w:szCs w:val="13"/>
                <w:color w:val="auto"/>
              </w:rPr>
              <w:t>134.64</w:t>
            </w:r>
          </w:p>
        </w:tc>
        <w:tc>
          <w:tcPr>
            <w:tcW w:w="120" w:type="dxa"/>
            <w:vAlign w:val="bottom"/>
          </w:tcPr>
          <w:p>
            <w:pPr>
              <w:spacing w:after="0"/>
              <w:rPr>
                <w:sz w:val="16"/>
                <w:szCs w:val="16"/>
                <w:color w:val="auto"/>
              </w:rPr>
            </w:pPr>
          </w:p>
        </w:tc>
        <w:tc>
          <w:tcPr>
            <w:tcW w:w="1480" w:type="dxa"/>
            <w:vAlign w:val="bottom"/>
            <w:tcBorders>
              <w:bottom w:val="single" w:sz="8" w:color="auto"/>
            </w:tcBorders>
          </w:tcPr>
          <w:p>
            <w:pPr>
              <w:ind w:left="1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186" w:lineRule="exact"/>
        <w:rPr>
          <w:sz w:val="20"/>
          <w:szCs w:val="20"/>
          <w:color w:val="auto"/>
        </w:rPr>
      </w:pPr>
    </w:p>
    <w:p>
      <w:pPr>
        <w:ind w:left="400" w:hanging="394"/>
        <w:spacing w:after="0"/>
        <w:tabs>
          <w:tab w:leader="none" w:pos="4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During the three months ended June 30, 2019, we withheld 2,739 shares of common stock under our 2011 Equity Incentive Plan to settle employee income tax obligations.</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49</w:t>
      </w:r>
    </w:p>
    <w:p>
      <w:pPr>
        <w:sectPr>
          <w:pgSz w:w="11900" w:h="16838" w:orient="portrait"/>
          <w:cols w:equalWidth="0" w:num="1">
            <w:col w:w="11460"/>
          </w:cols>
          <w:pgMar w:left="220" w:top="140" w:right="21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INDEX TO EXHIBITS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Exhibit No.</w:t>
            </w:r>
          </w:p>
        </w:tc>
        <w:tc>
          <w:tcPr>
            <w:tcW w:w="120" w:type="dxa"/>
            <w:vAlign w:val="bottom"/>
          </w:tcPr>
          <w:p>
            <w:pPr>
              <w:spacing w:after="0"/>
              <w:rPr>
                <w:sz w:val="12"/>
                <w:szCs w:val="12"/>
                <w:color w:val="auto"/>
              </w:rPr>
            </w:pPr>
          </w:p>
        </w:tc>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Title</w:t>
            </w:r>
          </w:p>
        </w:tc>
        <w:tc>
          <w:tcPr>
            <w:tcW w:w="120" w:type="dxa"/>
            <w:vAlign w:val="bottom"/>
          </w:tcPr>
          <w:p>
            <w:pPr>
              <w:spacing w:after="0"/>
              <w:rPr>
                <w:sz w:val="12"/>
                <w:szCs w:val="12"/>
                <w:color w:val="auto"/>
              </w:rPr>
            </w:pP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Method of Filing</w:t>
            </w:r>
          </w:p>
        </w:tc>
      </w:tr>
      <w:tr>
        <w:trPr>
          <w:trHeight w:val="297"/>
        </w:trPr>
        <w:tc>
          <w:tcPr>
            <w:tcW w:w="280" w:type="dxa"/>
            <w:vAlign w:val="bottom"/>
            <w:gridSpan w:val="2"/>
          </w:tcPr>
          <w:p>
            <w:pPr>
              <w:ind w:left="20"/>
              <w:spacing w:after="0"/>
              <w:rPr>
                <w:rFonts w:ascii="Arial" w:cs="Arial" w:eastAsia="Arial" w:hAnsi="Arial"/>
                <w:sz w:val="13"/>
                <w:szCs w:val="13"/>
                <w:color w:val="0000FF"/>
                <w:w w:val="94"/>
              </w:rPr>
            </w:pPr>
            <w:hyperlink w:anchor="page52">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1</w:t>
              </w:r>
            </w:hyperlink>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gridSpan w:val="2"/>
          </w:tcPr>
          <w:p>
            <w:pPr>
              <w:ind w:left="20"/>
              <w:spacing w:after="0"/>
              <w:rPr>
                <w:sz w:val="20"/>
                <w:szCs w:val="20"/>
                <w:color w:val="auto"/>
              </w:rPr>
            </w:pPr>
            <w:r>
              <w:rPr>
                <w:rFonts w:ascii="Arial" w:cs="Arial" w:eastAsia="Arial" w:hAnsi="Arial"/>
                <w:sz w:val="13"/>
                <w:szCs w:val="13"/>
                <w:color w:val="auto"/>
              </w:rPr>
              <w:t>2019 Equity Incentive Plan - Form of Restricted Stock Award Agreement</w:t>
            </w:r>
          </w:p>
        </w:tc>
        <w:tc>
          <w:tcPr>
            <w:tcW w:w="36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58"/>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40" w:type="dxa"/>
            <w:vAlign w:val="bottom"/>
            <w:gridSpan w:val="2"/>
          </w:tcPr>
          <w:p>
            <w:pPr>
              <w:ind w:left="20"/>
              <w:spacing w:after="0"/>
              <w:rPr>
                <w:sz w:val="20"/>
                <w:szCs w:val="20"/>
                <w:color w:val="auto"/>
              </w:rPr>
            </w:pPr>
            <w:r>
              <w:rPr>
                <w:rFonts w:ascii="Arial" w:cs="Arial" w:eastAsia="Arial" w:hAnsi="Arial"/>
                <w:sz w:val="13"/>
                <w:szCs w:val="13"/>
                <w:color w:val="auto"/>
              </w:rPr>
              <w:t>(Employee/Officer with No Employment Agreement)</w:t>
            </w:r>
          </w:p>
        </w:tc>
        <w:tc>
          <w:tcPr>
            <w:tcW w:w="3660" w:type="dxa"/>
            <w:vAlign w:val="bottom"/>
          </w:tcPr>
          <w:p>
            <w:pPr>
              <w:spacing w:after="0"/>
              <w:rPr>
                <w:sz w:val="13"/>
                <w:szCs w:val="13"/>
                <w:color w:val="auto"/>
              </w:rPr>
            </w:pPr>
          </w:p>
        </w:tc>
      </w:tr>
      <w:tr>
        <w:trPr>
          <w:trHeight w:val="264"/>
        </w:trPr>
        <w:tc>
          <w:tcPr>
            <w:tcW w:w="280" w:type="dxa"/>
            <w:vAlign w:val="bottom"/>
            <w:gridSpan w:val="2"/>
          </w:tcPr>
          <w:p>
            <w:pPr>
              <w:ind w:left="20"/>
              <w:spacing w:after="0"/>
              <w:rPr>
                <w:rFonts w:ascii="Arial" w:cs="Arial" w:eastAsia="Arial" w:hAnsi="Arial"/>
                <w:sz w:val="13"/>
                <w:szCs w:val="13"/>
                <w:color w:val="0000FF"/>
                <w:w w:val="94"/>
              </w:rPr>
            </w:pPr>
            <w:hyperlink w:anchor="page59">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2</w:t>
              </w:r>
            </w:hyperlink>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740" w:type="dxa"/>
            <w:vAlign w:val="bottom"/>
            <w:gridSpan w:val="2"/>
          </w:tcPr>
          <w:p>
            <w:pPr>
              <w:ind w:left="20"/>
              <w:spacing w:after="0"/>
              <w:rPr>
                <w:sz w:val="20"/>
                <w:szCs w:val="20"/>
                <w:color w:val="auto"/>
              </w:rPr>
            </w:pPr>
            <w:r>
              <w:rPr>
                <w:rFonts w:ascii="Arial" w:cs="Arial" w:eastAsia="Arial" w:hAnsi="Arial"/>
                <w:sz w:val="13"/>
                <w:szCs w:val="13"/>
                <w:color w:val="auto"/>
              </w:rPr>
              <w:t>2019 Equity Incentive Plan - Form of Performance Stock Unit Award Agreement (Employee/Officer with No</w:t>
            </w:r>
          </w:p>
        </w:tc>
        <w:tc>
          <w:tcPr>
            <w:tcW w:w="36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58"/>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40" w:type="dxa"/>
            <w:vAlign w:val="bottom"/>
            <w:gridSpan w:val="2"/>
          </w:tcPr>
          <w:p>
            <w:pPr>
              <w:ind w:left="20"/>
              <w:spacing w:after="0"/>
              <w:rPr>
                <w:sz w:val="20"/>
                <w:szCs w:val="20"/>
                <w:color w:val="auto"/>
              </w:rPr>
            </w:pPr>
            <w:r>
              <w:rPr>
                <w:rFonts w:ascii="Arial" w:cs="Arial" w:eastAsia="Arial" w:hAnsi="Arial"/>
                <w:sz w:val="13"/>
                <w:szCs w:val="13"/>
                <w:color w:val="auto"/>
              </w:rPr>
              <w:t>Employment Agreement)</w:t>
            </w:r>
          </w:p>
        </w:tc>
        <w:tc>
          <w:tcPr>
            <w:tcW w:w="3660" w:type="dxa"/>
            <w:vAlign w:val="bottom"/>
          </w:tcPr>
          <w:p>
            <w:pPr>
              <w:spacing w:after="0"/>
              <w:rPr>
                <w:sz w:val="13"/>
                <w:szCs w:val="13"/>
                <w:color w:val="auto"/>
              </w:rPr>
            </w:pPr>
          </w:p>
        </w:tc>
      </w:tr>
      <w:tr>
        <w:trPr>
          <w:trHeight w:val="264"/>
        </w:trPr>
        <w:tc>
          <w:tcPr>
            <w:tcW w:w="280" w:type="dxa"/>
            <w:vAlign w:val="bottom"/>
            <w:gridSpan w:val="2"/>
          </w:tcPr>
          <w:p>
            <w:pPr>
              <w:ind w:left="20"/>
              <w:spacing w:after="0"/>
              <w:rPr>
                <w:rFonts w:ascii="Arial" w:cs="Arial" w:eastAsia="Arial" w:hAnsi="Arial"/>
                <w:sz w:val="13"/>
                <w:szCs w:val="13"/>
                <w:color w:val="0000FF"/>
                <w:w w:val="94"/>
              </w:rPr>
            </w:pPr>
            <w:hyperlink w:anchor="page67">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3</w:t>
              </w:r>
            </w:hyperlink>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740" w:type="dxa"/>
            <w:vAlign w:val="bottom"/>
            <w:gridSpan w:val="2"/>
          </w:tcPr>
          <w:p>
            <w:pPr>
              <w:ind w:left="20"/>
              <w:spacing w:after="0"/>
              <w:rPr>
                <w:sz w:val="20"/>
                <w:szCs w:val="20"/>
                <w:color w:val="auto"/>
              </w:rPr>
            </w:pPr>
            <w:r>
              <w:rPr>
                <w:rFonts w:ascii="Arial" w:cs="Arial" w:eastAsia="Arial" w:hAnsi="Arial"/>
                <w:sz w:val="13"/>
                <w:szCs w:val="13"/>
                <w:color w:val="auto"/>
              </w:rPr>
              <w:t>2019 Equity Incentive Plan - Form of Restricted Stock Award Agreement</w:t>
            </w:r>
          </w:p>
        </w:tc>
        <w:tc>
          <w:tcPr>
            <w:tcW w:w="36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58"/>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40" w:type="dxa"/>
            <w:vAlign w:val="bottom"/>
            <w:gridSpan w:val="2"/>
          </w:tcPr>
          <w:p>
            <w:pPr>
              <w:ind w:left="20"/>
              <w:spacing w:after="0"/>
              <w:rPr>
                <w:sz w:val="20"/>
                <w:szCs w:val="20"/>
                <w:color w:val="auto"/>
              </w:rPr>
            </w:pPr>
            <w:r>
              <w:rPr>
                <w:rFonts w:ascii="Arial" w:cs="Arial" w:eastAsia="Arial" w:hAnsi="Arial"/>
                <w:sz w:val="13"/>
                <w:szCs w:val="13"/>
                <w:color w:val="auto"/>
              </w:rPr>
              <w:t>(Officer with Employment Agreement)</w:t>
            </w:r>
          </w:p>
        </w:tc>
        <w:tc>
          <w:tcPr>
            <w:tcW w:w="3660" w:type="dxa"/>
            <w:vAlign w:val="bottom"/>
          </w:tcPr>
          <w:p>
            <w:pPr>
              <w:spacing w:after="0"/>
              <w:rPr>
                <w:sz w:val="13"/>
                <w:szCs w:val="13"/>
                <w:color w:val="auto"/>
              </w:rPr>
            </w:pPr>
          </w:p>
        </w:tc>
      </w:tr>
      <w:tr>
        <w:trPr>
          <w:trHeight w:val="264"/>
        </w:trPr>
        <w:tc>
          <w:tcPr>
            <w:tcW w:w="280" w:type="dxa"/>
            <w:vAlign w:val="bottom"/>
            <w:gridSpan w:val="2"/>
          </w:tcPr>
          <w:p>
            <w:pPr>
              <w:ind w:left="20"/>
              <w:spacing w:after="0"/>
              <w:rPr>
                <w:rFonts w:ascii="Arial" w:cs="Arial" w:eastAsia="Arial" w:hAnsi="Arial"/>
                <w:sz w:val="13"/>
                <w:szCs w:val="13"/>
                <w:color w:val="0000FF"/>
                <w:w w:val="94"/>
              </w:rPr>
            </w:pPr>
            <w:hyperlink w:anchor="page74">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4</w:t>
              </w:r>
            </w:hyperlink>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740" w:type="dxa"/>
            <w:vAlign w:val="bottom"/>
            <w:gridSpan w:val="2"/>
          </w:tcPr>
          <w:p>
            <w:pPr>
              <w:ind w:left="20"/>
              <w:spacing w:after="0"/>
              <w:rPr>
                <w:sz w:val="20"/>
                <w:szCs w:val="20"/>
                <w:color w:val="auto"/>
              </w:rPr>
            </w:pPr>
            <w:r>
              <w:rPr>
                <w:rFonts w:ascii="Arial" w:cs="Arial" w:eastAsia="Arial" w:hAnsi="Arial"/>
                <w:sz w:val="13"/>
                <w:szCs w:val="13"/>
                <w:color w:val="auto"/>
              </w:rPr>
              <w:t>2019 Equity Incentive Plan - Form of Performance Stock Unit Award Agreement (Officer with Employment</w:t>
            </w:r>
          </w:p>
        </w:tc>
        <w:tc>
          <w:tcPr>
            <w:tcW w:w="36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58"/>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40" w:type="dxa"/>
            <w:vAlign w:val="bottom"/>
            <w:gridSpan w:val="2"/>
          </w:tcPr>
          <w:p>
            <w:pPr>
              <w:ind w:left="20"/>
              <w:spacing w:after="0"/>
              <w:rPr>
                <w:sz w:val="20"/>
                <w:szCs w:val="20"/>
                <w:color w:val="auto"/>
              </w:rPr>
            </w:pPr>
            <w:r>
              <w:rPr>
                <w:rFonts w:ascii="Arial" w:cs="Arial" w:eastAsia="Arial" w:hAnsi="Arial"/>
                <w:sz w:val="13"/>
                <w:szCs w:val="13"/>
                <w:color w:val="auto"/>
              </w:rPr>
              <w:t>Agreement)</w:t>
            </w:r>
          </w:p>
        </w:tc>
        <w:tc>
          <w:tcPr>
            <w:tcW w:w="3660" w:type="dxa"/>
            <w:vAlign w:val="bottom"/>
          </w:tcPr>
          <w:p>
            <w:pPr>
              <w:spacing w:after="0"/>
              <w:rPr>
                <w:sz w:val="13"/>
                <w:szCs w:val="13"/>
                <w:color w:val="auto"/>
              </w:rPr>
            </w:pPr>
          </w:p>
        </w:tc>
      </w:tr>
      <w:tr>
        <w:trPr>
          <w:trHeight w:val="264"/>
        </w:trPr>
        <w:tc>
          <w:tcPr>
            <w:tcW w:w="20" w:type="dxa"/>
            <w:vAlign w:val="bottom"/>
          </w:tcPr>
          <w:p>
            <w:pPr>
              <w:spacing w:after="0"/>
              <w:rPr>
                <w:sz w:val="22"/>
                <w:szCs w:val="22"/>
                <w:color w:val="auto"/>
              </w:rPr>
            </w:pPr>
          </w:p>
        </w:tc>
        <w:tc>
          <w:tcPr>
            <w:tcW w:w="260" w:type="dxa"/>
            <w:vAlign w:val="bottom"/>
            <w:tcBorders>
              <w:bottom w:val="single" w:sz="8" w:color="0000FF"/>
            </w:tcBorders>
          </w:tcPr>
          <w:p>
            <w:pPr>
              <w:spacing w:after="0"/>
              <w:rPr>
                <w:rFonts w:ascii="Arial" w:cs="Arial" w:eastAsia="Arial" w:hAnsi="Arial"/>
                <w:sz w:val="13"/>
                <w:szCs w:val="13"/>
                <w:color w:val="0000FF"/>
                <w:w w:val="94"/>
              </w:rPr>
            </w:pPr>
            <w:hyperlink w:anchor="page82">
              <w:r>
                <w:rPr>
                  <w:rFonts w:ascii="Arial" w:cs="Arial" w:eastAsia="Arial" w:hAnsi="Arial"/>
                  <w:sz w:val="13"/>
                  <w:szCs w:val="13"/>
                  <w:color w:val="0000FF"/>
                  <w:w w:val="94"/>
                </w:rPr>
                <w:t>31.</w:t>
              </w:r>
              <w:r>
                <w:rPr>
                  <w:rFonts w:ascii="Arial" w:cs="Arial" w:eastAsia="Arial" w:hAnsi="Arial"/>
                  <w:sz w:val="13"/>
                  <w:szCs w:val="13"/>
                  <w:u w:val="single" w:color="auto"/>
                  <w:color w:val="0000FF"/>
                  <w:w w:val="94"/>
                </w:rPr>
                <w:t>1</w:t>
              </w:r>
            </w:hyperlink>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740" w:type="dxa"/>
            <w:vAlign w:val="bottom"/>
            <w:gridSpan w:val="2"/>
          </w:tcPr>
          <w:p>
            <w:pPr>
              <w:ind w:left="20"/>
              <w:spacing w:after="0"/>
              <w:rPr>
                <w:sz w:val="20"/>
                <w:szCs w:val="20"/>
                <w:color w:val="auto"/>
              </w:rPr>
            </w:pPr>
            <w:r>
              <w:rPr>
                <w:rFonts w:ascii="Arial" w:cs="Arial" w:eastAsia="Arial" w:hAnsi="Arial"/>
                <w:sz w:val="13"/>
                <w:szCs w:val="13"/>
                <w:color w:val="auto"/>
              </w:rPr>
              <w:t>Section 302 Certification of Chief Executive Officer</w:t>
            </w:r>
          </w:p>
        </w:tc>
        <w:tc>
          <w:tcPr>
            <w:tcW w:w="36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293"/>
        </w:trPr>
        <w:tc>
          <w:tcPr>
            <w:tcW w:w="20" w:type="dxa"/>
            <w:vAlign w:val="bottom"/>
          </w:tcPr>
          <w:p>
            <w:pPr>
              <w:spacing w:after="0"/>
              <w:rPr>
                <w:sz w:val="24"/>
                <w:szCs w:val="24"/>
                <w:color w:val="auto"/>
              </w:rPr>
            </w:pPr>
          </w:p>
        </w:tc>
        <w:tc>
          <w:tcPr>
            <w:tcW w:w="260" w:type="dxa"/>
            <w:vAlign w:val="bottom"/>
            <w:tcBorders>
              <w:bottom w:val="single" w:sz="8" w:color="0000FF"/>
            </w:tcBorders>
          </w:tcPr>
          <w:p>
            <w:pPr>
              <w:spacing w:after="0"/>
              <w:rPr>
                <w:rFonts w:ascii="Arial" w:cs="Arial" w:eastAsia="Arial" w:hAnsi="Arial"/>
                <w:sz w:val="13"/>
                <w:szCs w:val="13"/>
                <w:color w:val="0000FF"/>
                <w:w w:val="94"/>
              </w:rPr>
            </w:pPr>
            <w:hyperlink w:anchor="page83">
              <w:r>
                <w:rPr>
                  <w:rFonts w:ascii="Arial" w:cs="Arial" w:eastAsia="Arial" w:hAnsi="Arial"/>
                  <w:sz w:val="13"/>
                  <w:szCs w:val="13"/>
                  <w:color w:val="0000FF"/>
                  <w:w w:val="94"/>
                </w:rPr>
                <w:t>31.</w:t>
              </w:r>
              <w:r>
                <w:rPr>
                  <w:rFonts w:ascii="Arial" w:cs="Arial" w:eastAsia="Arial" w:hAnsi="Arial"/>
                  <w:sz w:val="13"/>
                  <w:szCs w:val="13"/>
                  <w:u w:val="single" w:color="auto"/>
                  <w:color w:val="0000FF"/>
                  <w:w w:val="94"/>
                </w:rPr>
                <w:t>2</w:t>
              </w:r>
            </w:hyperlink>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gridSpan w:val="2"/>
          </w:tcPr>
          <w:p>
            <w:pPr>
              <w:ind w:left="20"/>
              <w:spacing w:after="0"/>
              <w:rPr>
                <w:sz w:val="20"/>
                <w:szCs w:val="20"/>
                <w:color w:val="auto"/>
              </w:rPr>
            </w:pPr>
            <w:r>
              <w:rPr>
                <w:rFonts w:ascii="Arial" w:cs="Arial" w:eastAsia="Arial" w:hAnsi="Arial"/>
                <w:sz w:val="13"/>
                <w:szCs w:val="13"/>
                <w:color w:val="auto"/>
              </w:rPr>
              <w:t>Section 302 Certification of Chief Financial Officer</w:t>
            </w:r>
          </w:p>
        </w:tc>
        <w:tc>
          <w:tcPr>
            <w:tcW w:w="36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293"/>
        </w:trPr>
        <w:tc>
          <w:tcPr>
            <w:tcW w:w="280" w:type="dxa"/>
            <w:vAlign w:val="bottom"/>
            <w:gridSpan w:val="2"/>
          </w:tcPr>
          <w:p>
            <w:pPr>
              <w:ind w:left="20"/>
              <w:spacing w:after="0"/>
              <w:rPr>
                <w:rFonts w:ascii="Arial" w:cs="Arial" w:eastAsia="Arial" w:hAnsi="Arial"/>
                <w:sz w:val="13"/>
                <w:szCs w:val="13"/>
                <w:color w:val="0000FF"/>
                <w:w w:val="94"/>
              </w:rPr>
            </w:pPr>
            <w:hyperlink w:anchor="page84">
              <w:r>
                <w:rPr>
                  <w:rFonts w:ascii="Arial" w:cs="Arial" w:eastAsia="Arial" w:hAnsi="Arial"/>
                  <w:sz w:val="13"/>
                  <w:szCs w:val="13"/>
                  <w:color w:val="0000FF"/>
                  <w:w w:val="94"/>
                </w:rPr>
                <w:t>32.</w:t>
              </w:r>
              <w:r>
                <w:rPr>
                  <w:rFonts w:ascii="Arial" w:cs="Arial" w:eastAsia="Arial" w:hAnsi="Arial"/>
                  <w:sz w:val="13"/>
                  <w:szCs w:val="13"/>
                  <w:u w:val="single" w:color="auto"/>
                  <w:color w:val="0000FF"/>
                  <w:w w:val="94"/>
                </w:rPr>
                <w:t>1</w:t>
              </w:r>
            </w:hyperlink>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gridSpan w:val="2"/>
          </w:tcPr>
          <w:p>
            <w:pPr>
              <w:ind w:left="20"/>
              <w:spacing w:after="0"/>
              <w:rPr>
                <w:sz w:val="20"/>
                <w:szCs w:val="20"/>
                <w:color w:val="auto"/>
              </w:rPr>
            </w:pPr>
            <w:r>
              <w:rPr>
                <w:rFonts w:ascii="Arial" w:cs="Arial" w:eastAsia="Arial" w:hAnsi="Arial"/>
                <w:sz w:val="13"/>
                <w:szCs w:val="13"/>
                <w:color w:val="auto"/>
              </w:rPr>
              <w:t>Certification of Chief Executive Officer pursuant to 18 U.S.C. Section 1350, as adopted pursuant to Section 906 of</w:t>
            </w:r>
          </w:p>
        </w:tc>
        <w:tc>
          <w:tcPr>
            <w:tcW w:w="36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58"/>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40" w:type="dxa"/>
            <w:vAlign w:val="bottom"/>
            <w:gridSpan w:val="2"/>
          </w:tcPr>
          <w:p>
            <w:pPr>
              <w:ind w:left="20"/>
              <w:spacing w:after="0"/>
              <w:rPr>
                <w:sz w:val="20"/>
                <w:szCs w:val="20"/>
                <w:color w:val="auto"/>
              </w:rPr>
            </w:pPr>
            <w:r>
              <w:rPr>
                <w:rFonts w:ascii="Arial" w:cs="Arial" w:eastAsia="Arial" w:hAnsi="Arial"/>
                <w:sz w:val="13"/>
                <w:szCs w:val="13"/>
                <w:color w:val="auto"/>
              </w:rPr>
              <w:t>the Sarbanes-Oxley Act of 2002.</w:t>
            </w:r>
          </w:p>
        </w:tc>
        <w:tc>
          <w:tcPr>
            <w:tcW w:w="3660" w:type="dxa"/>
            <w:vAlign w:val="bottom"/>
          </w:tcPr>
          <w:p>
            <w:pPr>
              <w:spacing w:after="0"/>
              <w:rPr>
                <w:sz w:val="13"/>
                <w:szCs w:val="13"/>
                <w:color w:val="auto"/>
              </w:rPr>
            </w:pPr>
          </w:p>
        </w:tc>
      </w:tr>
      <w:tr>
        <w:trPr>
          <w:trHeight w:val="264"/>
        </w:trPr>
        <w:tc>
          <w:tcPr>
            <w:tcW w:w="280" w:type="dxa"/>
            <w:vAlign w:val="bottom"/>
            <w:gridSpan w:val="2"/>
          </w:tcPr>
          <w:p>
            <w:pPr>
              <w:ind w:left="20"/>
              <w:spacing w:after="0"/>
              <w:rPr>
                <w:rFonts w:ascii="Arial" w:cs="Arial" w:eastAsia="Arial" w:hAnsi="Arial"/>
                <w:sz w:val="13"/>
                <w:szCs w:val="13"/>
                <w:color w:val="0000FF"/>
                <w:w w:val="94"/>
              </w:rPr>
            </w:pPr>
            <w:hyperlink w:anchor="page85">
              <w:r>
                <w:rPr>
                  <w:rFonts w:ascii="Arial" w:cs="Arial" w:eastAsia="Arial" w:hAnsi="Arial"/>
                  <w:sz w:val="13"/>
                  <w:szCs w:val="13"/>
                  <w:color w:val="0000FF"/>
                  <w:w w:val="94"/>
                </w:rPr>
                <w:t>32.</w:t>
              </w:r>
              <w:r>
                <w:rPr>
                  <w:rFonts w:ascii="Arial" w:cs="Arial" w:eastAsia="Arial" w:hAnsi="Arial"/>
                  <w:sz w:val="13"/>
                  <w:szCs w:val="13"/>
                  <w:u w:val="single" w:color="auto"/>
                  <w:color w:val="0000FF"/>
                  <w:w w:val="94"/>
                </w:rPr>
                <w:t>2</w:t>
              </w:r>
            </w:hyperlink>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740" w:type="dxa"/>
            <w:vAlign w:val="bottom"/>
            <w:gridSpan w:val="2"/>
          </w:tcPr>
          <w:p>
            <w:pPr>
              <w:ind w:left="20"/>
              <w:spacing w:after="0"/>
              <w:rPr>
                <w:sz w:val="20"/>
                <w:szCs w:val="20"/>
                <w:color w:val="auto"/>
              </w:rPr>
            </w:pPr>
            <w:r>
              <w:rPr>
                <w:rFonts w:ascii="Arial" w:cs="Arial" w:eastAsia="Arial" w:hAnsi="Arial"/>
                <w:sz w:val="13"/>
                <w:szCs w:val="13"/>
                <w:color w:val="auto"/>
              </w:rPr>
              <w:t>Certification of Chief Financial Officer pursuant to 18 U.S.C. Section 1350, as adopted pursuant to Section 906 of</w:t>
            </w:r>
          </w:p>
        </w:tc>
        <w:tc>
          <w:tcPr>
            <w:tcW w:w="36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58"/>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40" w:type="dxa"/>
            <w:vAlign w:val="bottom"/>
            <w:gridSpan w:val="2"/>
          </w:tcPr>
          <w:p>
            <w:pPr>
              <w:ind w:left="20"/>
              <w:spacing w:after="0"/>
              <w:rPr>
                <w:sz w:val="20"/>
                <w:szCs w:val="20"/>
                <w:color w:val="auto"/>
              </w:rPr>
            </w:pPr>
            <w:r>
              <w:rPr>
                <w:rFonts w:ascii="Arial" w:cs="Arial" w:eastAsia="Arial" w:hAnsi="Arial"/>
                <w:sz w:val="13"/>
                <w:szCs w:val="13"/>
                <w:color w:val="auto"/>
              </w:rPr>
              <w:t>the Sarbanes-Oxley Act of 2002.</w:t>
            </w:r>
          </w:p>
        </w:tc>
        <w:tc>
          <w:tcPr>
            <w:tcW w:w="3660" w:type="dxa"/>
            <w:vAlign w:val="bottom"/>
          </w:tcPr>
          <w:p>
            <w:pPr>
              <w:spacing w:after="0"/>
              <w:rPr>
                <w:sz w:val="13"/>
                <w:szCs w:val="13"/>
                <w:color w:val="auto"/>
              </w:rPr>
            </w:pPr>
          </w:p>
        </w:tc>
      </w:tr>
      <w:tr>
        <w:trPr>
          <w:trHeight w:val="291"/>
        </w:trPr>
        <w:tc>
          <w:tcPr>
            <w:tcW w:w="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101.INS</w:t>
            </w:r>
          </w:p>
        </w:tc>
        <w:tc>
          <w:tcPr>
            <w:tcW w:w="6740" w:type="dxa"/>
            <w:vAlign w:val="bottom"/>
            <w:gridSpan w:val="2"/>
          </w:tcPr>
          <w:p>
            <w:pPr>
              <w:ind w:left="20"/>
              <w:spacing w:after="0"/>
              <w:rPr>
                <w:sz w:val="20"/>
                <w:szCs w:val="20"/>
                <w:color w:val="auto"/>
              </w:rPr>
            </w:pPr>
            <w:r>
              <w:rPr>
                <w:rFonts w:ascii="Arial" w:cs="Arial" w:eastAsia="Arial" w:hAnsi="Arial"/>
                <w:sz w:val="13"/>
                <w:szCs w:val="13"/>
                <w:color w:val="auto"/>
              </w:rPr>
              <w:t>XBRL Taxonomy Instance Document.</w:t>
            </w:r>
          </w:p>
        </w:tc>
        <w:tc>
          <w:tcPr>
            <w:tcW w:w="36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313"/>
        </w:trPr>
        <w:tc>
          <w:tcPr>
            <w:tcW w:w="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101.SCH</w:t>
            </w:r>
          </w:p>
        </w:tc>
        <w:tc>
          <w:tcPr>
            <w:tcW w:w="6740" w:type="dxa"/>
            <w:vAlign w:val="bottom"/>
            <w:gridSpan w:val="2"/>
          </w:tcPr>
          <w:p>
            <w:pPr>
              <w:ind w:left="20"/>
              <w:spacing w:after="0"/>
              <w:rPr>
                <w:sz w:val="20"/>
                <w:szCs w:val="20"/>
                <w:color w:val="auto"/>
              </w:rPr>
            </w:pPr>
            <w:r>
              <w:rPr>
                <w:rFonts w:ascii="Arial" w:cs="Arial" w:eastAsia="Arial" w:hAnsi="Arial"/>
                <w:sz w:val="13"/>
                <w:szCs w:val="13"/>
                <w:color w:val="auto"/>
              </w:rPr>
              <w:t>XBRL Taxonomy Extension Schema Document.</w:t>
            </w:r>
          </w:p>
        </w:tc>
        <w:tc>
          <w:tcPr>
            <w:tcW w:w="36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313"/>
        </w:trPr>
        <w:tc>
          <w:tcPr>
            <w:tcW w:w="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101.CAL</w:t>
            </w:r>
          </w:p>
        </w:tc>
        <w:tc>
          <w:tcPr>
            <w:tcW w:w="6740" w:type="dxa"/>
            <w:vAlign w:val="bottom"/>
            <w:gridSpan w:val="2"/>
          </w:tcPr>
          <w:p>
            <w:pPr>
              <w:ind w:left="20"/>
              <w:spacing w:after="0"/>
              <w:rPr>
                <w:sz w:val="20"/>
                <w:szCs w:val="20"/>
                <w:color w:val="auto"/>
              </w:rPr>
            </w:pPr>
            <w:r>
              <w:rPr>
                <w:rFonts w:ascii="Arial" w:cs="Arial" w:eastAsia="Arial" w:hAnsi="Arial"/>
                <w:sz w:val="13"/>
                <w:szCs w:val="13"/>
                <w:color w:val="auto"/>
              </w:rPr>
              <w:t>XBRL Taxonomy Extension Calculation Linkbase Document.</w:t>
            </w:r>
          </w:p>
        </w:tc>
        <w:tc>
          <w:tcPr>
            <w:tcW w:w="36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313"/>
        </w:trPr>
        <w:tc>
          <w:tcPr>
            <w:tcW w:w="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101.DEF</w:t>
            </w:r>
          </w:p>
        </w:tc>
        <w:tc>
          <w:tcPr>
            <w:tcW w:w="6740" w:type="dxa"/>
            <w:vAlign w:val="bottom"/>
            <w:gridSpan w:val="2"/>
          </w:tcPr>
          <w:p>
            <w:pPr>
              <w:ind w:left="20"/>
              <w:spacing w:after="0"/>
              <w:rPr>
                <w:sz w:val="20"/>
                <w:szCs w:val="20"/>
                <w:color w:val="auto"/>
              </w:rPr>
            </w:pPr>
            <w:r>
              <w:rPr>
                <w:rFonts w:ascii="Arial" w:cs="Arial" w:eastAsia="Arial" w:hAnsi="Arial"/>
                <w:sz w:val="13"/>
                <w:szCs w:val="13"/>
                <w:color w:val="auto"/>
              </w:rPr>
              <w:t>XBRL Taxonomy Extension Definition Linkbase Document.</w:t>
            </w:r>
          </w:p>
        </w:tc>
        <w:tc>
          <w:tcPr>
            <w:tcW w:w="36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313"/>
        </w:trPr>
        <w:tc>
          <w:tcPr>
            <w:tcW w:w="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101.LAB</w:t>
            </w:r>
          </w:p>
        </w:tc>
        <w:tc>
          <w:tcPr>
            <w:tcW w:w="6740" w:type="dxa"/>
            <w:vAlign w:val="bottom"/>
            <w:gridSpan w:val="2"/>
          </w:tcPr>
          <w:p>
            <w:pPr>
              <w:ind w:left="20"/>
              <w:spacing w:after="0"/>
              <w:rPr>
                <w:sz w:val="20"/>
                <w:szCs w:val="20"/>
                <w:color w:val="auto"/>
              </w:rPr>
            </w:pPr>
            <w:r>
              <w:rPr>
                <w:rFonts w:ascii="Arial" w:cs="Arial" w:eastAsia="Arial" w:hAnsi="Arial"/>
                <w:sz w:val="13"/>
                <w:szCs w:val="13"/>
                <w:color w:val="auto"/>
              </w:rPr>
              <w:t>XBRL Taxonomy Extension Label Linkbase Document.</w:t>
            </w:r>
          </w:p>
        </w:tc>
        <w:tc>
          <w:tcPr>
            <w:tcW w:w="36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313"/>
        </w:trPr>
        <w:tc>
          <w:tcPr>
            <w:tcW w:w="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101.PRE</w:t>
            </w:r>
          </w:p>
        </w:tc>
        <w:tc>
          <w:tcPr>
            <w:tcW w:w="6740" w:type="dxa"/>
            <w:vAlign w:val="bottom"/>
            <w:gridSpan w:val="2"/>
          </w:tcPr>
          <w:p>
            <w:pPr>
              <w:ind w:left="20"/>
              <w:spacing w:after="0"/>
              <w:rPr>
                <w:sz w:val="20"/>
                <w:szCs w:val="20"/>
                <w:color w:val="auto"/>
              </w:rPr>
            </w:pPr>
            <w:r>
              <w:rPr>
                <w:rFonts w:ascii="Arial" w:cs="Arial" w:eastAsia="Arial" w:hAnsi="Arial"/>
                <w:sz w:val="13"/>
                <w:szCs w:val="13"/>
                <w:color w:val="auto"/>
              </w:rPr>
              <w:t>XBRL Taxonomy Extension Presentation Linkbase Document</w:t>
            </w:r>
          </w:p>
        </w:tc>
        <w:tc>
          <w:tcPr>
            <w:tcW w:w="3660" w:type="dxa"/>
            <w:vAlign w:val="bottom"/>
          </w:tcPr>
          <w:p>
            <w:pPr>
              <w:ind w:left="20"/>
              <w:spacing w:after="0"/>
              <w:rPr>
                <w:sz w:val="20"/>
                <w:szCs w:val="20"/>
                <w:color w:val="auto"/>
              </w:rPr>
            </w:pPr>
            <w:r>
              <w:rPr>
                <w:rFonts w:ascii="Arial" w:cs="Arial" w:eastAsia="Arial" w:hAnsi="Arial"/>
                <w:sz w:val="13"/>
                <w:szCs w:val="13"/>
                <w:color w:val="auto"/>
              </w:rPr>
              <w:t>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50</w:t>
      </w:r>
    </w:p>
    <w:p>
      <w:pPr>
        <w:sectPr>
          <w:pgSz w:w="11900" w:h="16838" w:orient="portrait"/>
          <w:cols w:equalWidth="0" w:num="1">
            <w:col w:w="11460"/>
          </w:cols>
          <w:pgMar w:left="220" w:top="140" w:right="21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0F7C7F"/>
        </w:rPr>
        <w:t>SIGNATURES</w:t>
      </w:r>
    </w:p>
    <w:p>
      <w:pPr>
        <w:spacing w:after="0" w:line="202" w:lineRule="exact"/>
        <w:rPr>
          <w:sz w:val="20"/>
          <w:szCs w:val="20"/>
          <w:color w:val="auto"/>
        </w:rPr>
      </w:pPr>
    </w:p>
    <w:p>
      <w:pPr>
        <w:ind w:right="560"/>
        <w:spacing w:after="0" w:line="27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304" w:lineRule="exact"/>
        <w:rPr>
          <w:sz w:val="20"/>
          <w:szCs w:val="20"/>
          <w:color w:val="auto"/>
        </w:rPr>
      </w:pPr>
    </w:p>
    <w:p>
      <w:pPr>
        <w:ind w:left="6680"/>
        <w:spacing w:after="0"/>
        <w:rPr>
          <w:sz w:val="20"/>
          <w:szCs w:val="20"/>
          <w:color w:val="auto"/>
        </w:rPr>
      </w:pPr>
      <w:r>
        <w:rPr>
          <w:rFonts w:ascii="Arial" w:cs="Arial" w:eastAsia="Arial" w:hAnsi="Arial"/>
          <w:sz w:val="13"/>
          <w:szCs w:val="13"/>
          <w:color w:val="auto"/>
        </w:rPr>
        <w:t>MOLINA HEALTHCARE, INC.</w:t>
      </w:r>
    </w:p>
    <w:p>
      <w:pPr>
        <w:spacing w:after="0" w:line="66" w:lineRule="exact"/>
        <w:rPr>
          <w:sz w:val="20"/>
          <w:szCs w:val="20"/>
          <w:color w:val="auto"/>
        </w:rPr>
      </w:pPr>
    </w:p>
    <w:p>
      <w:pPr>
        <w:ind w:left="6680"/>
        <w:spacing w:after="0"/>
        <w:rPr>
          <w:sz w:val="20"/>
          <w:szCs w:val="20"/>
          <w:color w:val="auto"/>
        </w:rPr>
      </w:pPr>
      <w:r>
        <w:rPr>
          <w:rFonts w:ascii="Arial" w:cs="Arial" w:eastAsia="Arial" w:hAnsi="Arial"/>
          <w:sz w:val="13"/>
          <w:szCs w:val="13"/>
          <w:color w:val="auto"/>
        </w:rPr>
        <w:t>(Registrant)</w:t>
      </w:r>
    </w:p>
    <w:p>
      <w:pPr>
        <w:spacing w:after="0" w:line="303" w:lineRule="exact"/>
        <w:rPr>
          <w:sz w:val="20"/>
          <w:szCs w:val="20"/>
          <w:color w:val="auto"/>
        </w:rPr>
      </w:pPr>
    </w:p>
    <w:p>
      <w:pPr>
        <w:ind w:left="420"/>
        <w:spacing w:after="0"/>
        <w:tabs>
          <w:tab w:leader="none" w:pos="6660" w:val="left"/>
        </w:tabs>
        <w:rPr>
          <w:sz w:val="20"/>
          <w:szCs w:val="20"/>
          <w:color w:val="auto"/>
        </w:rPr>
      </w:pPr>
      <w:r>
        <w:rPr>
          <w:rFonts w:ascii="Arial" w:cs="Arial" w:eastAsia="Arial" w:hAnsi="Arial"/>
          <w:sz w:val="13"/>
          <w:szCs w:val="13"/>
          <w:color w:val="auto"/>
        </w:rPr>
        <w:t>Dated: July 31, 2019</w:t>
      </w:r>
      <w:r>
        <w:rPr>
          <w:sz w:val="20"/>
          <w:szCs w:val="20"/>
          <w:color w:val="auto"/>
        </w:rPr>
        <w:tab/>
      </w:r>
      <w:r>
        <w:rPr>
          <w:rFonts w:ascii="Arial" w:cs="Arial" w:eastAsia="Arial" w:hAnsi="Arial"/>
          <w:sz w:val="12"/>
          <w:szCs w:val="12"/>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13335</wp:posOffset>
            </wp:positionV>
            <wp:extent cx="30518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51810" cy="6985"/>
                    </a:xfrm>
                    <a:prstGeom prst="rect">
                      <a:avLst/>
                    </a:prstGeom>
                    <a:noFill/>
                  </pic:spPr>
                </pic:pic>
              </a:graphicData>
            </a:graphic>
          </wp:anchor>
        </w:drawing>
      </w:r>
    </w:p>
    <w:p>
      <w:pPr>
        <w:spacing w:after="0" w:line="30" w:lineRule="exact"/>
        <w:rPr>
          <w:sz w:val="20"/>
          <w:szCs w:val="20"/>
          <w:color w:val="auto"/>
        </w:rPr>
      </w:pPr>
    </w:p>
    <w:p>
      <w:pPr>
        <w:ind w:left="8420"/>
        <w:spacing w:after="0"/>
        <w:rPr>
          <w:sz w:val="20"/>
          <w:szCs w:val="20"/>
          <w:color w:val="auto"/>
        </w:rPr>
      </w:pPr>
      <w:r>
        <w:rPr>
          <w:rFonts w:ascii="Arial" w:cs="Arial" w:eastAsia="Arial" w:hAnsi="Arial"/>
          <w:sz w:val="13"/>
          <w:szCs w:val="13"/>
          <w:b w:val="1"/>
          <w:bCs w:val="1"/>
          <w:color w:val="auto"/>
        </w:rPr>
        <w:t>Joseph M. Zubretsky</w:t>
      </w:r>
    </w:p>
    <w:p>
      <w:pPr>
        <w:spacing w:after="0" w:line="66" w:lineRule="exact"/>
        <w:rPr>
          <w:sz w:val="20"/>
          <w:szCs w:val="20"/>
          <w:color w:val="auto"/>
        </w:rPr>
      </w:pPr>
    </w:p>
    <w:p>
      <w:pPr>
        <w:ind w:left="8400"/>
        <w:spacing w:after="0"/>
        <w:rPr>
          <w:sz w:val="20"/>
          <w:szCs w:val="20"/>
          <w:color w:val="auto"/>
        </w:rPr>
      </w:pPr>
      <w:r>
        <w:rPr>
          <w:rFonts w:ascii="Arial" w:cs="Arial" w:eastAsia="Arial" w:hAnsi="Arial"/>
          <w:sz w:val="13"/>
          <w:szCs w:val="13"/>
          <w:b w:val="1"/>
          <w:bCs w:val="1"/>
          <w:color w:val="auto"/>
        </w:rPr>
        <w:t>Chief Executive Officer</w:t>
      </w:r>
    </w:p>
    <w:p>
      <w:pPr>
        <w:spacing w:after="0" w:line="66" w:lineRule="exact"/>
        <w:rPr>
          <w:sz w:val="20"/>
          <w:szCs w:val="20"/>
          <w:color w:val="auto"/>
        </w:rPr>
      </w:pPr>
    </w:p>
    <w:p>
      <w:pPr>
        <w:ind w:left="8200"/>
        <w:spacing w:after="0"/>
        <w:rPr>
          <w:sz w:val="20"/>
          <w:szCs w:val="20"/>
          <w:color w:val="auto"/>
        </w:rPr>
      </w:pPr>
      <w:r>
        <w:rPr>
          <w:rFonts w:ascii="Arial" w:cs="Arial" w:eastAsia="Arial" w:hAnsi="Arial"/>
          <w:sz w:val="13"/>
          <w:szCs w:val="13"/>
          <w:b w:val="1"/>
          <w:bCs w:val="1"/>
          <w:color w:val="auto"/>
        </w:rPr>
        <w:t>(Principal Executive Officer)</w:t>
      </w:r>
    </w:p>
    <w:p>
      <w:pPr>
        <w:spacing w:after="0" w:line="319" w:lineRule="exact"/>
        <w:rPr>
          <w:sz w:val="20"/>
          <w:szCs w:val="20"/>
          <w:color w:val="auto"/>
        </w:rPr>
      </w:pPr>
    </w:p>
    <w:p>
      <w:pPr>
        <w:ind w:left="420"/>
        <w:spacing w:after="0"/>
        <w:tabs>
          <w:tab w:leader="none" w:pos="6660" w:val="left"/>
        </w:tabs>
        <w:rPr>
          <w:sz w:val="20"/>
          <w:szCs w:val="20"/>
          <w:color w:val="auto"/>
        </w:rPr>
      </w:pPr>
      <w:r>
        <w:rPr>
          <w:rFonts w:ascii="Arial" w:cs="Arial" w:eastAsia="Arial" w:hAnsi="Arial"/>
          <w:sz w:val="13"/>
          <w:szCs w:val="13"/>
          <w:color w:val="auto"/>
        </w:rPr>
        <w:t>Dated: July 31, 2019</w:t>
      </w:r>
      <w:r>
        <w:rPr>
          <w:sz w:val="20"/>
          <w:szCs w:val="20"/>
          <w:color w:val="auto"/>
        </w:rPr>
        <w:tab/>
      </w:r>
      <w:r>
        <w:rPr>
          <w:rFonts w:ascii="Arial" w:cs="Arial" w:eastAsia="Arial" w:hAnsi="Arial"/>
          <w:sz w:val="12"/>
          <w:szCs w:val="12"/>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13335</wp:posOffset>
            </wp:positionV>
            <wp:extent cx="30518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51810" cy="6985"/>
                    </a:xfrm>
                    <a:prstGeom prst="rect">
                      <a:avLst/>
                    </a:prstGeom>
                    <a:noFill/>
                  </pic:spPr>
                </pic:pic>
              </a:graphicData>
            </a:graphic>
          </wp:anchor>
        </w:drawing>
      </w:r>
    </w:p>
    <w:p>
      <w:pPr>
        <w:spacing w:after="0" w:line="30" w:lineRule="exact"/>
        <w:rPr>
          <w:sz w:val="20"/>
          <w:szCs w:val="20"/>
          <w:color w:val="auto"/>
        </w:rPr>
      </w:pPr>
    </w:p>
    <w:p>
      <w:pPr>
        <w:jc w:val="center"/>
        <w:ind w:left="6660"/>
        <w:spacing w:after="0"/>
        <w:rPr>
          <w:sz w:val="20"/>
          <w:szCs w:val="20"/>
          <w:color w:val="auto"/>
        </w:rPr>
      </w:pPr>
      <w:r>
        <w:rPr>
          <w:rFonts w:ascii="Arial" w:cs="Arial" w:eastAsia="Arial" w:hAnsi="Arial"/>
          <w:sz w:val="13"/>
          <w:szCs w:val="13"/>
          <w:b w:val="1"/>
          <w:bCs w:val="1"/>
          <w:color w:val="auto"/>
        </w:rPr>
        <w:t>Thomas L. Tran</w:t>
      </w:r>
    </w:p>
    <w:p>
      <w:pPr>
        <w:spacing w:after="0" w:line="66" w:lineRule="exact"/>
        <w:rPr>
          <w:sz w:val="20"/>
          <w:szCs w:val="20"/>
          <w:color w:val="auto"/>
        </w:rPr>
      </w:pPr>
    </w:p>
    <w:p>
      <w:pPr>
        <w:jc w:val="center"/>
        <w:ind w:left="6660"/>
        <w:spacing w:after="0"/>
        <w:rPr>
          <w:sz w:val="20"/>
          <w:szCs w:val="20"/>
          <w:color w:val="auto"/>
        </w:rPr>
      </w:pPr>
      <w:r>
        <w:rPr>
          <w:rFonts w:ascii="Arial" w:cs="Arial" w:eastAsia="Arial" w:hAnsi="Arial"/>
          <w:sz w:val="13"/>
          <w:szCs w:val="13"/>
          <w:b w:val="1"/>
          <w:bCs w:val="1"/>
          <w:color w:val="auto"/>
        </w:rPr>
        <w:t>Chief Financial Officer and Treasurer</w:t>
      </w:r>
    </w:p>
    <w:p>
      <w:pPr>
        <w:spacing w:after="0" w:line="66" w:lineRule="exact"/>
        <w:rPr>
          <w:sz w:val="20"/>
          <w:szCs w:val="20"/>
          <w:color w:val="auto"/>
        </w:rPr>
      </w:pPr>
    </w:p>
    <w:p>
      <w:pPr>
        <w:jc w:val="center"/>
        <w:ind w:left="6660"/>
        <w:spacing w:after="0"/>
        <w:rPr>
          <w:sz w:val="20"/>
          <w:szCs w:val="20"/>
          <w:color w:val="auto"/>
        </w:rPr>
      </w:pPr>
      <w:r>
        <w:rPr>
          <w:rFonts w:ascii="Arial" w:cs="Arial" w:eastAsia="Arial" w:hAnsi="Arial"/>
          <w:sz w:val="13"/>
          <w:szCs w:val="13"/>
          <w:b w:val="1"/>
          <w:bCs w:val="1"/>
          <w:color w:val="auto"/>
        </w:rPr>
        <w:t>(Principal Financial Officer)</w:t>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June 30, 2019 Form 10-Q | 51</w:t>
      </w:r>
    </w:p>
    <w:p>
      <w:pPr>
        <w:sectPr>
          <w:pgSz w:w="11900" w:h="16838" w:orient="portrait"/>
          <w:cols w:equalWidth="0" w:num="1">
            <w:col w:w="11460"/>
          </w:cols>
          <w:pgMar w:left="220" w:top="140" w:right="219" w:bottom="1440" w:gutter="0" w:footer="0" w:header="0"/>
        </w:sectPr>
      </w:pPr>
    </w:p>
    <w:bookmarkStart w:id="51" w:name="page52"/>
    <w:bookmarkEnd w:id="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9775825</wp:posOffset>
            </wp:positionV>
            <wp:extent cx="721741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741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75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73" w:name="page74"/>
    <w:bookmarkEnd w:id="7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jc w:val="right"/>
        <w:spacing w:after="0"/>
        <w:rPr>
          <w:sz w:val="20"/>
          <w:szCs w:val="20"/>
          <w:color w:val="auto"/>
        </w:rPr>
      </w:pPr>
      <w:r>
        <w:rPr>
          <w:rFonts w:ascii="Arial" w:cs="Arial" w:eastAsia="Arial" w:hAnsi="Arial"/>
          <w:sz w:val="14"/>
          <w:szCs w:val="14"/>
          <w:b w:val="1"/>
          <w:bCs w:val="1"/>
          <w:color w:val="auto"/>
        </w:rPr>
        <w:t>EXHIBIT 31.1</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RULES 13a-14(a)/15d-14(a)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UNDER THE SECURITIES EXCHANGE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ACT OF 1934, AS AMENDED</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I, Joseph M. Zubretsky, certify that:</w:t>
      </w:r>
    </w:p>
    <w:p>
      <w:pPr>
        <w:spacing w:after="0" w:line="76" w:lineRule="exact"/>
        <w:rPr>
          <w:sz w:val="20"/>
          <w:szCs w:val="20"/>
          <w:color w:val="auto"/>
        </w:rPr>
      </w:pPr>
    </w:p>
    <w:p>
      <w:pPr>
        <w:ind w:left="520" w:hanging="169"/>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 have reviewed the report on Form 10-Q for the period ended June 30, 2019 of Molina Healthcare, Inc.;</w:t>
      </w:r>
    </w:p>
    <w:p>
      <w:pPr>
        <w:spacing w:after="0" w:line="76" w:lineRule="exact"/>
        <w:rPr>
          <w:rFonts w:ascii="Arial" w:cs="Arial" w:eastAsia="Arial" w:hAnsi="Arial"/>
          <w:sz w:val="14"/>
          <w:szCs w:val="14"/>
          <w:color w:val="auto"/>
        </w:rPr>
      </w:pPr>
    </w:p>
    <w:p>
      <w:pPr>
        <w:ind w:right="420" w:firstLine="351"/>
        <w:spacing w:after="0" w:line="273" w:lineRule="auto"/>
        <w:tabs>
          <w:tab w:leader="none" w:pos="505"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107" w:lineRule="exact"/>
        <w:rPr>
          <w:rFonts w:ascii="Arial" w:cs="Arial" w:eastAsia="Arial" w:hAnsi="Arial"/>
          <w:sz w:val="14"/>
          <w:szCs w:val="14"/>
          <w:color w:val="auto"/>
        </w:rPr>
      </w:pPr>
    </w:p>
    <w:p>
      <w:pPr>
        <w:ind w:right="120" w:firstLine="351"/>
        <w:spacing w:after="0" w:line="273" w:lineRule="auto"/>
        <w:tabs>
          <w:tab w:leader="none" w:pos="505"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107" w:lineRule="exact"/>
        <w:rPr>
          <w:rFonts w:ascii="Arial" w:cs="Arial" w:eastAsia="Arial" w:hAnsi="Arial"/>
          <w:sz w:val="14"/>
          <w:szCs w:val="14"/>
          <w:color w:val="auto"/>
        </w:rPr>
      </w:pPr>
    </w:p>
    <w:p>
      <w:pPr>
        <w:ind w:right="60" w:firstLine="351"/>
        <w:spacing w:after="0" w:line="265" w:lineRule="auto"/>
        <w:tabs>
          <w:tab w:leader="none" w:pos="505"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48" w:lineRule="exact"/>
        <w:rPr>
          <w:rFonts w:ascii="Arial" w:cs="Arial" w:eastAsia="Arial" w:hAnsi="Arial"/>
          <w:sz w:val="14"/>
          <w:szCs w:val="14"/>
          <w:color w:val="auto"/>
        </w:rPr>
      </w:pPr>
    </w:p>
    <w:p>
      <w:pPr>
        <w:jc w:val="both"/>
        <w:ind w:right="80" w:firstLine="707"/>
        <w:spacing w:after="0" w:line="265" w:lineRule="auto"/>
        <w:tabs>
          <w:tab w:leader="none" w:pos="916" w:val="left"/>
        </w:tabs>
        <w:numPr>
          <w:ilvl w:val="1"/>
          <w:numId w:val="2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48" w:lineRule="exact"/>
        <w:rPr>
          <w:rFonts w:ascii="Arial" w:cs="Arial" w:eastAsia="Arial" w:hAnsi="Arial"/>
          <w:sz w:val="14"/>
          <w:szCs w:val="14"/>
          <w:color w:val="auto"/>
        </w:rPr>
      </w:pPr>
    </w:p>
    <w:p>
      <w:pPr>
        <w:ind w:right="460" w:firstLine="707"/>
        <w:spacing w:after="0" w:line="265" w:lineRule="auto"/>
        <w:tabs>
          <w:tab w:leader="none" w:pos="916" w:val="left"/>
        </w:tabs>
        <w:numPr>
          <w:ilvl w:val="1"/>
          <w:numId w:val="21"/>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4"/>
          <w:szCs w:val="14"/>
          <w:color w:val="auto"/>
        </w:rPr>
      </w:pPr>
    </w:p>
    <w:p>
      <w:pPr>
        <w:ind w:right="660" w:firstLine="707"/>
        <w:spacing w:after="0" w:line="273" w:lineRule="auto"/>
        <w:tabs>
          <w:tab w:leader="none" w:pos="908" w:val="left"/>
        </w:tabs>
        <w:numPr>
          <w:ilvl w:val="1"/>
          <w:numId w:val="2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43" w:lineRule="exact"/>
        <w:rPr>
          <w:rFonts w:ascii="Arial" w:cs="Arial" w:eastAsia="Arial" w:hAnsi="Arial"/>
          <w:sz w:val="14"/>
          <w:szCs w:val="14"/>
          <w:color w:val="auto"/>
        </w:rPr>
      </w:pPr>
    </w:p>
    <w:p>
      <w:pPr>
        <w:ind w:right="160" w:firstLine="707"/>
        <w:spacing w:after="0" w:line="265" w:lineRule="auto"/>
        <w:tabs>
          <w:tab w:leader="none" w:pos="916" w:val="left"/>
        </w:tabs>
        <w:numPr>
          <w:ilvl w:val="1"/>
          <w:numId w:val="21"/>
        </w:numPr>
        <w:rPr>
          <w:rFonts w:ascii="Arial" w:cs="Arial" w:eastAsia="Arial" w:hAnsi="Arial"/>
          <w:sz w:val="14"/>
          <w:szCs w:val="14"/>
          <w:color w:val="auto"/>
        </w:rPr>
      </w:pPr>
      <w:r>
        <w:rPr>
          <w:rFonts w:ascii="Arial" w:cs="Arial" w:eastAsia="Arial" w:hAnsi="Arial"/>
          <w:sz w:val="14"/>
          <w:szCs w:val="14"/>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4"/>
          <w:szCs w:val="14"/>
          <w:color w:val="auto"/>
        </w:rPr>
      </w:pPr>
    </w:p>
    <w:p>
      <w:pPr>
        <w:ind w:right="80" w:firstLine="351"/>
        <w:spacing w:after="0" w:line="273" w:lineRule="auto"/>
        <w:tabs>
          <w:tab w:leader="none" w:pos="505"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43" w:lineRule="exact"/>
        <w:rPr>
          <w:rFonts w:ascii="Arial" w:cs="Arial" w:eastAsia="Arial" w:hAnsi="Arial"/>
          <w:sz w:val="14"/>
          <w:szCs w:val="14"/>
          <w:color w:val="auto"/>
        </w:rPr>
      </w:pPr>
    </w:p>
    <w:p>
      <w:pPr>
        <w:ind w:right="380" w:firstLine="707"/>
        <w:spacing w:after="0" w:line="273" w:lineRule="auto"/>
        <w:tabs>
          <w:tab w:leader="none" w:pos="916" w:val="left"/>
        </w:tabs>
        <w:numPr>
          <w:ilvl w:val="1"/>
          <w:numId w:val="2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Arial" w:cs="Arial" w:eastAsia="Arial" w:hAnsi="Arial"/>
          <w:sz w:val="14"/>
          <w:szCs w:val="14"/>
          <w:color w:val="auto"/>
        </w:rPr>
      </w:pPr>
    </w:p>
    <w:p>
      <w:pPr>
        <w:ind w:left="920" w:hanging="213"/>
        <w:spacing w:after="0"/>
        <w:tabs>
          <w:tab w:leader="none" w:pos="920" w:val="left"/>
        </w:tabs>
        <w:numPr>
          <w:ilvl w:val="1"/>
          <w:numId w:val="2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6320" w:val="left"/>
        </w:tabs>
        <w:rPr>
          <w:sz w:val="20"/>
          <w:szCs w:val="20"/>
          <w:color w:val="auto"/>
        </w:rPr>
      </w:pPr>
      <w:r>
        <w:rPr>
          <w:rFonts w:ascii="Arial" w:cs="Arial" w:eastAsia="Arial" w:hAnsi="Arial"/>
          <w:sz w:val="14"/>
          <w:szCs w:val="14"/>
          <w:color w:val="auto"/>
        </w:rPr>
        <w:t>Dated: July 31, 2019</w:t>
      </w:r>
      <w:r>
        <w:rPr>
          <w:sz w:val="20"/>
          <w:szCs w:val="20"/>
          <w:color w:val="auto"/>
        </w:rPr>
        <w:tab/>
      </w:r>
      <w:r>
        <w:rPr>
          <w:rFonts w:ascii="Arial" w:cs="Arial" w:eastAsia="Arial" w:hAnsi="Arial"/>
          <w:sz w:val="14"/>
          <w:szCs w:val="14"/>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7456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4560" cy="6985"/>
                    </a:xfrm>
                    <a:prstGeom prst="rect">
                      <a:avLst/>
                    </a:prstGeom>
                    <a:noFill/>
                  </pic:spPr>
                </pic:pic>
              </a:graphicData>
            </a:graphic>
          </wp:anchor>
        </w:drawing>
      </w:r>
    </w:p>
    <w:p>
      <w:pPr>
        <w:spacing w:after="0" w:line="17"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Joseph M. Zubretsky</w:t>
      </w:r>
    </w:p>
    <w:p>
      <w:pPr>
        <w:spacing w:after="0" w:line="44"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Chief Executive Officer, President and Director</w:t>
      </w:r>
    </w:p>
    <w:p>
      <w:pPr>
        <w:sectPr>
          <w:pgSz w:w="11900" w:h="16838" w:orient="portrait"/>
          <w:cols w:equalWidth="0" w:num="1">
            <w:col w:w="11460"/>
          </w:cols>
          <w:pgMar w:left="220" w:top="487" w:right="219" w:bottom="1440" w:gutter="0" w:footer="0" w:header="0"/>
        </w:sectPr>
      </w:pPr>
    </w:p>
    <w:bookmarkStart w:id="82" w:name="page83"/>
    <w:bookmarkEnd w:id="82"/>
    <w:p>
      <w:pPr>
        <w:jc w:val="right"/>
        <w:spacing w:after="0"/>
        <w:rPr>
          <w:sz w:val="20"/>
          <w:szCs w:val="20"/>
          <w:color w:val="auto"/>
        </w:rPr>
      </w:pPr>
      <w:r>
        <w:rPr>
          <w:rFonts w:ascii="Arial" w:cs="Arial" w:eastAsia="Arial" w:hAnsi="Arial"/>
          <w:sz w:val="14"/>
          <w:szCs w:val="14"/>
          <w:b w:val="1"/>
          <w:bCs w:val="1"/>
          <w:color w:val="auto"/>
        </w:rPr>
        <w:t>EXHIBIT 31.2</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RULES 13a-14(a)/15d-14(a)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UNDER THE SECURITIES EXCHANGE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ACT OF 1934, AS AMENDED</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I, Thomas L. Tran, certify that:</w:t>
      </w:r>
    </w:p>
    <w:p>
      <w:pPr>
        <w:spacing w:after="0" w:line="76" w:lineRule="exact"/>
        <w:rPr>
          <w:sz w:val="20"/>
          <w:szCs w:val="20"/>
          <w:color w:val="auto"/>
        </w:rPr>
      </w:pPr>
    </w:p>
    <w:p>
      <w:pPr>
        <w:ind w:left="520" w:hanging="169"/>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 have reviewed the report on Form 10-Q for the period ended June 30, 2019 of Molina Healthcare, Inc.;</w:t>
      </w:r>
    </w:p>
    <w:p>
      <w:pPr>
        <w:spacing w:after="0" w:line="76" w:lineRule="exact"/>
        <w:rPr>
          <w:rFonts w:ascii="Arial" w:cs="Arial" w:eastAsia="Arial" w:hAnsi="Arial"/>
          <w:sz w:val="14"/>
          <w:szCs w:val="14"/>
          <w:color w:val="auto"/>
        </w:rPr>
      </w:pPr>
    </w:p>
    <w:p>
      <w:pPr>
        <w:ind w:right="420" w:firstLine="351"/>
        <w:spacing w:after="0" w:line="273" w:lineRule="auto"/>
        <w:tabs>
          <w:tab w:leader="none" w:pos="505"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43" w:lineRule="exact"/>
        <w:rPr>
          <w:rFonts w:ascii="Arial" w:cs="Arial" w:eastAsia="Arial" w:hAnsi="Arial"/>
          <w:sz w:val="14"/>
          <w:szCs w:val="14"/>
          <w:color w:val="auto"/>
        </w:rPr>
      </w:pPr>
    </w:p>
    <w:p>
      <w:pPr>
        <w:ind w:right="120" w:firstLine="351"/>
        <w:spacing w:after="0" w:line="273" w:lineRule="auto"/>
        <w:tabs>
          <w:tab w:leader="none" w:pos="505"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43" w:lineRule="exact"/>
        <w:rPr>
          <w:rFonts w:ascii="Arial" w:cs="Arial" w:eastAsia="Arial" w:hAnsi="Arial"/>
          <w:sz w:val="14"/>
          <w:szCs w:val="14"/>
          <w:color w:val="auto"/>
        </w:rPr>
      </w:pPr>
    </w:p>
    <w:p>
      <w:pPr>
        <w:ind w:right="60" w:firstLine="351"/>
        <w:spacing w:after="0" w:line="265" w:lineRule="auto"/>
        <w:tabs>
          <w:tab w:leader="none" w:pos="505"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48" w:lineRule="exact"/>
        <w:rPr>
          <w:rFonts w:ascii="Arial" w:cs="Arial" w:eastAsia="Arial" w:hAnsi="Arial"/>
          <w:sz w:val="14"/>
          <w:szCs w:val="14"/>
          <w:color w:val="auto"/>
        </w:rPr>
      </w:pPr>
    </w:p>
    <w:p>
      <w:pPr>
        <w:jc w:val="both"/>
        <w:ind w:right="80" w:firstLine="707"/>
        <w:spacing w:after="0" w:line="265" w:lineRule="auto"/>
        <w:tabs>
          <w:tab w:leader="none" w:pos="916" w:val="left"/>
        </w:tabs>
        <w:numPr>
          <w:ilvl w:val="1"/>
          <w:numId w:val="2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48" w:lineRule="exact"/>
        <w:rPr>
          <w:rFonts w:ascii="Arial" w:cs="Arial" w:eastAsia="Arial" w:hAnsi="Arial"/>
          <w:sz w:val="14"/>
          <w:szCs w:val="14"/>
          <w:color w:val="auto"/>
        </w:rPr>
      </w:pPr>
    </w:p>
    <w:p>
      <w:pPr>
        <w:ind w:right="460" w:firstLine="707"/>
        <w:spacing w:after="0" w:line="265" w:lineRule="auto"/>
        <w:tabs>
          <w:tab w:leader="none" w:pos="916" w:val="left"/>
        </w:tabs>
        <w:numPr>
          <w:ilvl w:val="1"/>
          <w:numId w:val="2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4"/>
          <w:szCs w:val="14"/>
          <w:color w:val="auto"/>
        </w:rPr>
      </w:pPr>
    </w:p>
    <w:p>
      <w:pPr>
        <w:ind w:right="660" w:firstLine="707"/>
        <w:spacing w:after="0" w:line="273" w:lineRule="auto"/>
        <w:tabs>
          <w:tab w:leader="none" w:pos="908" w:val="left"/>
        </w:tabs>
        <w:numPr>
          <w:ilvl w:val="1"/>
          <w:numId w:val="2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43" w:lineRule="exact"/>
        <w:rPr>
          <w:rFonts w:ascii="Arial" w:cs="Arial" w:eastAsia="Arial" w:hAnsi="Arial"/>
          <w:sz w:val="14"/>
          <w:szCs w:val="14"/>
          <w:color w:val="auto"/>
        </w:rPr>
      </w:pPr>
    </w:p>
    <w:p>
      <w:pPr>
        <w:ind w:right="160" w:firstLine="707"/>
        <w:spacing w:after="0" w:line="265" w:lineRule="auto"/>
        <w:tabs>
          <w:tab w:leader="none" w:pos="916" w:val="left"/>
        </w:tabs>
        <w:numPr>
          <w:ilvl w:val="1"/>
          <w:numId w:val="22"/>
        </w:numPr>
        <w:rPr>
          <w:rFonts w:ascii="Arial" w:cs="Arial" w:eastAsia="Arial" w:hAnsi="Arial"/>
          <w:sz w:val="14"/>
          <w:szCs w:val="14"/>
          <w:color w:val="auto"/>
        </w:rPr>
      </w:pPr>
      <w:r>
        <w:rPr>
          <w:rFonts w:ascii="Arial" w:cs="Arial" w:eastAsia="Arial" w:hAnsi="Arial"/>
          <w:sz w:val="14"/>
          <w:szCs w:val="14"/>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4"/>
          <w:szCs w:val="14"/>
          <w:color w:val="auto"/>
        </w:rPr>
      </w:pPr>
    </w:p>
    <w:p>
      <w:pPr>
        <w:ind w:right="80" w:firstLine="351"/>
        <w:spacing w:after="0" w:line="273" w:lineRule="auto"/>
        <w:tabs>
          <w:tab w:leader="none" w:pos="505"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43" w:lineRule="exact"/>
        <w:rPr>
          <w:rFonts w:ascii="Arial" w:cs="Arial" w:eastAsia="Arial" w:hAnsi="Arial"/>
          <w:sz w:val="14"/>
          <w:szCs w:val="14"/>
          <w:color w:val="auto"/>
        </w:rPr>
      </w:pPr>
    </w:p>
    <w:p>
      <w:pPr>
        <w:ind w:right="380" w:firstLine="707"/>
        <w:spacing w:after="0" w:line="273" w:lineRule="auto"/>
        <w:tabs>
          <w:tab w:leader="none" w:pos="916" w:val="left"/>
        </w:tabs>
        <w:numPr>
          <w:ilvl w:val="1"/>
          <w:numId w:val="2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Arial" w:cs="Arial" w:eastAsia="Arial" w:hAnsi="Arial"/>
          <w:sz w:val="14"/>
          <w:szCs w:val="14"/>
          <w:color w:val="auto"/>
        </w:rPr>
      </w:pPr>
    </w:p>
    <w:p>
      <w:pPr>
        <w:ind w:left="920" w:hanging="213"/>
        <w:spacing w:after="0"/>
        <w:tabs>
          <w:tab w:leader="none" w:pos="920" w:val="left"/>
        </w:tabs>
        <w:numPr>
          <w:ilvl w:val="1"/>
          <w:numId w:val="2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6320" w:val="left"/>
        </w:tabs>
        <w:rPr>
          <w:sz w:val="20"/>
          <w:szCs w:val="20"/>
          <w:color w:val="auto"/>
        </w:rPr>
      </w:pPr>
      <w:r>
        <w:rPr>
          <w:rFonts w:ascii="Arial" w:cs="Arial" w:eastAsia="Arial" w:hAnsi="Arial"/>
          <w:sz w:val="14"/>
          <w:szCs w:val="14"/>
          <w:color w:val="auto"/>
        </w:rPr>
        <w:t>Dated: July 31, 2019</w:t>
      </w:r>
      <w:r>
        <w:rPr>
          <w:sz w:val="20"/>
          <w:szCs w:val="20"/>
          <w:color w:val="auto"/>
        </w:rPr>
        <w:tab/>
      </w:r>
      <w:r>
        <w:rPr>
          <w:rFonts w:ascii="Arial" w:cs="Arial" w:eastAsia="Arial" w:hAnsi="Arial"/>
          <w:sz w:val="14"/>
          <w:szCs w:val="14"/>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7456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4560" cy="6985"/>
                    </a:xfrm>
                    <a:prstGeom prst="rect">
                      <a:avLst/>
                    </a:prstGeom>
                    <a:noFill/>
                  </pic:spPr>
                </pic:pic>
              </a:graphicData>
            </a:graphic>
          </wp:anchor>
        </w:drawing>
      </w:r>
    </w:p>
    <w:p>
      <w:pPr>
        <w:spacing w:after="0" w:line="17"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Thomas L. Tran</w:t>
      </w:r>
    </w:p>
    <w:p>
      <w:pPr>
        <w:spacing w:after="0" w:line="44"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Chief Financial Officer and Treasurer</w:t>
      </w:r>
    </w:p>
    <w:p>
      <w:pPr>
        <w:sectPr>
          <w:pgSz w:w="11900" w:h="16838" w:orient="portrait"/>
          <w:cols w:equalWidth="0" w:num="1">
            <w:col w:w="11460"/>
          </w:cols>
          <w:pgMar w:left="220" w:top="487" w:right="219" w:bottom="1440" w:gutter="0" w:footer="0" w:header="0"/>
        </w:sectPr>
      </w:pPr>
    </w:p>
    <w:bookmarkStart w:id="83" w:name="page84"/>
    <w:bookmarkEnd w:id="83"/>
    <w:p>
      <w:pPr>
        <w:jc w:val="right"/>
        <w:spacing w:after="0"/>
        <w:rPr>
          <w:sz w:val="20"/>
          <w:szCs w:val="20"/>
          <w:color w:val="auto"/>
        </w:rPr>
      </w:pPr>
      <w:r>
        <w:rPr>
          <w:rFonts w:ascii="Arial" w:cs="Arial" w:eastAsia="Arial" w:hAnsi="Arial"/>
          <w:sz w:val="14"/>
          <w:szCs w:val="14"/>
          <w:b w:val="1"/>
          <w:bCs w:val="1"/>
          <w:color w:val="auto"/>
        </w:rPr>
        <w:t>EXHIBIT 32.1</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CERTIFICATE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41" w:lineRule="exact"/>
        <w:rPr>
          <w:sz w:val="20"/>
          <w:szCs w:val="20"/>
          <w:color w:val="auto"/>
        </w:rPr>
      </w:pPr>
    </w:p>
    <w:p>
      <w:pPr>
        <w:ind w:right="500" w:firstLine="345"/>
        <w:spacing w:after="0" w:line="273" w:lineRule="auto"/>
        <w:rPr>
          <w:sz w:val="20"/>
          <w:szCs w:val="20"/>
          <w:color w:val="auto"/>
        </w:rPr>
      </w:pPr>
      <w:r>
        <w:rPr>
          <w:rFonts w:ascii="Arial" w:cs="Arial" w:eastAsia="Arial" w:hAnsi="Arial"/>
          <w:sz w:val="14"/>
          <w:szCs w:val="14"/>
          <w:color w:val="auto"/>
        </w:rPr>
        <w:t>In connection with the report of Molina Healthcare, Inc. (the “Company”) on Form 10-Q for the period ended June 30, 2019 (the “Report”), I, Joseph M. Zubretsky, Chief Executive Officer of the Company, certify, pursuant to 18 U.S.C. Section 1350, as adopted pursuant to Section 906 of the Sarbanes-Oxley Act of 2002, that:</w:t>
      </w:r>
    </w:p>
    <w:p>
      <w:pPr>
        <w:spacing w:after="0" w:line="43" w:lineRule="exact"/>
        <w:rPr>
          <w:sz w:val="20"/>
          <w:szCs w:val="20"/>
          <w:color w:val="auto"/>
        </w:rPr>
      </w:pPr>
    </w:p>
    <w:p>
      <w:pPr>
        <w:ind w:left="920" w:hanging="213"/>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76" w:lineRule="exact"/>
        <w:rPr>
          <w:rFonts w:ascii="Arial" w:cs="Arial" w:eastAsia="Arial" w:hAnsi="Arial"/>
          <w:sz w:val="14"/>
          <w:szCs w:val="14"/>
          <w:color w:val="auto"/>
        </w:rPr>
      </w:pPr>
    </w:p>
    <w:p>
      <w:pPr>
        <w:ind w:left="920" w:hanging="213"/>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6320" w:val="left"/>
        </w:tabs>
        <w:rPr>
          <w:sz w:val="20"/>
          <w:szCs w:val="20"/>
          <w:color w:val="auto"/>
        </w:rPr>
      </w:pPr>
      <w:r>
        <w:rPr>
          <w:rFonts w:ascii="Arial" w:cs="Arial" w:eastAsia="Arial" w:hAnsi="Arial"/>
          <w:sz w:val="14"/>
          <w:szCs w:val="14"/>
          <w:color w:val="auto"/>
        </w:rPr>
        <w:t>Dated: July 31, 2019</w:t>
      </w:r>
      <w:r>
        <w:rPr>
          <w:sz w:val="20"/>
          <w:szCs w:val="20"/>
          <w:color w:val="auto"/>
        </w:rPr>
        <w:tab/>
      </w:r>
      <w:r>
        <w:rPr>
          <w:rFonts w:ascii="Arial" w:cs="Arial" w:eastAsia="Arial" w:hAnsi="Arial"/>
          <w:sz w:val="14"/>
          <w:szCs w:val="14"/>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7456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4560" cy="6985"/>
                    </a:xfrm>
                    <a:prstGeom prst="rect">
                      <a:avLst/>
                    </a:prstGeom>
                    <a:noFill/>
                  </pic:spPr>
                </pic:pic>
              </a:graphicData>
            </a:graphic>
          </wp:anchor>
        </w:drawing>
      </w:r>
    </w:p>
    <w:p>
      <w:pPr>
        <w:spacing w:after="0" w:line="27"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Joseph M. Zubretsky</w:t>
      </w:r>
    </w:p>
    <w:p>
      <w:pPr>
        <w:spacing w:after="0" w:line="55"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Chief Executive Officer, President and Director</w:t>
      </w:r>
    </w:p>
    <w:p>
      <w:pPr>
        <w:sectPr>
          <w:pgSz w:w="11900" w:h="16838" w:orient="portrait"/>
          <w:cols w:equalWidth="0" w:num="1">
            <w:col w:w="11460"/>
          </w:cols>
          <w:pgMar w:left="220" w:top="487" w:right="219" w:bottom="1440" w:gutter="0" w:footer="0" w:header="0"/>
        </w:sectPr>
      </w:pPr>
    </w:p>
    <w:bookmarkStart w:id="84" w:name="page85"/>
    <w:bookmarkEnd w:id="84"/>
    <w:p>
      <w:pPr>
        <w:jc w:val="right"/>
        <w:spacing w:after="0"/>
        <w:rPr>
          <w:sz w:val="20"/>
          <w:szCs w:val="20"/>
          <w:color w:val="auto"/>
        </w:rPr>
      </w:pPr>
      <w:r>
        <w:rPr>
          <w:rFonts w:ascii="Arial" w:cs="Arial" w:eastAsia="Arial" w:hAnsi="Arial"/>
          <w:sz w:val="14"/>
          <w:szCs w:val="14"/>
          <w:b w:val="1"/>
          <w:bCs w:val="1"/>
          <w:color w:val="auto"/>
        </w:rPr>
        <w:t>EXHIBIT 32.2</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CERTIFICATE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41" w:lineRule="exact"/>
        <w:rPr>
          <w:sz w:val="20"/>
          <w:szCs w:val="20"/>
          <w:color w:val="auto"/>
        </w:rPr>
      </w:pPr>
    </w:p>
    <w:p>
      <w:pPr>
        <w:ind w:right="200" w:firstLine="345"/>
        <w:spacing w:after="0" w:line="273" w:lineRule="auto"/>
        <w:rPr>
          <w:sz w:val="20"/>
          <w:szCs w:val="20"/>
          <w:color w:val="auto"/>
        </w:rPr>
      </w:pPr>
      <w:r>
        <w:rPr>
          <w:rFonts w:ascii="Arial" w:cs="Arial" w:eastAsia="Arial" w:hAnsi="Arial"/>
          <w:sz w:val="14"/>
          <w:szCs w:val="14"/>
          <w:color w:val="auto"/>
        </w:rPr>
        <w:t>In connection with the report of Molina Healthcare, Inc. (the “Company”) on Form 10-Q for the period ended June 30, 2019 (the “Report”), I, Thomas L. Tran, Chief Financial Officer of the Company, certify, pursuant to 18 U.S.C. Section 1350, as adopted pursuant to Section 906 of the Sarbanes-Oxley Act of 2002, that:</w:t>
      </w:r>
    </w:p>
    <w:p>
      <w:pPr>
        <w:spacing w:after="0" w:line="43" w:lineRule="exact"/>
        <w:rPr>
          <w:sz w:val="20"/>
          <w:szCs w:val="20"/>
          <w:color w:val="auto"/>
        </w:rPr>
      </w:pPr>
    </w:p>
    <w:p>
      <w:pPr>
        <w:ind w:left="920" w:hanging="213"/>
        <w:spacing w:after="0"/>
        <w:tabs>
          <w:tab w:leader="none" w:pos="9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76" w:lineRule="exact"/>
        <w:rPr>
          <w:rFonts w:ascii="Arial" w:cs="Arial" w:eastAsia="Arial" w:hAnsi="Arial"/>
          <w:sz w:val="14"/>
          <w:szCs w:val="14"/>
          <w:color w:val="auto"/>
        </w:rPr>
      </w:pPr>
    </w:p>
    <w:p>
      <w:pPr>
        <w:ind w:left="920" w:hanging="213"/>
        <w:spacing w:after="0"/>
        <w:tabs>
          <w:tab w:leader="none" w:pos="9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6320" w:val="left"/>
        </w:tabs>
        <w:rPr>
          <w:sz w:val="20"/>
          <w:szCs w:val="20"/>
          <w:color w:val="auto"/>
        </w:rPr>
      </w:pPr>
      <w:r>
        <w:rPr>
          <w:rFonts w:ascii="Arial" w:cs="Arial" w:eastAsia="Arial" w:hAnsi="Arial"/>
          <w:sz w:val="14"/>
          <w:szCs w:val="14"/>
          <w:color w:val="auto"/>
        </w:rPr>
        <w:t>Dated: July 31, 2019</w:t>
      </w:r>
      <w:r>
        <w:rPr>
          <w:sz w:val="20"/>
          <w:szCs w:val="20"/>
          <w:color w:val="auto"/>
        </w:rPr>
        <w:tab/>
      </w:r>
      <w:r>
        <w:rPr>
          <w:rFonts w:ascii="Arial" w:cs="Arial" w:eastAsia="Arial" w:hAnsi="Arial"/>
          <w:sz w:val="14"/>
          <w:szCs w:val="14"/>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7456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4560" cy="6985"/>
                    </a:xfrm>
                    <a:prstGeom prst="rect">
                      <a:avLst/>
                    </a:prstGeom>
                    <a:noFill/>
                  </pic:spPr>
                </pic:pic>
              </a:graphicData>
            </a:graphic>
          </wp:anchor>
        </w:drawing>
      </w:r>
    </w:p>
    <w:p>
      <w:pPr>
        <w:spacing w:after="0" w:line="17"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Thomas L. Tran</w:t>
      </w:r>
    </w:p>
    <w:p>
      <w:pPr>
        <w:spacing w:after="0" w:line="44"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Chief Financial Officer and Treasurer</w:t>
      </w:r>
    </w:p>
    <w:sectPr>
      <w:pgSz w:w="11900" w:h="16838" w:orient="portrait"/>
      <w:cols w:equalWidth="0" w:num="1">
        <w:col w:w="11460"/>
      </w:cols>
      <w:pgMar w:left="220" w:top="48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lvl w:ilvl="1">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2"/>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2019-12-28T09:57:59Z</dcterms:created>
  <dcterms:modified xsi:type="dcterms:W3CDTF">2019-12-28T09:57:59Z</dcterms:modified>
</cp:coreProperties>
</file>